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C6119" w14:textId="77777777" w:rsidR="004C2EE3" w:rsidRDefault="004C2EE3" w:rsidP="00CB0033">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505E9DA" w14:textId="77777777" w:rsidR="00921803" w:rsidRDefault="00921803" w:rsidP="00CB0033">
      <w:pPr>
        <w:pStyle w:val="StyleBoldCentered"/>
        <w:widowControl/>
      </w:pPr>
      <w:r>
        <w:t>F</w:t>
      </w:r>
      <w:r>
        <w:rPr>
          <w:caps w:val="0"/>
        </w:rPr>
        <w:t>ederal Communications Commission</w:t>
      </w:r>
    </w:p>
    <w:p w14:paraId="5EE92E01" w14:textId="77777777" w:rsidR="004C2EE3" w:rsidRDefault="00810B6F" w:rsidP="00CB0033">
      <w:pPr>
        <w:pStyle w:val="StyleBoldCentered"/>
        <w:widowControl/>
      </w:pPr>
      <w:r>
        <w:rPr>
          <w:caps w:val="0"/>
        </w:rPr>
        <w:t>Washington, D.C. 20554</w:t>
      </w:r>
    </w:p>
    <w:p w14:paraId="3296C617" w14:textId="77777777" w:rsidR="004C2EE3" w:rsidRDefault="004C2EE3" w:rsidP="00CB0033">
      <w:pPr>
        <w:widowControl/>
      </w:pPr>
    </w:p>
    <w:p w14:paraId="5D3A1F25" w14:textId="77777777" w:rsidR="004C2EE3" w:rsidRDefault="004C2EE3" w:rsidP="00CB0033">
      <w:pPr>
        <w:widowControl/>
      </w:pPr>
    </w:p>
    <w:tbl>
      <w:tblPr>
        <w:tblW w:w="0" w:type="auto"/>
        <w:tblLayout w:type="fixed"/>
        <w:tblLook w:val="0000" w:firstRow="0" w:lastRow="0" w:firstColumn="0" w:lastColumn="0" w:noHBand="0" w:noVBand="0"/>
      </w:tblPr>
      <w:tblGrid>
        <w:gridCol w:w="4698"/>
        <w:gridCol w:w="630"/>
        <w:gridCol w:w="4248"/>
      </w:tblGrid>
      <w:tr w:rsidR="004C2EE3" w14:paraId="3E3E8552" w14:textId="77777777">
        <w:tc>
          <w:tcPr>
            <w:tcW w:w="4698" w:type="dxa"/>
          </w:tcPr>
          <w:p w14:paraId="19C9B086" w14:textId="77777777" w:rsidR="004C2EE3" w:rsidRDefault="004C2EE3" w:rsidP="00CB0033">
            <w:pPr>
              <w:widowControl/>
              <w:tabs>
                <w:tab w:val="center" w:pos="4680"/>
              </w:tabs>
              <w:suppressAutoHyphens/>
              <w:ind w:left="-108"/>
              <w:rPr>
                <w:spacing w:val="-2"/>
              </w:rPr>
            </w:pPr>
            <w:r>
              <w:rPr>
                <w:spacing w:val="-2"/>
              </w:rPr>
              <w:t>In the Matter of</w:t>
            </w:r>
          </w:p>
          <w:p w14:paraId="6985D59A" w14:textId="77777777" w:rsidR="004C2EE3" w:rsidRDefault="004C2EE3" w:rsidP="00CB0033">
            <w:pPr>
              <w:widowControl/>
              <w:tabs>
                <w:tab w:val="center" w:pos="4680"/>
              </w:tabs>
              <w:suppressAutoHyphens/>
              <w:ind w:left="-108"/>
              <w:rPr>
                <w:spacing w:val="-2"/>
              </w:rPr>
            </w:pPr>
          </w:p>
          <w:p w14:paraId="4E605561" w14:textId="77777777" w:rsidR="001E1D6C" w:rsidRPr="001E1D6C" w:rsidRDefault="001E1D6C" w:rsidP="00CB0033">
            <w:pPr>
              <w:widowControl/>
              <w:tabs>
                <w:tab w:val="center" w:pos="4680"/>
              </w:tabs>
              <w:suppressAutoHyphens/>
              <w:ind w:left="-108"/>
              <w:rPr>
                <w:color w:val="000000"/>
                <w:spacing w:val="-2"/>
                <w:szCs w:val="22"/>
              </w:rPr>
            </w:pPr>
            <w:r w:rsidRPr="001E1D6C">
              <w:rPr>
                <w:color w:val="000000"/>
                <w:spacing w:val="-2"/>
                <w:szCs w:val="22"/>
              </w:rPr>
              <w:t>Expanding the Economic and Innovation</w:t>
            </w:r>
          </w:p>
          <w:p w14:paraId="60B83B4F" w14:textId="77777777" w:rsidR="001E1D6C" w:rsidRPr="001E1D6C" w:rsidRDefault="001E1D6C" w:rsidP="00CB0033">
            <w:pPr>
              <w:widowControl/>
              <w:tabs>
                <w:tab w:val="center" w:pos="4680"/>
              </w:tabs>
              <w:suppressAutoHyphens/>
              <w:ind w:left="-108"/>
              <w:rPr>
                <w:color w:val="000000"/>
                <w:spacing w:val="-2"/>
                <w:szCs w:val="22"/>
              </w:rPr>
            </w:pPr>
            <w:r w:rsidRPr="001E1D6C">
              <w:rPr>
                <w:color w:val="000000"/>
                <w:spacing w:val="-2"/>
                <w:szCs w:val="22"/>
              </w:rPr>
              <w:t>Opportunities of Spectrum Through Incentive</w:t>
            </w:r>
          </w:p>
          <w:p w14:paraId="16C83412" w14:textId="77777777" w:rsidR="004C2EE3" w:rsidRPr="007115F7" w:rsidRDefault="001E1D6C" w:rsidP="00CB0033">
            <w:pPr>
              <w:widowControl/>
              <w:tabs>
                <w:tab w:val="center" w:pos="4680"/>
              </w:tabs>
              <w:suppressAutoHyphens/>
              <w:ind w:left="-108"/>
              <w:rPr>
                <w:spacing w:val="-2"/>
              </w:rPr>
            </w:pPr>
            <w:r w:rsidRPr="001E1D6C">
              <w:rPr>
                <w:color w:val="000000"/>
                <w:spacing w:val="-2"/>
                <w:szCs w:val="22"/>
              </w:rPr>
              <w:t>Auctions</w:t>
            </w:r>
          </w:p>
        </w:tc>
        <w:tc>
          <w:tcPr>
            <w:tcW w:w="630" w:type="dxa"/>
          </w:tcPr>
          <w:p w14:paraId="19825F5F" w14:textId="77777777" w:rsidR="004C2EE3" w:rsidRDefault="004C2EE3" w:rsidP="00CB0033">
            <w:pPr>
              <w:widowControl/>
              <w:tabs>
                <w:tab w:val="center" w:pos="4680"/>
              </w:tabs>
              <w:suppressAutoHyphens/>
              <w:rPr>
                <w:b/>
                <w:spacing w:val="-2"/>
              </w:rPr>
            </w:pPr>
            <w:r>
              <w:rPr>
                <w:b/>
                <w:spacing w:val="-2"/>
              </w:rPr>
              <w:t>)</w:t>
            </w:r>
          </w:p>
          <w:p w14:paraId="39918845" w14:textId="77777777" w:rsidR="004C2EE3" w:rsidRDefault="004C2EE3" w:rsidP="00CB0033">
            <w:pPr>
              <w:widowControl/>
              <w:tabs>
                <w:tab w:val="center" w:pos="4680"/>
              </w:tabs>
              <w:suppressAutoHyphens/>
              <w:rPr>
                <w:b/>
                <w:spacing w:val="-2"/>
              </w:rPr>
            </w:pPr>
            <w:r>
              <w:rPr>
                <w:b/>
                <w:spacing w:val="-2"/>
              </w:rPr>
              <w:t>)</w:t>
            </w:r>
          </w:p>
          <w:p w14:paraId="1F2580DB" w14:textId="77777777" w:rsidR="004C2EE3" w:rsidRDefault="004C2EE3" w:rsidP="00CB0033">
            <w:pPr>
              <w:widowControl/>
              <w:tabs>
                <w:tab w:val="center" w:pos="4680"/>
              </w:tabs>
              <w:suppressAutoHyphens/>
              <w:rPr>
                <w:b/>
                <w:spacing w:val="-2"/>
              </w:rPr>
            </w:pPr>
            <w:r>
              <w:rPr>
                <w:b/>
                <w:spacing w:val="-2"/>
              </w:rPr>
              <w:t>)</w:t>
            </w:r>
          </w:p>
          <w:p w14:paraId="7CCD1777" w14:textId="77777777" w:rsidR="004C2EE3" w:rsidRDefault="004C2EE3" w:rsidP="00CB0033">
            <w:pPr>
              <w:widowControl/>
              <w:tabs>
                <w:tab w:val="center" w:pos="4680"/>
              </w:tabs>
              <w:suppressAutoHyphens/>
              <w:rPr>
                <w:b/>
                <w:spacing w:val="-2"/>
              </w:rPr>
            </w:pPr>
            <w:r>
              <w:rPr>
                <w:b/>
                <w:spacing w:val="-2"/>
              </w:rPr>
              <w:t>)</w:t>
            </w:r>
          </w:p>
          <w:p w14:paraId="630A1C20" w14:textId="77777777" w:rsidR="004C2EE3" w:rsidRPr="001E1D6C" w:rsidRDefault="004C2EE3" w:rsidP="00CB0033">
            <w:pPr>
              <w:widowControl/>
              <w:tabs>
                <w:tab w:val="center" w:pos="4680"/>
              </w:tabs>
              <w:suppressAutoHyphens/>
              <w:rPr>
                <w:b/>
                <w:spacing w:val="-2"/>
              </w:rPr>
            </w:pPr>
            <w:r>
              <w:rPr>
                <w:b/>
                <w:spacing w:val="-2"/>
              </w:rPr>
              <w:t>)</w:t>
            </w:r>
          </w:p>
        </w:tc>
        <w:tc>
          <w:tcPr>
            <w:tcW w:w="4248" w:type="dxa"/>
          </w:tcPr>
          <w:p w14:paraId="15E5E70C" w14:textId="77777777" w:rsidR="004C2EE3" w:rsidRDefault="004C2EE3" w:rsidP="00CB0033">
            <w:pPr>
              <w:widowControl/>
              <w:tabs>
                <w:tab w:val="center" w:pos="4680"/>
              </w:tabs>
              <w:suppressAutoHyphens/>
              <w:rPr>
                <w:spacing w:val="-2"/>
              </w:rPr>
            </w:pPr>
          </w:p>
          <w:p w14:paraId="2FDD6EA8" w14:textId="77777777" w:rsidR="004C2EE3" w:rsidRDefault="004C2EE3" w:rsidP="00CB0033">
            <w:pPr>
              <w:pStyle w:val="TOAHeading"/>
              <w:widowControl/>
              <w:tabs>
                <w:tab w:val="clear" w:pos="9360"/>
                <w:tab w:val="center" w:pos="4680"/>
              </w:tabs>
              <w:rPr>
                <w:spacing w:val="-2"/>
              </w:rPr>
            </w:pPr>
          </w:p>
          <w:p w14:paraId="5CEAFED1" w14:textId="77777777" w:rsidR="004C2EE3" w:rsidRDefault="001E1D6C" w:rsidP="00CB0033">
            <w:pPr>
              <w:widowControl/>
              <w:tabs>
                <w:tab w:val="center" w:pos="4680"/>
              </w:tabs>
              <w:suppressAutoHyphens/>
              <w:rPr>
                <w:spacing w:val="-2"/>
              </w:rPr>
            </w:pPr>
            <w:r w:rsidRPr="001E1D6C">
              <w:rPr>
                <w:color w:val="000000"/>
                <w:spacing w:val="-2"/>
                <w:szCs w:val="22"/>
              </w:rPr>
              <w:t>GN Docket No. 12-268</w:t>
            </w:r>
          </w:p>
        </w:tc>
      </w:tr>
    </w:tbl>
    <w:p w14:paraId="7F8D7C1E" w14:textId="77777777" w:rsidR="004C2EE3" w:rsidRDefault="004C2EE3" w:rsidP="00CB0033">
      <w:pPr>
        <w:widowControl/>
      </w:pPr>
    </w:p>
    <w:p w14:paraId="71DF893A" w14:textId="77777777" w:rsidR="00841AB1" w:rsidRDefault="001E1D6C" w:rsidP="00CB0033">
      <w:pPr>
        <w:pStyle w:val="StyleBoldCentered"/>
        <w:widowControl/>
      </w:pPr>
      <w:r>
        <w:t>order denying stay motion</w:t>
      </w:r>
    </w:p>
    <w:p w14:paraId="27A05981" w14:textId="77777777" w:rsidR="004C2EE3" w:rsidRDefault="004C2EE3" w:rsidP="00CB0033">
      <w:pPr>
        <w:widowControl/>
        <w:tabs>
          <w:tab w:val="left" w:pos="-720"/>
        </w:tabs>
        <w:suppressAutoHyphens/>
        <w:spacing w:line="227" w:lineRule="auto"/>
        <w:rPr>
          <w:spacing w:val="-2"/>
        </w:rPr>
      </w:pPr>
    </w:p>
    <w:p w14:paraId="4D965ED6" w14:textId="2D5F81F2" w:rsidR="004C2EE3" w:rsidRDefault="004C2EE3" w:rsidP="00CB0033">
      <w:pPr>
        <w:widowControl/>
        <w:tabs>
          <w:tab w:val="left" w:pos="720"/>
          <w:tab w:val="right" w:pos="9360"/>
        </w:tabs>
        <w:suppressAutoHyphens/>
        <w:spacing w:line="227" w:lineRule="auto"/>
        <w:rPr>
          <w:spacing w:val="-2"/>
        </w:rPr>
      </w:pPr>
      <w:r>
        <w:rPr>
          <w:b/>
          <w:spacing w:val="-2"/>
        </w:rPr>
        <w:t xml:space="preserve">Adopted:  </w:t>
      </w:r>
      <w:r w:rsidR="00C11F85">
        <w:rPr>
          <w:b/>
          <w:spacing w:val="-2"/>
        </w:rPr>
        <w:t>March 3,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11F85">
        <w:rPr>
          <w:b/>
          <w:spacing w:val="-2"/>
        </w:rPr>
        <w:t>March 3</w:t>
      </w:r>
      <w:r w:rsidR="001E1D6C">
        <w:rPr>
          <w:b/>
          <w:spacing w:val="-2"/>
        </w:rPr>
        <w:t>, 2016</w:t>
      </w:r>
    </w:p>
    <w:p w14:paraId="1CC121B1" w14:textId="77777777" w:rsidR="00822CE0" w:rsidRDefault="00822CE0" w:rsidP="00CB0033">
      <w:pPr>
        <w:widowControl/>
      </w:pPr>
    </w:p>
    <w:p w14:paraId="383656FF" w14:textId="77777777" w:rsidR="004C2EE3" w:rsidRDefault="004C2EE3" w:rsidP="00CB0033">
      <w:pPr>
        <w:widowControl/>
        <w:rPr>
          <w:spacing w:val="-2"/>
        </w:rPr>
      </w:pPr>
      <w:r>
        <w:t xml:space="preserve">By </w:t>
      </w:r>
      <w:r w:rsidR="004E4A22">
        <w:t>the</w:t>
      </w:r>
      <w:r w:rsidR="002A2D2E">
        <w:t xml:space="preserve"> </w:t>
      </w:r>
      <w:r w:rsidR="001E1D6C">
        <w:rPr>
          <w:spacing w:val="-2"/>
        </w:rPr>
        <w:t>Chief, Media Bureau</w:t>
      </w:r>
      <w:r>
        <w:rPr>
          <w:spacing w:val="-2"/>
        </w:rPr>
        <w:t>:</w:t>
      </w:r>
    </w:p>
    <w:p w14:paraId="17B44A5C" w14:textId="77777777" w:rsidR="00822CE0" w:rsidRDefault="00822CE0" w:rsidP="00CB0033">
      <w:pPr>
        <w:widowControl/>
        <w:rPr>
          <w:spacing w:val="-2"/>
        </w:rPr>
      </w:pPr>
    </w:p>
    <w:p w14:paraId="4E3B7CAD" w14:textId="77777777" w:rsidR="001E1D6C" w:rsidRPr="001E1D6C" w:rsidRDefault="001E1D6C" w:rsidP="00CB0033">
      <w:pPr>
        <w:pStyle w:val="Heading1"/>
        <w:widowControl/>
        <w:rPr>
          <w:rFonts w:ascii="Times New Roman" w:hAnsi="Times New Roman"/>
          <w:color w:val="000000"/>
          <w:szCs w:val="22"/>
        </w:rPr>
      </w:pPr>
      <w:r w:rsidRPr="001E1D6C">
        <w:rPr>
          <w:rFonts w:ascii="Times New Roman" w:hAnsi="Times New Roman"/>
          <w:color w:val="000000"/>
          <w:szCs w:val="22"/>
        </w:rPr>
        <w:t>Introduction</w:t>
      </w:r>
    </w:p>
    <w:p w14:paraId="5B2AD8FB" w14:textId="77777777" w:rsidR="001E1D6C" w:rsidRPr="001E1D6C" w:rsidRDefault="001E1D6C" w:rsidP="00CB0033">
      <w:pPr>
        <w:pStyle w:val="ParaNum"/>
        <w:widowControl/>
        <w:tabs>
          <w:tab w:val="num" w:pos="360"/>
        </w:tabs>
        <w:rPr>
          <w:color w:val="000000"/>
          <w:szCs w:val="22"/>
        </w:rPr>
      </w:pPr>
      <w:r w:rsidRPr="001E1D6C">
        <w:rPr>
          <w:color w:val="000000"/>
          <w:szCs w:val="22"/>
        </w:rPr>
        <w:t>On February 2</w:t>
      </w:r>
      <w:r w:rsidR="00756EB4">
        <w:rPr>
          <w:color w:val="000000"/>
          <w:szCs w:val="22"/>
        </w:rPr>
        <w:t>9</w:t>
      </w:r>
      <w:r w:rsidRPr="001E1D6C">
        <w:rPr>
          <w:color w:val="000000"/>
          <w:szCs w:val="22"/>
        </w:rPr>
        <w:t xml:space="preserve">, 2016, </w:t>
      </w:r>
      <w:r w:rsidR="00756EB4">
        <w:rPr>
          <w:color w:val="000000"/>
          <w:szCs w:val="22"/>
        </w:rPr>
        <w:t>The Videohouse Inc. (“Videohouse”)</w:t>
      </w:r>
      <w:r w:rsidR="0090293B">
        <w:rPr>
          <w:color w:val="000000"/>
          <w:szCs w:val="22"/>
        </w:rPr>
        <w:t>,</w:t>
      </w:r>
      <w:r w:rsidRPr="001E1D6C">
        <w:rPr>
          <w:color w:val="000000"/>
          <w:szCs w:val="22"/>
        </w:rPr>
        <w:t xml:space="preserve"> </w:t>
      </w:r>
      <w:r w:rsidR="0090293B" w:rsidRPr="001E1D6C">
        <w:rPr>
          <w:color w:val="000000"/>
          <w:szCs w:val="22"/>
        </w:rPr>
        <w:t>licensee of Class A television station W</w:t>
      </w:r>
      <w:r w:rsidR="0090293B">
        <w:rPr>
          <w:color w:val="000000"/>
          <w:szCs w:val="22"/>
        </w:rPr>
        <w:t>OSC</w:t>
      </w:r>
      <w:r w:rsidR="0090293B" w:rsidRPr="001E1D6C">
        <w:rPr>
          <w:color w:val="000000"/>
          <w:szCs w:val="22"/>
        </w:rPr>
        <w:t xml:space="preserve">-CD, </w:t>
      </w:r>
      <w:r w:rsidR="0090293B">
        <w:rPr>
          <w:color w:val="000000"/>
          <w:szCs w:val="22"/>
        </w:rPr>
        <w:t>Pittsburgh, Pennsylvania,</w:t>
      </w:r>
      <w:r w:rsidR="0090293B" w:rsidRPr="001E1D6C">
        <w:rPr>
          <w:color w:val="000000"/>
          <w:szCs w:val="22"/>
        </w:rPr>
        <w:t xml:space="preserve"> </w:t>
      </w:r>
      <w:r w:rsidRPr="001E1D6C">
        <w:rPr>
          <w:color w:val="000000"/>
          <w:szCs w:val="22"/>
        </w:rPr>
        <w:t xml:space="preserve">filed a request to stay </w:t>
      </w:r>
      <w:r w:rsidRPr="000150C5">
        <w:rPr>
          <w:snapToGrid/>
          <w:kern w:val="0"/>
          <w:szCs w:val="22"/>
        </w:rPr>
        <w:t xml:space="preserve">the </w:t>
      </w:r>
      <w:r w:rsidR="00756EB4">
        <w:rPr>
          <w:snapToGrid/>
          <w:kern w:val="0"/>
          <w:szCs w:val="22"/>
        </w:rPr>
        <w:t xml:space="preserve">start of the </w:t>
      </w:r>
      <w:r w:rsidRPr="000150C5">
        <w:rPr>
          <w:snapToGrid/>
          <w:kern w:val="0"/>
          <w:szCs w:val="22"/>
        </w:rPr>
        <w:t>broadcast television spectrum incentive auction</w:t>
      </w:r>
      <w:r w:rsidR="00756EB4">
        <w:rPr>
          <w:snapToGrid/>
          <w:kern w:val="0"/>
          <w:szCs w:val="22"/>
        </w:rPr>
        <w:t xml:space="preserve"> pending resolution of its </w:t>
      </w:r>
      <w:r w:rsidR="00756EB4" w:rsidRPr="00760E1A">
        <w:rPr>
          <w:color w:val="000000"/>
        </w:rPr>
        <w:t xml:space="preserve">Petition for Review of the </w:t>
      </w:r>
      <w:r w:rsidR="00756EB4" w:rsidRPr="00760E1A">
        <w:rPr>
          <w:i/>
          <w:color w:val="000000"/>
        </w:rPr>
        <w:t>2016 Reconsideration Order</w:t>
      </w:r>
      <w:r w:rsidR="00756EB4" w:rsidRPr="00760E1A">
        <w:rPr>
          <w:color w:val="000000"/>
        </w:rPr>
        <w:t xml:space="preserve"> </w:t>
      </w:r>
      <w:r w:rsidR="00756EB4">
        <w:rPr>
          <w:color w:val="000000"/>
        </w:rPr>
        <w:t>and related</w:t>
      </w:r>
      <w:r w:rsidR="00CB0033">
        <w:rPr>
          <w:color w:val="000000"/>
        </w:rPr>
        <w:t xml:space="preserve"> Orders</w:t>
      </w:r>
      <w:r w:rsidR="00756EB4" w:rsidRPr="00760E1A">
        <w:t>.</w:t>
      </w:r>
      <w:r w:rsidR="00756EB4">
        <w:rPr>
          <w:rStyle w:val="FootnoteReference"/>
          <w:snapToGrid/>
          <w:kern w:val="0"/>
          <w:szCs w:val="22"/>
        </w:rPr>
        <w:footnoteReference w:id="2"/>
      </w:r>
      <w:r w:rsidRPr="001E1D6C">
        <w:rPr>
          <w:color w:val="000000"/>
          <w:szCs w:val="22"/>
        </w:rPr>
        <w:t xml:space="preserve">  For the reasons discussed below, we deny the Stay Motion.</w:t>
      </w:r>
    </w:p>
    <w:p w14:paraId="15D2F0C0" w14:textId="77777777" w:rsidR="001E1D6C" w:rsidRPr="001E1D6C" w:rsidRDefault="001E1D6C" w:rsidP="00CB0033">
      <w:pPr>
        <w:pStyle w:val="Heading1"/>
        <w:widowControl/>
        <w:rPr>
          <w:rFonts w:ascii="Times New Roman" w:hAnsi="Times New Roman"/>
          <w:color w:val="000000"/>
          <w:szCs w:val="22"/>
        </w:rPr>
      </w:pPr>
      <w:r w:rsidRPr="001E1D6C">
        <w:rPr>
          <w:rFonts w:ascii="Times New Roman" w:hAnsi="Times New Roman"/>
          <w:color w:val="000000"/>
          <w:szCs w:val="22"/>
        </w:rPr>
        <w:t>Background</w:t>
      </w:r>
    </w:p>
    <w:p w14:paraId="586AA7E0" w14:textId="77777777" w:rsidR="00511229" w:rsidRPr="00511229" w:rsidRDefault="001E1D6C" w:rsidP="00CB0033">
      <w:pPr>
        <w:pStyle w:val="ParaNum"/>
        <w:widowControl/>
        <w:tabs>
          <w:tab w:val="num" w:pos="360"/>
        </w:tabs>
        <w:rPr>
          <w:color w:val="000000"/>
          <w:szCs w:val="22"/>
        </w:rPr>
      </w:pPr>
      <w:r w:rsidRPr="00511229">
        <w:rPr>
          <w:color w:val="000000"/>
          <w:szCs w:val="22"/>
        </w:rPr>
        <w:t xml:space="preserve">In the </w:t>
      </w:r>
      <w:r w:rsidRPr="00511229">
        <w:rPr>
          <w:i/>
          <w:color w:val="000000"/>
          <w:szCs w:val="22"/>
        </w:rPr>
        <w:t>Incentive Auction R&amp;O</w:t>
      </w:r>
      <w:r w:rsidRPr="00511229">
        <w:rPr>
          <w:color w:val="000000"/>
          <w:szCs w:val="22"/>
        </w:rPr>
        <w:t>, the Commission</w:t>
      </w:r>
      <w:r w:rsidRPr="00511229">
        <w:rPr>
          <w:i/>
          <w:color w:val="000000"/>
          <w:szCs w:val="22"/>
        </w:rPr>
        <w:t xml:space="preserve"> </w:t>
      </w:r>
      <w:r w:rsidRPr="00511229">
        <w:rPr>
          <w:color w:val="000000"/>
          <w:szCs w:val="22"/>
        </w:rPr>
        <w:t>established the framework for the broadcast television spectrum incentive auction.</w:t>
      </w:r>
      <w:r w:rsidRPr="000150C5">
        <w:rPr>
          <w:rStyle w:val="FootnoteReference"/>
          <w:sz w:val="22"/>
          <w:szCs w:val="22"/>
        </w:rPr>
        <w:footnoteReference w:id="3"/>
      </w:r>
      <w:r w:rsidRPr="00511229">
        <w:rPr>
          <w:color w:val="000000"/>
          <w:szCs w:val="22"/>
        </w:rPr>
        <w:t xml:space="preserve">  Among other things, the Commission concluded that the Spectrum Act</w:t>
      </w:r>
      <w:r w:rsidRPr="000150C5">
        <w:rPr>
          <w:rStyle w:val="FootnoteReference"/>
          <w:sz w:val="22"/>
          <w:szCs w:val="22"/>
        </w:rPr>
        <w:footnoteReference w:id="4"/>
      </w:r>
      <w:r w:rsidRPr="00511229">
        <w:rPr>
          <w:color w:val="000000"/>
          <w:szCs w:val="22"/>
        </w:rPr>
        <w:t xml:space="preserve"> mandates all reasonable efforts to preserve in the repacking process the coverage area and population served of only full power and Class A television facilities (1) licensed as of February 22, 2012; or (2) for which an application for a license to cover was on file as of February 22, 2012.</w:t>
      </w:r>
      <w:r w:rsidRPr="001E1D6C">
        <w:rPr>
          <w:rStyle w:val="FootnoteReference"/>
          <w:color w:val="000000"/>
          <w:sz w:val="22"/>
          <w:szCs w:val="22"/>
        </w:rPr>
        <w:footnoteReference w:id="5"/>
      </w:r>
      <w:r w:rsidRPr="00511229">
        <w:rPr>
          <w:color w:val="000000"/>
          <w:szCs w:val="22"/>
        </w:rPr>
        <w:t xml:space="preserve">  The Commission did not interpret the Spectrum Act, however, as precluding it from exercising discretion to </w:t>
      </w:r>
      <w:r w:rsidRPr="00511229">
        <w:rPr>
          <w:color w:val="000000"/>
          <w:szCs w:val="22"/>
        </w:rPr>
        <w:lastRenderedPageBreak/>
        <w:t>protect additional broadcast television facilities beyond the statutory floor.</w:t>
      </w:r>
      <w:r w:rsidRPr="001E1D6C">
        <w:rPr>
          <w:rStyle w:val="FootnoteReference"/>
          <w:color w:val="000000"/>
          <w:sz w:val="22"/>
          <w:szCs w:val="22"/>
        </w:rPr>
        <w:footnoteReference w:id="6"/>
      </w:r>
      <w:r w:rsidRPr="00511229">
        <w:rPr>
          <w:color w:val="000000"/>
          <w:szCs w:val="22"/>
        </w:rPr>
        <w:t xml:space="preserve">  The Commission has granted or denied discretionary protection to a handful of categories of facilities, after a careful balancing of numerous factors to achieve the goals of the Spectrum Act and other statutory and Commission goals.</w:t>
      </w:r>
      <w:r w:rsidRPr="001E1D6C">
        <w:rPr>
          <w:rStyle w:val="FootnoteReference"/>
          <w:color w:val="000000"/>
          <w:sz w:val="22"/>
          <w:szCs w:val="22"/>
        </w:rPr>
        <w:footnoteReference w:id="7"/>
      </w:r>
      <w:r w:rsidRPr="00511229">
        <w:rPr>
          <w:color w:val="000000"/>
          <w:szCs w:val="22"/>
        </w:rPr>
        <w:t xml:space="preserve">    </w:t>
      </w:r>
      <w:r w:rsidR="00511229" w:rsidRPr="00511229">
        <w:rPr>
          <w:color w:val="000000"/>
          <w:szCs w:val="22"/>
        </w:rPr>
        <w:t xml:space="preserve">In the </w:t>
      </w:r>
      <w:r w:rsidR="00511229" w:rsidRPr="00511229">
        <w:rPr>
          <w:i/>
          <w:color w:val="000000"/>
          <w:szCs w:val="22"/>
        </w:rPr>
        <w:t>2015 Reconsideration Order</w:t>
      </w:r>
      <w:r w:rsidR="00511229" w:rsidRPr="00511229">
        <w:rPr>
          <w:color w:val="000000"/>
          <w:szCs w:val="22"/>
        </w:rPr>
        <w:t>, t</w:t>
      </w:r>
      <w:r w:rsidRPr="00511229">
        <w:rPr>
          <w:color w:val="000000"/>
          <w:szCs w:val="22"/>
        </w:rPr>
        <w:t xml:space="preserve">he Commission extended discretionary protection </w:t>
      </w:r>
      <w:r w:rsidR="00511229" w:rsidRPr="00511229">
        <w:rPr>
          <w:color w:val="000000"/>
          <w:szCs w:val="22"/>
        </w:rPr>
        <w:t xml:space="preserve">to </w:t>
      </w:r>
      <w:r w:rsidR="00511229">
        <w:rPr>
          <w:color w:val="000000"/>
          <w:szCs w:val="22"/>
        </w:rPr>
        <w:t xml:space="preserve">Class A </w:t>
      </w:r>
      <w:r w:rsidRPr="00511229">
        <w:rPr>
          <w:color w:val="000000"/>
          <w:szCs w:val="22"/>
        </w:rPr>
        <w:t>stations that had an application for a Class A construction permit on file or granted as of February 22, 2012, the date of enactment of the Spectrum Act.</w:t>
      </w:r>
      <w:r>
        <w:rPr>
          <w:rStyle w:val="FootnoteReference"/>
          <w:color w:val="000000"/>
          <w:sz w:val="22"/>
          <w:szCs w:val="22"/>
        </w:rPr>
        <w:footnoteReference w:id="8"/>
      </w:r>
      <w:r w:rsidR="00511229">
        <w:rPr>
          <w:color w:val="000000"/>
          <w:szCs w:val="22"/>
        </w:rPr>
        <w:t xml:space="preserve">  Videohouse </w:t>
      </w:r>
      <w:r w:rsidR="00511229" w:rsidRPr="00511229">
        <w:rPr>
          <w:color w:val="000000"/>
          <w:szCs w:val="22"/>
        </w:rPr>
        <w:t xml:space="preserve">and the licensees of </w:t>
      </w:r>
      <w:r w:rsidR="00511229">
        <w:rPr>
          <w:color w:val="000000"/>
          <w:szCs w:val="22"/>
        </w:rPr>
        <w:t xml:space="preserve">three </w:t>
      </w:r>
      <w:r w:rsidR="00511229" w:rsidRPr="00511229">
        <w:rPr>
          <w:color w:val="000000"/>
          <w:szCs w:val="22"/>
        </w:rPr>
        <w:t xml:space="preserve">other </w:t>
      </w:r>
      <w:r w:rsidR="00511229">
        <w:rPr>
          <w:color w:val="000000"/>
          <w:szCs w:val="22"/>
        </w:rPr>
        <w:t xml:space="preserve">Class A </w:t>
      </w:r>
      <w:r w:rsidR="00511229" w:rsidRPr="00511229">
        <w:rPr>
          <w:color w:val="000000"/>
          <w:szCs w:val="22"/>
        </w:rPr>
        <w:t xml:space="preserve">stations that did not seek to obtain Class A status until after February 22, 2012 sought reconsideration of the </w:t>
      </w:r>
      <w:r w:rsidR="00511229" w:rsidRPr="00511229">
        <w:rPr>
          <w:i/>
          <w:color w:val="000000"/>
          <w:szCs w:val="22"/>
        </w:rPr>
        <w:t>2015 Reconsideration Order</w:t>
      </w:r>
      <w:r w:rsidR="00511229" w:rsidRPr="00511229">
        <w:rPr>
          <w:color w:val="000000"/>
          <w:szCs w:val="22"/>
        </w:rPr>
        <w:t>.</w:t>
      </w:r>
      <w:r w:rsidR="00511229">
        <w:rPr>
          <w:rStyle w:val="FootnoteReference"/>
          <w:color w:val="000000"/>
          <w:sz w:val="22"/>
          <w:szCs w:val="22"/>
        </w:rPr>
        <w:footnoteReference w:id="9"/>
      </w:r>
      <w:r w:rsidR="00511229" w:rsidRPr="00511229">
        <w:rPr>
          <w:color w:val="000000"/>
          <w:szCs w:val="22"/>
        </w:rPr>
        <w:t xml:space="preserve">  </w:t>
      </w:r>
      <w:r w:rsidR="00511229">
        <w:t xml:space="preserve">In the </w:t>
      </w:r>
      <w:r w:rsidR="00511229" w:rsidRPr="00772831">
        <w:rPr>
          <w:i/>
        </w:rPr>
        <w:t>2016 Reconsideration Order</w:t>
      </w:r>
      <w:r w:rsidR="00511229">
        <w:rPr>
          <w:color w:val="000000"/>
          <w:szCs w:val="22"/>
        </w:rPr>
        <w:t>, t</w:t>
      </w:r>
      <w:r w:rsidR="00511229" w:rsidRPr="00511229">
        <w:rPr>
          <w:color w:val="000000"/>
          <w:szCs w:val="22"/>
        </w:rPr>
        <w:t>he Commission rejected their claims on b</w:t>
      </w:r>
      <w:r w:rsidR="00511229" w:rsidRPr="00A01297">
        <w:t>oth procedural and substantive</w:t>
      </w:r>
      <w:r w:rsidR="00511229">
        <w:t xml:space="preserve"> grounds.</w:t>
      </w:r>
      <w:r w:rsidR="00511229">
        <w:rPr>
          <w:rStyle w:val="FootnoteReference"/>
        </w:rPr>
        <w:footnoteReference w:id="10"/>
      </w:r>
      <w:r w:rsidR="00511229">
        <w:t xml:space="preserve">  </w:t>
      </w:r>
    </w:p>
    <w:p w14:paraId="0EB72A13" w14:textId="77777777" w:rsidR="001E1D6C" w:rsidRPr="001E1D6C" w:rsidRDefault="001E1D6C" w:rsidP="00CB0033">
      <w:pPr>
        <w:pStyle w:val="ParaNum"/>
        <w:widowControl/>
        <w:tabs>
          <w:tab w:val="num" w:pos="360"/>
        </w:tabs>
        <w:rPr>
          <w:color w:val="000000"/>
          <w:szCs w:val="22"/>
        </w:rPr>
      </w:pPr>
      <w:r w:rsidRPr="001E1D6C">
        <w:rPr>
          <w:color w:val="000000"/>
          <w:szCs w:val="22"/>
        </w:rPr>
        <w:t>The filing window for applications to participate in the reverse auction commenced on December 8, 2015 and ended on January 12, 2016.</w:t>
      </w:r>
      <w:r w:rsidRPr="00805D7C">
        <w:rPr>
          <w:rStyle w:val="FootnoteReference"/>
          <w:sz w:val="22"/>
          <w:szCs w:val="22"/>
        </w:rPr>
        <w:footnoteReference w:id="11"/>
      </w:r>
      <w:r w:rsidRPr="001E1D6C">
        <w:rPr>
          <w:color w:val="000000"/>
          <w:szCs w:val="22"/>
        </w:rPr>
        <w:t xml:space="preserve">  The Commission has announced that bidding in the reverse auction will commence on March 29, 2016.</w:t>
      </w:r>
      <w:r w:rsidRPr="00805D7C">
        <w:rPr>
          <w:rStyle w:val="FootnoteReference"/>
          <w:sz w:val="22"/>
          <w:szCs w:val="22"/>
        </w:rPr>
        <w:footnoteReference w:id="12"/>
      </w:r>
      <w:r w:rsidRPr="001E1D6C">
        <w:rPr>
          <w:color w:val="000000"/>
          <w:szCs w:val="22"/>
        </w:rPr>
        <w:t xml:space="preserve">  </w:t>
      </w:r>
    </w:p>
    <w:p w14:paraId="23D5CB62" w14:textId="77777777" w:rsidR="001E1D6C" w:rsidRPr="001E1D6C" w:rsidRDefault="001E1D6C" w:rsidP="00CB0033">
      <w:pPr>
        <w:pStyle w:val="Heading1"/>
        <w:widowControl/>
        <w:rPr>
          <w:rFonts w:ascii="Times New Roman" w:hAnsi="Times New Roman"/>
          <w:color w:val="000000"/>
          <w:szCs w:val="22"/>
        </w:rPr>
      </w:pPr>
      <w:r w:rsidRPr="001E1D6C">
        <w:rPr>
          <w:rFonts w:ascii="Times New Roman" w:hAnsi="Times New Roman"/>
          <w:color w:val="000000"/>
          <w:szCs w:val="22"/>
        </w:rPr>
        <w:t>Discussion</w:t>
      </w:r>
    </w:p>
    <w:p w14:paraId="5BE83615" w14:textId="77777777" w:rsidR="001E1D6C" w:rsidRPr="001E1D6C" w:rsidRDefault="001E1D6C" w:rsidP="00CB0033">
      <w:pPr>
        <w:pStyle w:val="ParaNum"/>
        <w:widowControl/>
        <w:tabs>
          <w:tab w:val="num" w:pos="360"/>
        </w:tabs>
        <w:rPr>
          <w:color w:val="000000"/>
          <w:szCs w:val="22"/>
        </w:rPr>
      </w:pPr>
      <w:r w:rsidRPr="001E1D6C">
        <w:rPr>
          <w:color w:val="000000"/>
          <w:szCs w:val="22"/>
        </w:rPr>
        <w:t>In determining whether to stay the effectiveness of one of its Orders, the Commission applies the traditional four-factor test employed by the D.C. Circuit.</w:t>
      </w:r>
      <w:r w:rsidRPr="001E1D6C">
        <w:rPr>
          <w:color w:val="000000"/>
          <w:szCs w:val="22"/>
          <w:vertAlign w:val="superscript"/>
        </w:rPr>
        <w:footnoteReference w:id="13"/>
      </w:r>
      <w:r w:rsidRPr="001E1D6C">
        <w:rPr>
          <w:color w:val="000000"/>
          <w:szCs w:val="22"/>
        </w:rPr>
        <w:t xml:space="preserve">  To qualify for the extraordinary remedy of a stay, a movant must show that: (1) it is likely to prevail on the merits; (2) it will suffer irreparable harm absent the grant of preliminary relief; (3) other interested parties will not be harmed if the stay is granted; and (4) the public interest would favor grant of the stay.  For the reasons described below, we conclude that </w:t>
      </w:r>
      <w:r w:rsidR="00AD0626">
        <w:rPr>
          <w:color w:val="000000"/>
          <w:szCs w:val="22"/>
        </w:rPr>
        <w:t xml:space="preserve">Videohouse </w:t>
      </w:r>
      <w:r w:rsidRPr="001E1D6C">
        <w:rPr>
          <w:color w:val="000000"/>
          <w:szCs w:val="22"/>
        </w:rPr>
        <w:t>has failed to meet the test for this extraordinary equitable relief.</w:t>
      </w:r>
    </w:p>
    <w:p w14:paraId="766FA868" w14:textId="77777777" w:rsidR="001E1D6C" w:rsidRPr="001E1D6C" w:rsidRDefault="00AD0626" w:rsidP="00CB0033">
      <w:pPr>
        <w:pStyle w:val="Heading2"/>
        <w:widowControl/>
        <w:tabs>
          <w:tab w:val="clear" w:pos="1440"/>
          <w:tab w:val="num" w:pos="2160"/>
        </w:tabs>
        <w:rPr>
          <w:color w:val="000000"/>
          <w:szCs w:val="22"/>
        </w:rPr>
      </w:pPr>
      <w:r>
        <w:rPr>
          <w:color w:val="000000"/>
          <w:szCs w:val="22"/>
        </w:rPr>
        <w:t xml:space="preserve">Videohouse </w:t>
      </w:r>
      <w:r w:rsidR="001E1D6C" w:rsidRPr="001E1D6C">
        <w:rPr>
          <w:color w:val="000000"/>
          <w:szCs w:val="22"/>
        </w:rPr>
        <w:t>Is Unlikely to Prevail on the Merits</w:t>
      </w:r>
    </w:p>
    <w:p w14:paraId="349C8363" w14:textId="6B250F59" w:rsidR="0098338C" w:rsidRPr="0098338C" w:rsidRDefault="00AD0626" w:rsidP="00CB0033">
      <w:pPr>
        <w:pStyle w:val="ParaNum"/>
        <w:widowControl/>
        <w:tabs>
          <w:tab w:val="num" w:pos="360"/>
        </w:tabs>
        <w:rPr>
          <w:color w:val="000000"/>
          <w:szCs w:val="22"/>
        </w:rPr>
      </w:pPr>
      <w:r w:rsidRPr="00F443C9">
        <w:rPr>
          <w:color w:val="000000"/>
          <w:szCs w:val="22"/>
        </w:rPr>
        <w:t xml:space="preserve">Videohouse </w:t>
      </w:r>
      <w:r w:rsidR="001E1D6C" w:rsidRPr="00F443C9">
        <w:rPr>
          <w:color w:val="000000"/>
          <w:szCs w:val="22"/>
        </w:rPr>
        <w:t>has failed to demonstrate that it is likely to succeed on the merits.</w:t>
      </w:r>
      <w:r w:rsidR="00654EF4" w:rsidRPr="00F443C9">
        <w:rPr>
          <w:color w:val="000000"/>
          <w:szCs w:val="22"/>
        </w:rPr>
        <w:t xml:space="preserve">  </w:t>
      </w:r>
      <w:r w:rsidR="00465DC1">
        <w:rPr>
          <w:color w:val="000000"/>
          <w:szCs w:val="22"/>
        </w:rPr>
        <w:t>V</w:t>
      </w:r>
      <w:r w:rsidR="00654EF4" w:rsidRPr="00F443C9">
        <w:rPr>
          <w:color w:val="000000"/>
          <w:szCs w:val="22"/>
        </w:rPr>
        <w:t xml:space="preserve">ideohouse </w:t>
      </w:r>
      <w:r w:rsidR="008F40C8">
        <w:rPr>
          <w:color w:val="000000"/>
          <w:szCs w:val="22"/>
        </w:rPr>
        <w:t xml:space="preserve">first </w:t>
      </w:r>
      <w:r w:rsidR="00654EF4" w:rsidRPr="00F443C9">
        <w:rPr>
          <w:color w:val="000000"/>
          <w:szCs w:val="22"/>
        </w:rPr>
        <w:t>c</w:t>
      </w:r>
      <w:r w:rsidR="00465DC1">
        <w:rPr>
          <w:color w:val="000000"/>
          <w:szCs w:val="22"/>
        </w:rPr>
        <w:t xml:space="preserve">ontends </w:t>
      </w:r>
      <w:r w:rsidR="00654EF4" w:rsidRPr="00F443C9">
        <w:rPr>
          <w:color w:val="000000"/>
          <w:szCs w:val="22"/>
        </w:rPr>
        <w:t xml:space="preserve">that </w:t>
      </w:r>
      <w:r w:rsidR="008F40C8">
        <w:rPr>
          <w:color w:val="000000"/>
          <w:szCs w:val="22"/>
        </w:rPr>
        <w:t xml:space="preserve">it meets this standard because </w:t>
      </w:r>
      <w:r w:rsidR="00654EF4" w:rsidRPr="00F443C9">
        <w:rPr>
          <w:color w:val="000000"/>
          <w:szCs w:val="22"/>
        </w:rPr>
        <w:t>the D.C. Circuit granted its motion for expedited consideration of its Petition for Review.</w:t>
      </w:r>
      <w:r w:rsidR="00654EF4" w:rsidRPr="00654EF4">
        <w:rPr>
          <w:rStyle w:val="FootnoteReference"/>
          <w:sz w:val="22"/>
          <w:szCs w:val="22"/>
        </w:rPr>
        <w:footnoteReference w:id="14"/>
      </w:r>
      <w:r w:rsidR="00654EF4" w:rsidRPr="00F443C9">
        <w:rPr>
          <w:color w:val="000000"/>
          <w:szCs w:val="22"/>
        </w:rPr>
        <w:t xml:space="preserve">  </w:t>
      </w:r>
      <w:r w:rsidR="00390DE9" w:rsidRPr="00557275">
        <w:t>The D.C. Circuit Handbook of Practice and Internal Procedures provides that a motion for expedition must demonstrate</w:t>
      </w:r>
      <w:r w:rsidR="00390DE9">
        <w:t>, among other things,</w:t>
      </w:r>
      <w:r w:rsidR="00390DE9" w:rsidRPr="00557275">
        <w:t xml:space="preserve"> that the decision </w:t>
      </w:r>
      <w:r w:rsidR="00390DE9" w:rsidRPr="00557275">
        <w:lastRenderedPageBreak/>
        <w:t>under review is</w:t>
      </w:r>
      <w:r w:rsidR="00390DE9" w:rsidRPr="00C23CC7">
        <w:t xml:space="preserve"> subject to “substantial challenge.”</w:t>
      </w:r>
      <w:r w:rsidR="00E6016D" w:rsidRPr="00494D6C">
        <w:rPr>
          <w:rStyle w:val="FootnoteReference"/>
        </w:rPr>
        <w:footnoteReference w:id="15"/>
      </w:r>
      <w:r w:rsidR="00390DE9" w:rsidRPr="00C23CC7">
        <w:t xml:space="preserve">  </w:t>
      </w:r>
      <w:r w:rsidR="00C77CAB" w:rsidRPr="00F443C9">
        <w:rPr>
          <w:color w:val="000000"/>
          <w:szCs w:val="22"/>
        </w:rPr>
        <w:t xml:space="preserve">But </w:t>
      </w:r>
      <w:r w:rsidR="00654EF4" w:rsidRPr="00F443C9">
        <w:rPr>
          <w:color w:val="000000"/>
          <w:szCs w:val="22"/>
        </w:rPr>
        <w:t>“</w:t>
      </w:r>
      <w:r w:rsidR="00654EF4" w:rsidRPr="00F443C9">
        <w:rPr>
          <w:szCs w:val="22"/>
        </w:rPr>
        <w:t xml:space="preserve">substantial challenge” </w:t>
      </w:r>
      <w:r w:rsidR="00C77CAB" w:rsidRPr="00F443C9">
        <w:rPr>
          <w:szCs w:val="22"/>
        </w:rPr>
        <w:t xml:space="preserve">is </w:t>
      </w:r>
      <w:r w:rsidR="00654EF4" w:rsidRPr="00F443C9">
        <w:rPr>
          <w:szCs w:val="22"/>
        </w:rPr>
        <w:t xml:space="preserve">a </w:t>
      </w:r>
      <w:r w:rsidR="00AB27CC" w:rsidRPr="00F443C9">
        <w:rPr>
          <w:szCs w:val="22"/>
        </w:rPr>
        <w:t xml:space="preserve">different </w:t>
      </w:r>
      <w:r w:rsidR="00654EF4" w:rsidRPr="00F443C9">
        <w:rPr>
          <w:szCs w:val="22"/>
        </w:rPr>
        <w:t>standard than likelihood to prevail on the merits</w:t>
      </w:r>
      <w:r w:rsidR="00C77CAB" w:rsidRPr="00F443C9">
        <w:rPr>
          <w:szCs w:val="22"/>
        </w:rPr>
        <w:t>.  And, more critically, the D</w:t>
      </w:r>
      <w:r w:rsidR="00654EF4" w:rsidRPr="00F443C9">
        <w:rPr>
          <w:szCs w:val="22"/>
        </w:rPr>
        <w:t xml:space="preserve">.C. Circuit denied the relief requested </w:t>
      </w:r>
      <w:r w:rsidR="00AB27CC" w:rsidRPr="00F443C9">
        <w:rPr>
          <w:szCs w:val="22"/>
        </w:rPr>
        <w:t xml:space="preserve">in </w:t>
      </w:r>
      <w:r w:rsidR="00654EF4" w:rsidRPr="00F443C9">
        <w:rPr>
          <w:szCs w:val="22"/>
        </w:rPr>
        <w:t>Petitioners</w:t>
      </w:r>
      <w:r w:rsidR="00AB27CC" w:rsidRPr="00F443C9">
        <w:rPr>
          <w:szCs w:val="22"/>
        </w:rPr>
        <w:t>’ motion</w:t>
      </w:r>
      <w:r w:rsidR="00654EF4" w:rsidRPr="00F443C9">
        <w:rPr>
          <w:szCs w:val="22"/>
        </w:rPr>
        <w:t>.</w:t>
      </w:r>
      <w:r w:rsidR="00390DE9">
        <w:rPr>
          <w:szCs w:val="22"/>
        </w:rPr>
        <w:t xml:space="preserve">  </w:t>
      </w:r>
      <w:r w:rsidR="00E6016D">
        <w:rPr>
          <w:szCs w:val="22"/>
        </w:rPr>
        <w:t xml:space="preserve">The </w:t>
      </w:r>
      <w:r w:rsidR="00390DE9" w:rsidRPr="00557275">
        <w:t xml:space="preserve">Petitioners requested that </w:t>
      </w:r>
      <w:r w:rsidR="00390DE9">
        <w:t xml:space="preserve">the </w:t>
      </w:r>
      <w:r w:rsidR="00390DE9" w:rsidRPr="00557275">
        <w:t>briefing end on March 7, 2016</w:t>
      </w:r>
      <w:r w:rsidR="00E6016D">
        <w:t>, but the Court ordered that briefing would end almost four weeks later, on April 1, 2016.</w:t>
      </w:r>
      <w:r w:rsidR="00E6016D">
        <w:rPr>
          <w:rStyle w:val="FootnoteReference"/>
        </w:rPr>
        <w:footnoteReference w:id="16"/>
      </w:r>
      <w:r w:rsidR="00E6016D">
        <w:t xml:space="preserve">  Moreover, the Petitioners requested that </w:t>
      </w:r>
      <w:r w:rsidR="00390DE9" w:rsidRPr="00557275">
        <w:t xml:space="preserve">argument be scheduled as soon as practicable so that a decision </w:t>
      </w:r>
      <w:r w:rsidR="00E6016D">
        <w:t>could be issued before the</w:t>
      </w:r>
      <w:r w:rsidR="00390DE9" w:rsidRPr="00557275">
        <w:t xml:space="preserve"> March 29</w:t>
      </w:r>
      <w:r w:rsidR="005D7E7D" w:rsidRPr="005D7E7D">
        <w:rPr>
          <w:vertAlign w:val="superscript"/>
        </w:rPr>
        <w:t>th</w:t>
      </w:r>
      <w:r w:rsidR="005D7E7D">
        <w:t xml:space="preserve"> </w:t>
      </w:r>
      <w:r w:rsidR="00390DE9" w:rsidRPr="00557275">
        <w:t>start date for the auction</w:t>
      </w:r>
      <w:r w:rsidR="00E6016D">
        <w:t>, but the Court specifically denied this request.</w:t>
      </w:r>
      <w:r w:rsidR="00E6016D">
        <w:rPr>
          <w:rStyle w:val="FootnoteReference"/>
        </w:rPr>
        <w:footnoteReference w:id="17"/>
      </w:r>
      <w:r w:rsidR="00390DE9">
        <w:t xml:space="preserve">  </w:t>
      </w:r>
      <w:r w:rsidR="00C77CAB" w:rsidRPr="00F443C9">
        <w:rPr>
          <w:szCs w:val="22"/>
        </w:rPr>
        <w:t xml:space="preserve"> </w:t>
      </w:r>
    </w:p>
    <w:p w14:paraId="73692C20" w14:textId="07CACA5D" w:rsidR="00A3430E" w:rsidRPr="0085507D" w:rsidRDefault="00F443C9" w:rsidP="00CB0033">
      <w:pPr>
        <w:pStyle w:val="ParaNum"/>
        <w:widowControl/>
        <w:tabs>
          <w:tab w:val="num" w:pos="360"/>
        </w:tabs>
        <w:rPr>
          <w:color w:val="000000"/>
          <w:szCs w:val="22"/>
        </w:rPr>
      </w:pPr>
      <w:r w:rsidRPr="00F443C9">
        <w:rPr>
          <w:szCs w:val="22"/>
        </w:rPr>
        <w:t xml:space="preserve">Videohouse </w:t>
      </w:r>
      <w:r w:rsidR="008F40C8">
        <w:rPr>
          <w:szCs w:val="22"/>
        </w:rPr>
        <w:t xml:space="preserve">next argues that it is </w:t>
      </w:r>
      <w:r w:rsidR="001E1D6C" w:rsidRPr="00F443C9">
        <w:rPr>
          <w:color w:val="000000"/>
          <w:szCs w:val="22"/>
        </w:rPr>
        <w:t xml:space="preserve">likely to succeed on its claim that </w:t>
      </w:r>
      <w:r w:rsidRPr="00F443C9">
        <w:rPr>
          <w:color w:val="000000"/>
          <w:szCs w:val="22"/>
        </w:rPr>
        <w:t>the Commission</w:t>
      </w:r>
      <w:r w:rsidR="008F40C8">
        <w:rPr>
          <w:color w:val="000000"/>
          <w:szCs w:val="22"/>
        </w:rPr>
        <w:t xml:space="preserve"> arbitrarily</w:t>
      </w:r>
      <w:r w:rsidRPr="00F443C9">
        <w:rPr>
          <w:color w:val="000000"/>
          <w:szCs w:val="22"/>
        </w:rPr>
        <w:t xml:space="preserve"> imposed a “retroactive deadline”</w:t>
      </w:r>
      <w:r w:rsidR="0043404A">
        <w:rPr>
          <w:color w:val="000000"/>
          <w:szCs w:val="22"/>
        </w:rPr>
        <w:t xml:space="preserve"> of February 22, 2012 for </w:t>
      </w:r>
      <w:r w:rsidRPr="00F443C9">
        <w:rPr>
          <w:color w:val="000000"/>
          <w:szCs w:val="22"/>
        </w:rPr>
        <w:t xml:space="preserve">when a </w:t>
      </w:r>
      <w:r w:rsidR="0043404A">
        <w:rPr>
          <w:color w:val="000000"/>
          <w:szCs w:val="22"/>
        </w:rPr>
        <w:t>station had to file a</w:t>
      </w:r>
      <w:r w:rsidR="0085507D">
        <w:rPr>
          <w:color w:val="000000"/>
          <w:szCs w:val="22"/>
        </w:rPr>
        <w:t xml:space="preserve"> </w:t>
      </w:r>
      <w:r w:rsidR="0043404A">
        <w:rPr>
          <w:color w:val="000000"/>
          <w:szCs w:val="22"/>
        </w:rPr>
        <w:t>Form 302-CA in order to be eligible to participate in the auction.</w:t>
      </w:r>
      <w:r w:rsidR="001E1D6C" w:rsidRPr="00654EF4">
        <w:rPr>
          <w:rStyle w:val="FootnoteReference"/>
          <w:sz w:val="22"/>
          <w:szCs w:val="22"/>
        </w:rPr>
        <w:footnoteReference w:id="18"/>
      </w:r>
      <w:r w:rsidR="0098338C">
        <w:rPr>
          <w:color w:val="000000"/>
          <w:szCs w:val="22"/>
        </w:rPr>
        <w:t xml:space="preserve">  As explained in the </w:t>
      </w:r>
      <w:r w:rsidR="0098338C" w:rsidRPr="0098338C">
        <w:rPr>
          <w:i/>
          <w:color w:val="000000"/>
          <w:szCs w:val="22"/>
        </w:rPr>
        <w:t>2016 Reconsideration Order</w:t>
      </w:r>
      <w:r w:rsidR="0098338C">
        <w:rPr>
          <w:color w:val="000000"/>
          <w:szCs w:val="22"/>
        </w:rPr>
        <w:t xml:space="preserve">, </w:t>
      </w:r>
      <w:r w:rsidR="008F40C8">
        <w:rPr>
          <w:color w:val="000000"/>
          <w:szCs w:val="22"/>
        </w:rPr>
        <w:t>however, the Commission</w:t>
      </w:r>
      <w:r w:rsidR="0098338C">
        <w:t xml:space="preserve"> reasonabl</w:t>
      </w:r>
      <w:r w:rsidR="008F40C8">
        <w:t>y</w:t>
      </w:r>
      <w:r w:rsidR="0098338C">
        <w:t xml:space="preserve"> limit</w:t>
      </w:r>
      <w:r w:rsidR="008F40C8">
        <w:t>ed</w:t>
      </w:r>
      <w:r w:rsidR="0098338C">
        <w:t xml:space="preserve"> discretionary repacking protection and auction eligibility to stations that filed a Form 302-CA application before February 22, 2012 because that is the date established by Congress for determining which stations are entitled to repacking protection.</w:t>
      </w:r>
      <w:r w:rsidR="0098338C">
        <w:rPr>
          <w:rStyle w:val="FootnoteReference"/>
          <w:color w:val="000000"/>
          <w:sz w:val="22"/>
          <w:szCs w:val="22"/>
        </w:rPr>
        <w:footnoteReference w:id="19"/>
      </w:r>
      <w:r w:rsidR="0098338C" w:rsidRPr="00A01297">
        <w:rPr>
          <w:color w:val="000000"/>
          <w:szCs w:val="22"/>
        </w:rPr>
        <w:t xml:space="preserve">  </w:t>
      </w:r>
      <w:r w:rsidR="0098338C">
        <w:rPr>
          <w:color w:val="000000"/>
          <w:szCs w:val="22"/>
        </w:rPr>
        <w:t>A station that “</w:t>
      </w:r>
      <w:r w:rsidR="0098338C" w:rsidRPr="00A01297">
        <w:rPr>
          <w:color w:val="000000"/>
          <w:szCs w:val="22"/>
        </w:rPr>
        <w:t xml:space="preserve">filed a Form 302-CA application </w:t>
      </w:r>
      <w:r w:rsidR="0098338C">
        <w:t>before</w:t>
      </w:r>
      <w:r w:rsidR="0098338C" w:rsidRPr="006A65BD">
        <w:t xml:space="preserve"> February 22, 2012</w:t>
      </w:r>
      <w:r w:rsidR="0098338C">
        <w:t>,</w:t>
      </w:r>
      <w:r w:rsidR="0098338C" w:rsidRPr="00A01297">
        <w:rPr>
          <w:color w:val="000000"/>
          <w:szCs w:val="22"/>
        </w:rPr>
        <w:t xml:space="preserve"> demonstrated that it </w:t>
      </w:r>
      <w:r w:rsidR="0098338C">
        <w:rPr>
          <w:szCs w:val="22"/>
        </w:rPr>
        <w:t xml:space="preserve">sought to avail itself of Class A status </w:t>
      </w:r>
      <w:r w:rsidR="0098338C" w:rsidRPr="00A01297">
        <w:rPr>
          <w:color w:val="000000"/>
          <w:szCs w:val="22"/>
        </w:rPr>
        <w:t>as of that date, and thus warranted protection and auction eligibility under the statutory scheme.</w:t>
      </w:r>
      <w:r w:rsidR="0098338C">
        <w:rPr>
          <w:color w:val="000000"/>
          <w:szCs w:val="22"/>
        </w:rPr>
        <w:t>”</w:t>
      </w:r>
      <w:r w:rsidR="0098338C">
        <w:rPr>
          <w:rStyle w:val="FootnoteReference"/>
          <w:szCs w:val="22"/>
        </w:rPr>
        <w:footnoteReference w:id="20"/>
      </w:r>
      <w:r w:rsidR="0098338C">
        <w:rPr>
          <w:color w:val="000000"/>
          <w:szCs w:val="22"/>
        </w:rPr>
        <w:t xml:space="preserve">  Conversely, Videohouse did not </w:t>
      </w:r>
      <w:r w:rsidR="0098338C">
        <w:rPr>
          <w:szCs w:val="22"/>
        </w:rPr>
        <w:t xml:space="preserve">request </w:t>
      </w:r>
      <w:r w:rsidR="0098338C" w:rsidRPr="00A62546">
        <w:rPr>
          <w:szCs w:val="22"/>
        </w:rPr>
        <w:t xml:space="preserve">Class A </w:t>
      </w:r>
      <w:r w:rsidR="0098338C">
        <w:rPr>
          <w:szCs w:val="22"/>
        </w:rPr>
        <w:t>status or demonstrate that i</w:t>
      </w:r>
      <w:r w:rsidR="00A42667">
        <w:rPr>
          <w:szCs w:val="22"/>
        </w:rPr>
        <w:t>t</w:t>
      </w:r>
      <w:r w:rsidR="0098338C">
        <w:rPr>
          <w:szCs w:val="22"/>
        </w:rPr>
        <w:t xml:space="preserve"> was providing </w:t>
      </w:r>
      <w:r w:rsidR="0098338C" w:rsidRPr="00A62546">
        <w:rPr>
          <w:szCs w:val="22"/>
        </w:rPr>
        <w:t>Class A service</w:t>
      </w:r>
      <w:r w:rsidR="00177F62">
        <w:rPr>
          <w:szCs w:val="22"/>
        </w:rPr>
        <w:t xml:space="preserve"> before </w:t>
      </w:r>
      <w:r w:rsidR="00177F62">
        <w:t>February 22, 2012</w:t>
      </w:r>
      <w:r w:rsidR="00177F62">
        <w:rPr>
          <w:szCs w:val="22"/>
        </w:rPr>
        <w:t>.</w:t>
      </w:r>
      <w:r w:rsidR="00877F63">
        <w:rPr>
          <w:rStyle w:val="FootnoteReference"/>
          <w:szCs w:val="22"/>
        </w:rPr>
        <w:footnoteReference w:id="21"/>
      </w:r>
      <w:r w:rsidR="00177F62">
        <w:rPr>
          <w:szCs w:val="22"/>
        </w:rPr>
        <w:t xml:space="preserve">  Rather, </w:t>
      </w:r>
      <w:r w:rsidR="00177F62">
        <w:rPr>
          <w:color w:val="000000"/>
          <w:szCs w:val="22"/>
        </w:rPr>
        <w:t>Videohouse</w:t>
      </w:r>
      <w:r w:rsidR="00177F62">
        <w:rPr>
          <w:szCs w:val="22"/>
        </w:rPr>
        <w:t xml:space="preserve"> </w:t>
      </w:r>
      <w:r w:rsidR="00CE6AEF">
        <w:rPr>
          <w:color w:val="000000"/>
          <w:szCs w:val="22"/>
        </w:rPr>
        <w:t xml:space="preserve">waited to </w:t>
      </w:r>
      <w:r w:rsidR="005B580E">
        <w:rPr>
          <w:color w:val="000000"/>
          <w:szCs w:val="22"/>
        </w:rPr>
        <w:t xml:space="preserve">file a </w:t>
      </w:r>
      <w:r w:rsidR="00177F62" w:rsidRPr="00A01297">
        <w:rPr>
          <w:color w:val="000000"/>
          <w:szCs w:val="22"/>
        </w:rPr>
        <w:t>Form 302-CA</w:t>
      </w:r>
      <w:r w:rsidR="003C1A45">
        <w:rPr>
          <w:color w:val="000000"/>
          <w:szCs w:val="22"/>
        </w:rPr>
        <w:t xml:space="preserve"> application seeking Class A status </w:t>
      </w:r>
      <w:r w:rsidR="00CE6AEF">
        <w:rPr>
          <w:color w:val="000000"/>
          <w:szCs w:val="22"/>
        </w:rPr>
        <w:t xml:space="preserve">until </w:t>
      </w:r>
      <w:r w:rsidR="005B580E">
        <w:rPr>
          <w:color w:val="000000"/>
          <w:szCs w:val="22"/>
        </w:rPr>
        <w:t xml:space="preserve">January 2013, </w:t>
      </w:r>
      <w:r w:rsidR="0098338C" w:rsidRPr="00A62546">
        <w:rPr>
          <w:szCs w:val="22"/>
        </w:rPr>
        <w:t>after passage of the Spectrum Act</w:t>
      </w:r>
      <w:r w:rsidR="0098338C">
        <w:rPr>
          <w:szCs w:val="22"/>
        </w:rPr>
        <w:t xml:space="preserve"> </w:t>
      </w:r>
      <w:r w:rsidR="005B580E">
        <w:rPr>
          <w:szCs w:val="22"/>
        </w:rPr>
        <w:t>“</w:t>
      </w:r>
      <w:r w:rsidR="0098338C">
        <w:rPr>
          <w:szCs w:val="22"/>
        </w:rPr>
        <w:t xml:space="preserve">created the potential for Class A status to yield </w:t>
      </w:r>
      <w:r w:rsidR="0098338C" w:rsidRPr="00A01297">
        <w:rPr>
          <w:color w:val="000000"/>
          <w:szCs w:val="22"/>
        </w:rPr>
        <w:t>substantial financial rewards through auction participation—</w:t>
      </w:r>
      <w:r w:rsidR="0098338C">
        <w:t xml:space="preserve">over ten years after the CBPA made </w:t>
      </w:r>
      <w:r w:rsidR="00177F62">
        <w:t xml:space="preserve">[it] </w:t>
      </w:r>
      <w:r w:rsidR="0098338C">
        <w:t>eligible for such status.</w:t>
      </w:r>
      <w:r w:rsidR="00177F62">
        <w:t>”</w:t>
      </w:r>
      <w:r w:rsidR="0098338C">
        <w:rPr>
          <w:rStyle w:val="FootnoteReference"/>
        </w:rPr>
        <w:footnoteReference w:id="22"/>
      </w:r>
      <w:r w:rsidR="00177F62">
        <w:t xml:space="preserve">  </w:t>
      </w:r>
      <w:r w:rsidR="00A42667">
        <w:t xml:space="preserve">The Commission’s reliance on these facts was neither arbitrary nor </w:t>
      </w:r>
      <w:r w:rsidR="00177F62">
        <w:t>impermissibly retroactive</w:t>
      </w:r>
      <w:r w:rsidR="00F3747E">
        <w:t>.</w:t>
      </w:r>
      <w:r w:rsidR="00F3747E">
        <w:rPr>
          <w:rStyle w:val="FootnoteReference"/>
        </w:rPr>
        <w:footnoteReference w:id="23"/>
      </w:r>
      <w:r w:rsidR="00F3747E">
        <w:t xml:space="preserve">  </w:t>
      </w:r>
    </w:p>
    <w:p w14:paraId="24CECC8D" w14:textId="09C1FD2C" w:rsidR="00177F62" w:rsidRDefault="00F3747E" w:rsidP="00CB0033">
      <w:pPr>
        <w:pStyle w:val="ParaNum"/>
        <w:widowControl/>
        <w:tabs>
          <w:tab w:val="num" w:pos="360"/>
        </w:tabs>
        <w:rPr>
          <w:color w:val="000000"/>
          <w:szCs w:val="22"/>
        </w:rPr>
      </w:pPr>
      <w:r>
        <w:t xml:space="preserve">Moreover, </w:t>
      </w:r>
      <w:r w:rsidR="00877F63">
        <w:t>Videohouse’s claim that it relied on staff advice to delay filing the Form 302-CA is unavailing.</w:t>
      </w:r>
      <w:r w:rsidR="00877F63">
        <w:rPr>
          <w:rStyle w:val="FootnoteReference"/>
        </w:rPr>
        <w:footnoteReference w:id="24"/>
      </w:r>
      <w:r w:rsidR="00877F63">
        <w:t xml:space="preserve">  </w:t>
      </w:r>
      <w:r w:rsidR="00376E5A">
        <w:t xml:space="preserve">Entities that rely on </w:t>
      </w:r>
      <w:r w:rsidR="00376E5A" w:rsidRPr="00CB39AE">
        <w:rPr>
          <w:rStyle w:val="cosearchterm7"/>
          <w:b w:val="0"/>
        </w:rPr>
        <w:t>informal staff advice</w:t>
      </w:r>
      <w:r w:rsidR="00376E5A">
        <w:rPr>
          <w:rStyle w:val="cosearchterm7"/>
          <w:b w:val="0"/>
        </w:rPr>
        <w:t xml:space="preserve"> do so at </w:t>
      </w:r>
      <w:r w:rsidR="00376E5A" w:rsidRPr="00505829">
        <w:t>their own risk.</w:t>
      </w:r>
      <w:r w:rsidR="00376E5A">
        <w:rPr>
          <w:rStyle w:val="FootnoteReference"/>
        </w:rPr>
        <w:footnoteReference w:id="25"/>
      </w:r>
      <w:r w:rsidR="00376E5A">
        <w:t xml:space="preserve">  </w:t>
      </w:r>
      <w:r w:rsidR="00A3430E">
        <w:t xml:space="preserve">Here, the alleged </w:t>
      </w:r>
      <w:r w:rsidR="00AD3687">
        <w:t>i</w:t>
      </w:r>
      <w:r w:rsidR="00376E5A">
        <w:t>nformal staff advice</w:t>
      </w:r>
      <w:r w:rsidR="006D2976">
        <w:t xml:space="preserve"> </w:t>
      </w:r>
      <w:r w:rsidR="00376E5A">
        <w:t xml:space="preserve">directly conflicted with the </w:t>
      </w:r>
      <w:r w:rsidR="00376E5A" w:rsidRPr="00376E5A">
        <w:rPr>
          <w:i/>
        </w:rPr>
        <w:t>2000 C</w:t>
      </w:r>
      <w:r w:rsidR="003C1A45">
        <w:rPr>
          <w:i/>
        </w:rPr>
        <w:t>lass A R&amp;</w:t>
      </w:r>
      <w:r w:rsidR="00376E5A" w:rsidRPr="00376E5A">
        <w:rPr>
          <w:i/>
        </w:rPr>
        <w:t>O</w:t>
      </w:r>
      <w:r w:rsidR="006D2976">
        <w:t xml:space="preserve">, </w:t>
      </w:r>
      <w:r w:rsidR="00390683">
        <w:t xml:space="preserve">in </w:t>
      </w:r>
      <w:r w:rsidR="006D2976">
        <w:t xml:space="preserve">which </w:t>
      </w:r>
      <w:r w:rsidR="00390683">
        <w:t xml:space="preserve">the Commission required </w:t>
      </w:r>
      <w:r w:rsidR="006D2976">
        <w:t>a Class A application to be filed “simultaneously” with an application for an in-core construction permit</w:t>
      </w:r>
      <w:r w:rsidR="00376E5A">
        <w:t>.</w:t>
      </w:r>
      <w:r w:rsidR="00376E5A">
        <w:rPr>
          <w:rStyle w:val="FootnoteReference"/>
        </w:rPr>
        <w:footnoteReference w:id="26"/>
      </w:r>
      <w:r w:rsidR="00376E5A">
        <w:t xml:space="preserve">  In any event, Videohouse </w:t>
      </w:r>
      <w:r w:rsidR="00D8405B">
        <w:t>failed to file a Form 302-CA</w:t>
      </w:r>
      <w:r w:rsidR="00D8405B" w:rsidRPr="006D2976">
        <w:t xml:space="preserve"> </w:t>
      </w:r>
      <w:r w:rsidR="00DC7D4E">
        <w:t xml:space="preserve">application </w:t>
      </w:r>
      <w:r w:rsidR="00D8405B">
        <w:t xml:space="preserve">along with the application for an in-core </w:t>
      </w:r>
      <w:r w:rsidR="009C561A">
        <w:t>LPTV construction</w:t>
      </w:r>
      <w:r w:rsidR="00D8405B">
        <w:t xml:space="preserve"> permit</w:t>
      </w:r>
      <w:r w:rsidR="00D8405B" w:rsidDel="00D8405B">
        <w:t xml:space="preserve"> </w:t>
      </w:r>
      <w:r w:rsidR="00D8405B">
        <w:t xml:space="preserve">that it </w:t>
      </w:r>
      <w:r w:rsidR="00DA4590">
        <w:t>filed for and obtained in 2009</w:t>
      </w:r>
      <w:r w:rsidR="00D8405B">
        <w:t>,</w:t>
      </w:r>
      <w:r w:rsidR="00DA4590">
        <w:rPr>
          <w:rStyle w:val="FootnoteReference"/>
        </w:rPr>
        <w:footnoteReference w:id="27"/>
      </w:r>
      <w:r w:rsidR="00D8405B">
        <w:t xml:space="preserve"> before it claims that this alleged informal staff </w:t>
      </w:r>
      <w:r w:rsidR="009C561A">
        <w:t xml:space="preserve">advice </w:t>
      </w:r>
      <w:r w:rsidR="00D8405B">
        <w:t>began.</w:t>
      </w:r>
      <w:r w:rsidR="00D8405B">
        <w:rPr>
          <w:rStyle w:val="FootnoteReference"/>
        </w:rPr>
        <w:footnoteReference w:id="28"/>
      </w:r>
    </w:p>
    <w:p w14:paraId="2C89F9B1" w14:textId="73557949" w:rsidR="00A04BF2" w:rsidRPr="0085507D" w:rsidRDefault="00465DC1" w:rsidP="00D83332">
      <w:pPr>
        <w:pStyle w:val="ParaNum"/>
        <w:widowControl/>
        <w:tabs>
          <w:tab w:val="num" w:pos="360"/>
        </w:tabs>
        <w:rPr>
          <w:color w:val="000000"/>
          <w:szCs w:val="22"/>
        </w:rPr>
      </w:pPr>
      <w:r w:rsidRPr="00523902">
        <w:rPr>
          <w:szCs w:val="22"/>
        </w:rPr>
        <w:t>V</w:t>
      </w:r>
      <w:r w:rsidR="00F443C9" w:rsidRPr="00523902">
        <w:rPr>
          <w:szCs w:val="22"/>
        </w:rPr>
        <w:t>ideohouse</w:t>
      </w:r>
      <w:r w:rsidR="00D8405B">
        <w:rPr>
          <w:szCs w:val="22"/>
        </w:rPr>
        <w:t>’s t</w:t>
      </w:r>
      <w:r w:rsidR="00C86EF1">
        <w:rPr>
          <w:szCs w:val="22"/>
        </w:rPr>
        <w:t xml:space="preserve">hird argument </w:t>
      </w:r>
      <w:r w:rsidR="00D8405B">
        <w:rPr>
          <w:szCs w:val="22"/>
        </w:rPr>
        <w:t xml:space="preserve">is </w:t>
      </w:r>
      <w:r w:rsidR="00D8405B">
        <w:rPr>
          <w:color w:val="000000"/>
          <w:szCs w:val="22"/>
        </w:rPr>
        <w:t xml:space="preserve">that </w:t>
      </w:r>
      <w:r w:rsidR="00390683" w:rsidRPr="00523902">
        <w:rPr>
          <w:color w:val="000000"/>
          <w:szCs w:val="22"/>
        </w:rPr>
        <w:t xml:space="preserve">it is </w:t>
      </w:r>
      <w:r w:rsidR="00F443C9" w:rsidRPr="00523902">
        <w:rPr>
          <w:color w:val="000000"/>
          <w:szCs w:val="22"/>
        </w:rPr>
        <w:t xml:space="preserve">similarly situated </w:t>
      </w:r>
      <w:r w:rsidR="00390683" w:rsidRPr="00523902">
        <w:rPr>
          <w:color w:val="000000"/>
          <w:szCs w:val="22"/>
        </w:rPr>
        <w:t>to KHTV</w:t>
      </w:r>
      <w:r w:rsidR="00DC7D4E">
        <w:rPr>
          <w:color w:val="000000"/>
          <w:szCs w:val="22"/>
        </w:rPr>
        <w:t>,</w:t>
      </w:r>
      <w:r w:rsidR="00DC7D4E" w:rsidRPr="00DC7D4E">
        <w:rPr>
          <w:color w:val="000000"/>
          <w:szCs w:val="22"/>
        </w:rPr>
        <w:t xml:space="preserve"> </w:t>
      </w:r>
      <w:r w:rsidR="00DC7D4E">
        <w:rPr>
          <w:color w:val="000000"/>
          <w:szCs w:val="22"/>
        </w:rPr>
        <w:t xml:space="preserve">a formerly out-of-core Class A-eligible LPTV station that filed for and received a Class A license after February 22, 2012 </w:t>
      </w:r>
      <w:r w:rsidR="00316FB0">
        <w:rPr>
          <w:color w:val="000000"/>
          <w:szCs w:val="22"/>
        </w:rPr>
        <w:t>and that received</w:t>
      </w:r>
      <w:r w:rsidR="00DC7D4E">
        <w:rPr>
          <w:color w:val="000000"/>
          <w:szCs w:val="22"/>
        </w:rPr>
        <w:t xml:space="preserve"> discretionary protection</w:t>
      </w:r>
      <w:r w:rsidR="00F443C9" w:rsidRPr="00523902">
        <w:rPr>
          <w:color w:val="000000"/>
          <w:szCs w:val="22"/>
        </w:rPr>
        <w:t>.</w:t>
      </w:r>
      <w:r w:rsidR="006D2976">
        <w:rPr>
          <w:rStyle w:val="FootnoteReference"/>
          <w:szCs w:val="22"/>
        </w:rPr>
        <w:footnoteReference w:id="29"/>
      </w:r>
      <w:r w:rsidR="00390683" w:rsidRPr="00523902">
        <w:rPr>
          <w:color w:val="000000"/>
          <w:szCs w:val="22"/>
        </w:rPr>
        <w:t xml:space="preserve">  </w:t>
      </w:r>
      <w:r w:rsidR="00C86EF1">
        <w:rPr>
          <w:color w:val="000000"/>
          <w:szCs w:val="22"/>
        </w:rPr>
        <w:t>But t</w:t>
      </w:r>
      <w:r w:rsidR="00390683" w:rsidRPr="00523902">
        <w:rPr>
          <w:color w:val="000000"/>
          <w:szCs w:val="22"/>
        </w:rPr>
        <w:t>he Commission has fully explained</w:t>
      </w:r>
      <w:r w:rsidR="00C86EF1">
        <w:rPr>
          <w:color w:val="000000"/>
          <w:szCs w:val="22"/>
        </w:rPr>
        <w:t xml:space="preserve"> </w:t>
      </w:r>
      <w:r w:rsidR="00390683" w:rsidRPr="00523902">
        <w:rPr>
          <w:color w:val="000000"/>
          <w:szCs w:val="22"/>
        </w:rPr>
        <w:t>why Videohouse is unlike KHTV.</w:t>
      </w:r>
      <w:r w:rsidR="00390683">
        <w:rPr>
          <w:rStyle w:val="FootnoteReference"/>
          <w:szCs w:val="22"/>
        </w:rPr>
        <w:footnoteReference w:id="30"/>
      </w:r>
      <w:r w:rsidR="00F443C9" w:rsidRPr="00523902">
        <w:rPr>
          <w:color w:val="000000"/>
          <w:szCs w:val="22"/>
        </w:rPr>
        <w:t xml:space="preserve">  </w:t>
      </w:r>
      <w:r w:rsidR="00DC7D4E">
        <w:rPr>
          <w:color w:val="000000"/>
          <w:szCs w:val="22"/>
        </w:rPr>
        <w:t xml:space="preserve">In addition, </w:t>
      </w:r>
      <w:r w:rsidRPr="00523902">
        <w:rPr>
          <w:color w:val="000000"/>
          <w:szCs w:val="22"/>
        </w:rPr>
        <w:t>Videohouse</w:t>
      </w:r>
      <w:r w:rsidR="00C86EF1">
        <w:rPr>
          <w:color w:val="000000"/>
          <w:szCs w:val="22"/>
        </w:rPr>
        <w:t xml:space="preserve">’s claim </w:t>
      </w:r>
      <w:r w:rsidR="00AD3687" w:rsidRPr="00523902">
        <w:rPr>
          <w:color w:val="000000"/>
          <w:szCs w:val="22"/>
        </w:rPr>
        <w:t>that the Commission improperly dismissed</w:t>
      </w:r>
      <w:r w:rsidR="000A3421" w:rsidRPr="00523902">
        <w:rPr>
          <w:color w:val="000000"/>
          <w:szCs w:val="22"/>
        </w:rPr>
        <w:t xml:space="preserve"> </w:t>
      </w:r>
      <w:r w:rsidR="00C86EF1">
        <w:rPr>
          <w:color w:val="000000"/>
          <w:szCs w:val="22"/>
        </w:rPr>
        <w:t>its 2014 Petition for Reconsideration</w:t>
      </w:r>
      <w:r w:rsidR="000A3421" w:rsidRPr="00523902">
        <w:rPr>
          <w:i/>
        </w:rPr>
        <w:t xml:space="preserve"> </w:t>
      </w:r>
      <w:r w:rsidR="009C561A">
        <w:t xml:space="preserve">of the </w:t>
      </w:r>
      <w:r w:rsidR="009C561A" w:rsidRPr="009C561A">
        <w:rPr>
          <w:i/>
        </w:rPr>
        <w:t>Incentive Auction R&amp;O</w:t>
      </w:r>
      <w:r w:rsidR="009C561A">
        <w:t xml:space="preserve"> </w:t>
      </w:r>
      <w:r w:rsidR="000A3421" w:rsidRPr="00523902">
        <w:rPr>
          <w:color w:val="000000"/>
          <w:szCs w:val="22"/>
        </w:rPr>
        <w:t xml:space="preserve">as “insufficiently detailed” </w:t>
      </w:r>
      <w:r w:rsidR="00C86EF1">
        <w:rPr>
          <w:color w:val="000000"/>
          <w:szCs w:val="22"/>
        </w:rPr>
        <w:t>while</w:t>
      </w:r>
      <w:r w:rsidR="000A3421" w:rsidRPr="00523902">
        <w:rPr>
          <w:color w:val="000000"/>
          <w:szCs w:val="22"/>
        </w:rPr>
        <w:t xml:space="preserve"> protect</w:t>
      </w:r>
      <w:r w:rsidR="00C86EF1">
        <w:rPr>
          <w:color w:val="000000"/>
          <w:szCs w:val="22"/>
        </w:rPr>
        <w:t>ing</w:t>
      </w:r>
      <w:r w:rsidR="000A3421" w:rsidRPr="00523902">
        <w:rPr>
          <w:color w:val="000000"/>
          <w:szCs w:val="22"/>
        </w:rPr>
        <w:t xml:space="preserve"> other stations that did not </w:t>
      </w:r>
      <w:r w:rsidR="00C86EF1">
        <w:rPr>
          <w:color w:val="000000"/>
          <w:szCs w:val="22"/>
        </w:rPr>
        <w:t>seek</w:t>
      </w:r>
      <w:r w:rsidR="000A3421" w:rsidRPr="00523902">
        <w:rPr>
          <w:color w:val="000000"/>
          <w:szCs w:val="22"/>
        </w:rPr>
        <w:t xml:space="preserve"> reconsideration</w:t>
      </w:r>
      <w:r w:rsidR="00C86EF1">
        <w:rPr>
          <w:color w:val="000000"/>
          <w:szCs w:val="22"/>
        </w:rPr>
        <w:t xml:space="preserve"> plainly lacks merit</w:t>
      </w:r>
      <w:r w:rsidR="000A3421" w:rsidRPr="00523902">
        <w:rPr>
          <w:color w:val="000000"/>
          <w:szCs w:val="22"/>
        </w:rPr>
        <w:t>.</w:t>
      </w:r>
      <w:r w:rsidR="000A3421">
        <w:rPr>
          <w:rStyle w:val="FootnoteReference"/>
          <w:szCs w:val="22"/>
        </w:rPr>
        <w:footnoteReference w:id="31"/>
      </w:r>
      <w:r w:rsidR="000A3421" w:rsidRPr="00523902">
        <w:rPr>
          <w:color w:val="000000"/>
          <w:szCs w:val="22"/>
        </w:rPr>
        <w:t xml:space="preserve">  </w:t>
      </w:r>
      <w:r w:rsidR="00C86EF1">
        <w:rPr>
          <w:color w:val="000000"/>
          <w:szCs w:val="22"/>
        </w:rPr>
        <w:t>T</w:t>
      </w:r>
      <w:r w:rsidR="000A3421" w:rsidRPr="00523902">
        <w:rPr>
          <w:color w:val="000000"/>
          <w:szCs w:val="22"/>
        </w:rPr>
        <w:t>he Commission dismissed Videohouse</w:t>
      </w:r>
      <w:r w:rsidR="00C86EF1">
        <w:rPr>
          <w:color w:val="000000"/>
          <w:szCs w:val="22"/>
        </w:rPr>
        <w:t xml:space="preserve">’s </w:t>
      </w:r>
      <w:r w:rsidR="000A3421" w:rsidRPr="00523902">
        <w:rPr>
          <w:color w:val="000000"/>
          <w:szCs w:val="22"/>
        </w:rPr>
        <w:t xml:space="preserve">2014 Petition because </w:t>
      </w:r>
      <w:r w:rsidR="00C86EF1">
        <w:rPr>
          <w:color w:val="000000"/>
          <w:szCs w:val="22"/>
        </w:rPr>
        <w:t>Videohouse</w:t>
      </w:r>
      <w:r w:rsidR="00C86EF1" w:rsidRPr="00523902">
        <w:rPr>
          <w:color w:val="000000"/>
          <w:szCs w:val="22"/>
        </w:rPr>
        <w:t xml:space="preserve"> </w:t>
      </w:r>
      <w:r w:rsidR="000A3421" w:rsidRPr="00523902">
        <w:rPr>
          <w:rFonts w:eastAsiaTheme="minorEastAsia"/>
        </w:rPr>
        <w:t xml:space="preserve">relied on facts and arguments not </w:t>
      </w:r>
      <w:r w:rsidR="00C86EF1">
        <w:rPr>
          <w:rFonts w:eastAsiaTheme="minorEastAsia"/>
        </w:rPr>
        <w:t xml:space="preserve">previously </w:t>
      </w:r>
      <w:r w:rsidR="000A3421" w:rsidRPr="00523902">
        <w:rPr>
          <w:rFonts w:eastAsiaTheme="minorEastAsia"/>
        </w:rPr>
        <w:t xml:space="preserve">presented to the Commission and made no attempt to demonstrate compliance with the </w:t>
      </w:r>
      <w:r w:rsidR="00C86EF1">
        <w:rPr>
          <w:rFonts w:eastAsiaTheme="minorEastAsia"/>
        </w:rPr>
        <w:t>requirements</w:t>
      </w:r>
      <w:r w:rsidR="00C86EF1" w:rsidRPr="00523902">
        <w:rPr>
          <w:rFonts w:eastAsiaTheme="minorEastAsia"/>
        </w:rPr>
        <w:t xml:space="preserve"> </w:t>
      </w:r>
      <w:r w:rsidR="000A3421" w:rsidRPr="00523902">
        <w:rPr>
          <w:rFonts w:eastAsiaTheme="minorEastAsia"/>
        </w:rPr>
        <w:t>for such filings.</w:t>
      </w:r>
      <w:r w:rsidR="000A3421">
        <w:rPr>
          <w:rStyle w:val="FootnoteReference"/>
          <w:rFonts w:eastAsiaTheme="minorEastAsia"/>
        </w:rPr>
        <w:footnoteReference w:id="32"/>
      </w:r>
      <w:r w:rsidR="000A3421" w:rsidRPr="00523902">
        <w:rPr>
          <w:rFonts w:eastAsiaTheme="minorEastAsia"/>
        </w:rPr>
        <w:t xml:space="preserve"> </w:t>
      </w:r>
      <w:r w:rsidR="00523902" w:rsidRPr="00523902">
        <w:rPr>
          <w:rFonts w:eastAsiaTheme="minorEastAsia"/>
        </w:rPr>
        <w:t xml:space="preserve"> Moreover, the Commission fully explained </w:t>
      </w:r>
      <w:r w:rsidR="00523902" w:rsidRPr="00523902">
        <w:rPr>
          <w:color w:val="000000"/>
          <w:szCs w:val="22"/>
        </w:rPr>
        <w:t>why its action to protect other stations that did not file for reconsideration was procedurally proper.</w:t>
      </w:r>
      <w:r w:rsidR="00523902">
        <w:rPr>
          <w:rStyle w:val="FootnoteReference"/>
          <w:szCs w:val="22"/>
        </w:rPr>
        <w:footnoteReference w:id="33"/>
      </w:r>
      <w:r w:rsidR="00523902">
        <w:rPr>
          <w:color w:val="000000"/>
          <w:szCs w:val="22"/>
        </w:rPr>
        <w:t xml:space="preserve">  </w:t>
      </w:r>
      <w:r w:rsidR="00C86EF1">
        <w:rPr>
          <w:color w:val="000000"/>
          <w:szCs w:val="22"/>
        </w:rPr>
        <w:t xml:space="preserve">Likewise, the Commission explained in the </w:t>
      </w:r>
      <w:r w:rsidR="00C86EF1">
        <w:rPr>
          <w:i/>
          <w:color w:val="000000"/>
          <w:szCs w:val="22"/>
        </w:rPr>
        <w:t xml:space="preserve">2016 Reconsideration Order </w:t>
      </w:r>
      <w:r w:rsidR="00C86EF1">
        <w:rPr>
          <w:color w:val="000000"/>
          <w:szCs w:val="22"/>
        </w:rPr>
        <w:t xml:space="preserve">that it did not </w:t>
      </w:r>
      <w:r w:rsidR="00523902">
        <w:rPr>
          <w:color w:val="000000"/>
          <w:szCs w:val="22"/>
        </w:rPr>
        <w:t xml:space="preserve">“abandon” its </w:t>
      </w:r>
      <w:r w:rsidR="008C67B8">
        <w:rPr>
          <w:color w:val="000000"/>
          <w:szCs w:val="22"/>
        </w:rPr>
        <w:t xml:space="preserve">previous statement </w:t>
      </w:r>
      <w:r w:rsidR="00523902">
        <w:rPr>
          <w:color w:val="000000"/>
          <w:szCs w:val="22"/>
        </w:rPr>
        <w:t xml:space="preserve">that </w:t>
      </w:r>
      <w:r w:rsidR="00523902">
        <w:t>approximately 100 stations would be eligible for protection if it protected out-of-core Class A-eligible LPTV stations that obtain Class A licenses after February 22, 2012.</w:t>
      </w:r>
      <w:r w:rsidR="00523902">
        <w:rPr>
          <w:rStyle w:val="FootnoteReference"/>
        </w:rPr>
        <w:footnoteReference w:id="34"/>
      </w:r>
      <w:r w:rsidR="00523902">
        <w:t xml:space="preserve">  </w:t>
      </w:r>
    </w:p>
    <w:p w14:paraId="443CC52E" w14:textId="74DAD3D2" w:rsidR="006D2976" w:rsidRPr="009C68A4" w:rsidRDefault="00A04BF2" w:rsidP="00D83332">
      <w:pPr>
        <w:pStyle w:val="ParaNum"/>
        <w:widowControl/>
        <w:tabs>
          <w:tab w:val="num" w:pos="360"/>
        </w:tabs>
        <w:rPr>
          <w:color w:val="000000"/>
          <w:szCs w:val="22"/>
        </w:rPr>
      </w:pPr>
      <w:r w:rsidRPr="009C68A4">
        <w:rPr>
          <w:szCs w:val="22"/>
        </w:rPr>
        <w:t xml:space="preserve">Finally, </w:t>
      </w:r>
      <w:r w:rsidRPr="0085507D">
        <w:rPr>
          <w:color w:val="000000"/>
          <w:szCs w:val="22"/>
        </w:rPr>
        <w:t>Videohouse claims that “if the Court determines that [Latina] is likely to prevail on its stay motion,” then Videohouse has met its burden because it is similarly situated to Latina.</w:t>
      </w:r>
      <w:r w:rsidR="00EB67EC" w:rsidRPr="009C68A4">
        <w:rPr>
          <w:rStyle w:val="FootnoteReference"/>
          <w:sz w:val="22"/>
          <w:szCs w:val="22"/>
        </w:rPr>
        <w:footnoteReference w:id="35"/>
      </w:r>
      <w:r w:rsidRPr="009C68A4">
        <w:rPr>
          <w:szCs w:val="22"/>
        </w:rPr>
        <w:t xml:space="preserve">  </w:t>
      </w:r>
      <w:r w:rsidRPr="0085507D">
        <w:rPr>
          <w:color w:val="000000"/>
          <w:szCs w:val="22"/>
        </w:rPr>
        <w:t>The court has not yet ruled on Latina’s motion</w:t>
      </w:r>
      <w:r w:rsidR="009C68A4">
        <w:rPr>
          <w:color w:val="000000"/>
          <w:szCs w:val="22"/>
        </w:rPr>
        <w:t>, however, and</w:t>
      </w:r>
      <w:r w:rsidRPr="0085507D">
        <w:rPr>
          <w:color w:val="000000"/>
          <w:szCs w:val="22"/>
        </w:rPr>
        <w:t xml:space="preserve"> we denied Latina’s stay request filed with the Commission</w:t>
      </w:r>
      <w:r w:rsidR="009C68A4">
        <w:rPr>
          <w:color w:val="000000"/>
          <w:szCs w:val="22"/>
        </w:rPr>
        <w:t xml:space="preserve"> after concluding that it is not likely to succeed on the merits</w:t>
      </w:r>
      <w:r w:rsidRPr="0085507D">
        <w:rPr>
          <w:color w:val="000000"/>
          <w:szCs w:val="22"/>
        </w:rPr>
        <w:t>.</w:t>
      </w:r>
      <w:r w:rsidRPr="009C68A4">
        <w:rPr>
          <w:rStyle w:val="FootnoteReference"/>
          <w:sz w:val="22"/>
          <w:szCs w:val="22"/>
        </w:rPr>
        <w:footnoteReference w:id="36"/>
      </w:r>
      <w:r w:rsidR="009C68A4">
        <w:rPr>
          <w:color w:val="000000"/>
          <w:szCs w:val="22"/>
        </w:rPr>
        <w:t xml:space="preserve">  In any event, the four-factor test for the extraordinary remedy of a stay requires a showing by the movant, not a third party.</w:t>
      </w:r>
      <w:r w:rsidR="009C68A4">
        <w:rPr>
          <w:rStyle w:val="FootnoteReference"/>
          <w:szCs w:val="22"/>
        </w:rPr>
        <w:footnoteReference w:id="37"/>
      </w:r>
    </w:p>
    <w:p w14:paraId="6A65534B" w14:textId="77777777" w:rsidR="001E1D6C" w:rsidRPr="001E1D6C" w:rsidRDefault="00AD0626" w:rsidP="00CB0033">
      <w:pPr>
        <w:pStyle w:val="Heading2"/>
        <w:widowControl/>
        <w:tabs>
          <w:tab w:val="clear" w:pos="1440"/>
          <w:tab w:val="num" w:pos="2160"/>
        </w:tabs>
        <w:rPr>
          <w:color w:val="000000"/>
          <w:szCs w:val="22"/>
        </w:rPr>
      </w:pPr>
      <w:r>
        <w:rPr>
          <w:color w:val="000000"/>
          <w:szCs w:val="22"/>
        </w:rPr>
        <w:t xml:space="preserve">Videohouse </w:t>
      </w:r>
      <w:r w:rsidR="001E1D6C" w:rsidRPr="001E1D6C">
        <w:rPr>
          <w:color w:val="000000"/>
          <w:szCs w:val="22"/>
        </w:rPr>
        <w:t>Will Not Suffer Irreparable Injury</w:t>
      </w:r>
    </w:p>
    <w:p w14:paraId="4C395F6E" w14:textId="77777777" w:rsidR="00087AE9" w:rsidRDefault="00AD0626" w:rsidP="00CB0033">
      <w:pPr>
        <w:pStyle w:val="ParaNum"/>
        <w:widowControl/>
        <w:tabs>
          <w:tab w:val="num" w:pos="360"/>
        </w:tabs>
        <w:rPr>
          <w:color w:val="000000"/>
          <w:szCs w:val="22"/>
        </w:rPr>
      </w:pPr>
      <w:r>
        <w:rPr>
          <w:color w:val="000000"/>
          <w:szCs w:val="22"/>
        </w:rPr>
        <w:t xml:space="preserve">Videohouse </w:t>
      </w:r>
      <w:r w:rsidR="001E1D6C" w:rsidRPr="001E1D6C">
        <w:rPr>
          <w:color w:val="000000"/>
          <w:szCs w:val="22"/>
        </w:rPr>
        <w:t>also has failed to show that it will suffer irreparable injury absent a grant of the Stay Petition.</w:t>
      </w:r>
      <w:r w:rsidR="001E1D6C" w:rsidRPr="001E1D6C">
        <w:rPr>
          <w:rStyle w:val="FootnoteReference"/>
          <w:color w:val="000000"/>
          <w:szCs w:val="22"/>
        </w:rPr>
        <w:footnoteReference w:id="38"/>
      </w:r>
      <w:r w:rsidR="001E1D6C" w:rsidRPr="001E1D6C">
        <w:rPr>
          <w:color w:val="000000"/>
          <w:szCs w:val="22"/>
        </w:rPr>
        <w:t xml:space="preserve">  If </w:t>
      </w:r>
      <w:r w:rsidR="006C283F">
        <w:rPr>
          <w:color w:val="000000"/>
          <w:szCs w:val="22"/>
        </w:rPr>
        <w:t>Videohouse</w:t>
      </w:r>
      <w:r w:rsidR="001E1D6C" w:rsidRPr="001E1D6C">
        <w:rPr>
          <w:color w:val="000000"/>
          <w:szCs w:val="22"/>
        </w:rPr>
        <w:t xml:space="preserve"> were to prevail on the merits of its claims, appropriate relief would be available at a later date.</w:t>
      </w:r>
      <w:r w:rsidR="001E1D6C" w:rsidRPr="001E1D6C">
        <w:rPr>
          <w:rStyle w:val="FootnoteReference"/>
          <w:color w:val="000000"/>
          <w:sz w:val="22"/>
          <w:szCs w:val="22"/>
        </w:rPr>
        <w:footnoteReference w:id="39"/>
      </w:r>
      <w:r w:rsidR="001E1D6C" w:rsidRPr="001E1D6C">
        <w:rPr>
          <w:color w:val="000000"/>
          <w:szCs w:val="22"/>
        </w:rPr>
        <w:t xml:space="preserve">  Moreover, </w:t>
      </w:r>
      <w:r w:rsidR="001E1D6C" w:rsidRPr="001E1D6C">
        <w:rPr>
          <w:color w:val="000000"/>
        </w:rPr>
        <w:t xml:space="preserve">inability to participate in the reverse auction does not </w:t>
      </w:r>
      <w:r w:rsidR="001E1D6C" w:rsidRPr="001E1D6C">
        <w:rPr>
          <w:color w:val="000000"/>
          <w:szCs w:val="22"/>
        </w:rPr>
        <w:t xml:space="preserve">mean that </w:t>
      </w:r>
      <w:r w:rsidR="0090293B">
        <w:rPr>
          <w:color w:val="000000"/>
          <w:szCs w:val="22"/>
        </w:rPr>
        <w:t xml:space="preserve">Videohouse </w:t>
      </w:r>
      <w:r w:rsidR="001E1D6C" w:rsidRPr="001E1D6C">
        <w:rPr>
          <w:color w:val="000000"/>
        </w:rPr>
        <w:t xml:space="preserve">will </w:t>
      </w:r>
      <w:r w:rsidR="001E1D6C" w:rsidRPr="001E1D6C">
        <w:rPr>
          <w:color w:val="000000"/>
          <w:szCs w:val="22"/>
        </w:rPr>
        <w:t>have to cease operation as a Class A</w:t>
      </w:r>
      <w:r w:rsidR="001E1D6C" w:rsidRPr="001E1D6C">
        <w:rPr>
          <w:color w:val="000000"/>
        </w:rPr>
        <w:t xml:space="preserve"> station.  </w:t>
      </w:r>
      <w:r w:rsidR="001E1D6C" w:rsidRPr="001E1D6C">
        <w:rPr>
          <w:color w:val="000000"/>
          <w:szCs w:val="22"/>
        </w:rPr>
        <w:t xml:space="preserve">While </w:t>
      </w:r>
      <w:r w:rsidR="0090293B">
        <w:rPr>
          <w:color w:val="000000"/>
          <w:szCs w:val="22"/>
        </w:rPr>
        <w:t>Videohouse</w:t>
      </w:r>
      <w:r w:rsidR="001E1D6C" w:rsidRPr="001E1D6C">
        <w:rPr>
          <w:color w:val="000000"/>
          <w:szCs w:val="22"/>
        </w:rPr>
        <w:t xml:space="preserve"> claims that “</w:t>
      </w:r>
      <w:r w:rsidR="0090293B">
        <w:rPr>
          <w:color w:val="000000"/>
          <w:szCs w:val="22"/>
        </w:rPr>
        <w:t>stations without repackaging [sic] protection may be stripped of their licenses without any compensation or other reli</w:t>
      </w:r>
      <w:r w:rsidR="00AC0B81">
        <w:rPr>
          <w:color w:val="000000"/>
          <w:szCs w:val="22"/>
        </w:rPr>
        <w:t>e</w:t>
      </w:r>
      <w:r w:rsidR="0090293B">
        <w:rPr>
          <w:color w:val="000000"/>
          <w:szCs w:val="22"/>
        </w:rPr>
        <w:t>f</w:t>
      </w:r>
      <w:r w:rsidR="001E1D6C" w:rsidRPr="009769CB">
        <w:rPr>
          <w:szCs w:val="22"/>
        </w:rPr>
        <w:t>,”</w:t>
      </w:r>
      <w:r w:rsidR="001E1D6C" w:rsidRPr="001E1D6C">
        <w:rPr>
          <w:rStyle w:val="FootnoteReference"/>
          <w:color w:val="000000"/>
          <w:sz w:val="22"/>
          <w:szCs w:val="22"/>
        </w:rPr>
        <w:footnoteReference w:id="40"/>
      </w:r>
      <w:r w:rsidR="001E1D6C" w:rsidRPr="009769CB">
        <w:rPr>
          <w:szCs w:val="22"/>
        </w:rPr>
        <w:t xml:space="preserve"> t</w:t>
      </w:r>
      <w:r w:rsidR="001E1D6C" w:rsidRPr="001E1D6C">
        <w:rPr>
          <w:color w:val="000000"/>
          <w:szCs w:val="22"/>
        </w:rPr>
        <w:t xml:space="preserve">he likelihood of displacement depends on factors such as </w:t>
      </w:r>
      <w:r w:rsidR="001E1D6C" w:rsidRPr="001E1D6C">
        <w:rPr>
          <w:snapToGrid/>
          <w:color w:val="000000"/>
          <w:szCs w:val="22"/>
        </w:rPr>
        <w:t>broadcaster participation levels in the reverse auction, the amount of spectrum that the auction clears, the individual channel reassignments made to repacked broadcasters, and whether auction closing conditions are satisfied</w:t>
      </w:r>
      <w:r w:rsidR="001E1D6C" w:rsidRPr="001E1D6C">
        <w:rPr>
          <w:color w:val="000000"/>
          <w:szCs w:val="22"/>
        </w:rPr>
        <w:t>.</w:t>
      </w:r>
      <w:r w:rsidR="001E1D6C" w:rsidRPr="001E1D6C">
        <w:rPr>
          <w:rStyle w:val="FootnoteReference"/>
          <w:color w:val="000000"/>
          <w:sz w:val="22"/>
          <w:szCs w:val="22"/>
        </w:rPr>
        <w:footnoteReference w:id="41"/>
      </w:r>
      <w:r w:rsidR="001E1D6C" w:rsidRPr="001E1D6C">
        <w:rPr>
          <w:color w:val="000000"/>
          <w:szCs w:val="22"/>
        </w:rPr>
        <w:t xml:space="preserve">  In the event W</w:t>
      </w:r>
      <w:r w:rsidR="0090293B">
        <w:rPr>
          <w:color w:val="000000"/>
          <w:szCs w:val="22"/>
        </w:rPr>
        <w:t>OSC</w:t>
      </w:r>
      <w:r w:rsidR="001E1D6C" w:rsidRPr="001E1D6C">
        <w:rPr>
          <w:color w:val="000000"/>
          <w:szCs w:val="22"/>
        </w:rPr>
        <w:t>-CD is displaced, it will be able to file a displacement application during the first opportunity to do so during the post-auction transition, thereby maximizing its chances of securing a replacement channel.</w:t>
      </w:r>
      <w:r w:rsidR="001E1D6C" w:rsidRPr="001E1D6C">
        <w:rPr>
          <w:rStyle w:val="FootnoteReference"/>
          <w:color w:val="000000"/>
          <w:sz w:val="22"/>
          <w:szCs w:val="22"/>
        </w:rPr>
        <w:footnoteReference w:id="42"/>
      </w:r>
      <w:r w:rsidR="001E1D6C" w:rsidRPr="001E1D6C">
        <w:rPr>
          <w:color w:val="000000"/>
          <w:szCs w:val="22"/>
        </w:rPr>
        <w:t xml:space="preserve">  The Commission also has other tools available to facilitate finding a channel for W</w:t>
      </w:r>
      <w:r w:rsidR="007125F7">
        <w:rPr>
          <w:color w:val="000000"/>
          <w:szCs w:val="22"/>
        </w:rPr>
        <w:t>OSC</w:t>
      </w:r>
      <w:r w:rsidR="001E1D6C" w:rsidRPr="001E1D6C">
        <w:rPr>
          <w:color w:val="000000"/>
          <w:szCs w:val="22"/>
        </w:rPr>
        <w:t>-CD after the auction in the event it is displaced.</w:t>
      </w:r>
      <w:r w:rsidR="001E1D6C">
        <w:rPr>
          <w:rStyle w:val="FootnoteReference"/>
          <w:szCs w:val="22"/>
        </w:rPr>
        <w:footnoteReference w:id="43"/>
      </w:r>
      <w:r w:rsidR="00CC4DA0">
        <w:rPr>
          <w:color w:val="000000"/>
          <w:szCs w:val="22"/>
        </w:rPr>
        <w:t xml:space="preserve"> </w:t>
      </w:r>
      <w:r w:rsidR="007125F7">
        <w:rPr>
          <w:color w:val="000000"/>
          <w:szCs w:val="22"/>
        </w:rPr>
        <w:t xml:space="preserve"> </w:t>
      </w:r>
    </w:p>
    <w:p w14:paraId="500ECA1D" w14:textId="0BBF6B54" w:rsidR="001E1D6C" w:rsidRPr="001E1D6C" w:rsidRDefault="00CC4DA0" w:rsidP="00CB0033">
      <w:pPr>
        <w:pStyle w:val="ParaNum"/>
        <w:widowControl/>
        <w:tabs>
          <w:tab w:val="num" w:pos="360"/>
        </w:tabs>
        <w:rPr>
          <w:color w:val="000000"/>
          <w:szCs w:val="22"/>
        </w:rPr>
      </w:pPr>
      <w:r>
        <w:rPr>
          <w:color w:val="000000"/>
          <w:szCs w:val="22"/>
        </w:rPr>
        <w:t xml:space="preserve">While Videohouse claims that </w:t>
      </w:r>
      <w:r w:rsidR="00087AE9">
        <w:rPr>
          <w:color w:val="000000"/>
          <w:szCs w:val="22"/>
        </w:rPr>
        <w:t xml:space="preserve">irreparable injury is demonstrated by </w:t>
      </w:r>
      <w:r>
        <w:rPr>
          <w:color w:val="000000"/>
          <w:szCs w:val="22"/>
        </w:rPr>
        <w:t>the D.C. Circuit</w:t>
      </w:r>
      <w:r w:rsidR="00087AE9">
        <w:rPr>
          <w:color w:val="000000"/>
          <w:szCs w:val="22"/>
        </w:rPr>
        <w:t>’s</w:t>
      </w:r>
      <w:r>
        <w:rPr>
          <w:color w:val="000000"/>
          <w:szCs w:val="22"/>
        </w:rPr>
        <w:t xml:space="preserve"> grant</w:t>
      </w:r>
      <w:r w:rsidR="00087AE9">
        <w:rPr>
          <w:color w:val="000000"/>
          <w:szCs w:val="22"/>
        </w:rPr>
        <w:t xml:space="preserve"> of</w:t>
      </w:r>
      <w:r>
        <w:rPr>
          <w:color w:val="000000"/>
          <w:szCs w:val="22"/>
        </w:rPr>
        <w:t xml:space="preserve"> its request for expedited consideration of its Petition for Review, the </w:t>
      </w:r>
      <w:r w:rsidR="00087AE9">
        <w:rPr>
          <w:color w:val="000000"/>
          <w:szCs w:val="22"/>
        </w:rPr>
        <w:t>C</w:t>
      </w:r>
      <w:r>
        <w:rPr>
          <w:color w:val="000000"/>
          <w:szCs w:val="22"/>
        </w:rPr>
        <w:t>ourt in fact denied the relief requested by Videohouse.</w:t>
      </w:r>
      <w:r>
        <w:rPr>
          <w:rStyle w:val="FootnoteReference"/>
          <w:szCs w:val="22"/>
        </w:rPr>
        <w:footnoteReference w:id="44"/>
      </w:r>
      <w:r>
        <w:rPr>
          <w:color w:val="000000"/>
          <w:szCs w:val="22"/>
        </w:rPr>
        <w:t xml:space="preserve">  </w:t>
      </w:r>
      <w:r w:rsidR="00087AE9">
        <w:rPr>
          <w:color w:val="000000"/>
          <w:szCs w:val="22"/>
        </w:rPr>
        <w:t>Contrary to Videohouse’s claims, Commission counsel neither “encouraged” Videohouse to file for a stay nor suggested that Videohouse would suffer irreparable harm absent a stay in opposition to a Petition for Mandamus.</w:t>
      </w:r>
      <w:r w:rsidR="00087AE9">
        <w:rPr>
          <w:rStyle w:val="FootnoteReference"/>
          <w:szCs w:val="22"/>
        </w:rPr>
        <w:footnoteReference w:id="45"/>
      </w:r>
      <w:r w:rsidR="00087AE9">
        <w:rPr>
          <w:color w:val="000000"/>
          <w:szCs w:val="22"/>
        </w:rPr>
        <w:t xml:space="preserve">  Rather, </w:t>
      </w:r>
      <w:r>
        <w:rPr>
          <w:color w:val="000000"/>
          <w:szCs w:val="22"/>
        </w:rPr>
        <w:t>Commission counsel noted that Videohouse “remain</w:t>
      </w:r>
      <w:r w:rsidR="00D175AE">
        <w:rPr>
          <w:color w:val="000000"/>
          <w:szCs w:val="22"/>
        </w:rPr>
        <w:t>[s]</w:t>
      </w:r>
      <w:r>
        <w:rPr>
          <w:color w:val="000000"/>
          <w:szCs w:val="22"/>
        </w:rPr>
        <w:t xml:space="preserve"> free” to file a stay request</w:t>
      </w:r>
      <w:r w:rsidR="00A1375C">
        <w:rPr>
          <w:color w:val="000000"/>
          <w:szCs w:val="22"/>
        </w:rPr>
        <w:t xml:space="preserve"> if the Commission did not act before a certain date</w:t>
      </w:r>
      <w:r>
        <w:rPr>
          <w:color w:val="000000"/>
          <w:szCs w:val="22"/>
        </w:rPr>
        <w:t>.</w:t>
      </w:r>
      <w:r w:rsidR="00D175AE">
        <w:rPr>
          <w:rStyle w:val="FootnoteReference"/>
          <w:szCs w:val="22"/>
        </w:rPr>
        <w:footnoteReference w:id="46"/>
      </w:r>
    </w:p>
    <w:p w14:paraId="626C9B7E" w14:textId="77777777" w:rsidR="001E1D6C" w:rsidRPr="001E1D6C" w:rsidRDefault="001E1D6C" w:rsidP="00CB0033">
      <w:pPr>
        <w:pStyle w:val="Heading2"/>
        <w:widowControl/>
        <w:tabs>
          <w:tab w:val="clear" w:pos="1440"/>
          <w:tab w:val="num" w:pos="2160"/>
        </w:tabs>
        <w:rPr>
          <w:color w:val="000000"/>
          <w:szCs w:val="22"/>
        </w:rPr>
      </w:pPr>
      <w:r w:rsidRPr="001E1D6C">
        <w:rPr>
          <w:color w:val="000000"/>
          <w:szCs w:val="22"/>
        </w:rPr>
        <w:t>The Requested Stay Will Result in Harm to Others and is Contrary to the Public Interest</w:t>
      </w:r>
    </w:p>
    <w:p w14:paraId="7B960C42" w14:textId="6DE0937D" w:rsidR="001E1D6C" w:rsidRDefault="00AC7DFD" w:rsidP="00CB0033">
      <w:pPr>
        <w:pStyle w:val="ParaNum"/>
        <w:widowControl/>
        <w:tabs>
          <w:tab w:val="num" w:pos="360"/>
        </w:tabs>
        <w:rPr>
          <w:color w:val="000000"/>
          <w:szCs w:val="22"/>
        </w:rPr>
      </w:pPr>
      <w:r>
        <w:rPr>
          <w:color w:val="000000"/>
          <w:szCs w:val="22"/>
        </w:rPr>
        <w:t xml:space="preserve">Videohouse </w:t>
      </w:r>
      <w:r w:rsidR="001E1D6C" w:rsidRPr="001E1D6C">
        <w:rPr>
          <w:color w:val="000000"/>
          <w:szCs w:val="22"/>
        </w:rPr>
        <w:t xml:space="preserve">has failed to demonstrate that the requested stay will not harm third parties and will serve the public interest.  As an initial matter, </w:t>
      </w:r>
      <w:r>
        <w:rPr>
          <w:color w:val="000000"/>
          <w:szCs w:val="22"/>
        </w:rPr>
        <w:t xml:space="preserve">Videohouse’s </w:t>
      </w:r>
      <w:r w:rsidR="001E1D6C" w:rsidRPr="000150C5">
        <w:rPr>
          <w:snapToGrid/>
          <w:kern w:val="0"/>
          <w:szCs w:val="22"/>
        </w:rPr>
        <w:t>request</w:t>
      </w:r>
      <w:r w:rsidR="001E1D6C">
        <w:rPr>
          <w:snapToGrid/>
          <w:kern w:val="0"/>
          <w:szCs w:val="22"/>
        </w:rPr>
        <w:t xml:space="preserve"> to </w:t>
      </w:r>
      <w:r w:rsidR="001E1D6C" w:rsidRPr="000150C5">
        <w:rPr>
          <w:snapToGrid/>
          <w:kern w:val="0"/>
          <w:szCs w:val="22"/>
        </w:rPr>
        <w:t>stay the</w:t>
      </w:r>
      <w:r w:rsidR="001E1D6C">
        <w:rPr>
          <w:snapToGrid/>
          <w:kern w:val="0"/>
          <w:szCs w:val="22"/>
        </w:rPr>
        <w:t xml:space="preserve"> </w:t>
      </w:r>
      <w:r w:rsidR="001E1D6C" w:rsidRPr="000150C5">
        <w:rPr>
          <w:snapToGrid/>
          <w:kern w:val="0"/>
          <w:szCs w:val="22"/>
        </w:rPr>
        <w:t>incentive auction pending judicial review</w:t>
      </w:r>
      <w:r w:rsidR="001E1D6C">
        <w:rPr>
          <w:snapToGrid/>
          <w:kern w:val="0"/>
          <w:szCs w:val="22"/>
        </w:rPr>
        <w:t xml:space="preserve"> </w:t>
      </w:r>
      <w:r w:rsidR="001E1D6C" w:rsidRPr="001E1D6C">
        <w:rPr>
          <w:color w:val="000000"/>
          <w:szCs w:val="22"/>
        </w:rPr>
        <w:t>would disserve the public interest.</w:t>
      </w:r>
      <w:r w:rsidR="001E1D6C">
        <w:rPr>
          <w:rStyle w:val="FootnoteReference"/>
          <w:szCs w:val="22"/>
        </w:rPr>
        <w:footnoteReference w:id="47"/>
      </w:r>
      <w:r w:rsidR="001E1D6C" w:rsidRPr="001E1D6C">
        <w:rPr>
          <w:color w:val="000000"/>
          <w:szCs w:val="22"/>
        </w:rPr>
        <w:t xml:space="preserve">  As the Commission explained in the </w:t>
      </w:r>
      <w:r w:rsidR="001E1D6C" w:rsidRPr="001E1D6C">
        <w:rPr>
          <w:i/>
          <w:color w:val="000000"/>
          <w:szCs w:val="22"/>
        </w:rPr>
        <w:t>Incentive Auction NPRM</w:t>
      </w:r>
      <w:r w:rsidR="001E1D6C" w:rsidRPr="001E1D6C">
        <w:rPr>
          <w:color w:val="000000"/>
          <w:szCs w:val="22"/>
        </w:rPr>
        <w:t>, “</w:t>
      </w:r>
      <w:r w:rsidR="001E1D6C" w:rsidRPr="005C1CFC">
        <w:t xml:space="preserve">[o]ur country faces a major challenge to ensure that the speed, capacity, and accessibility of our wireless networks keeps </w:t>
      </w:r>
      <w:r w:rsidR="001E1D6C" w:rsidRPr="00760E1A">
        <w:rPr>
          <w:szCs w:val="22"/>
        </w:rPr>
        <w:t>pace with these demands in the years ahead, so the networks can support the critical economic, public safety, health care, and other activities that increasingly rely on them.  Meeting this challenge is essential to continuing U.S. leadership in technological innovation, growing our economy, and maintaining our global competitiveness.”</w:t>
      </w:r>
      <w:r w:rsidR="001E1D6C" w:rsidRPr="00760E1A">
        <w:rPr>
          <w:rStyle w:val="FootnoteReference"/>
          <w:sz w:val="22"/>
          <w:szCs w:val="22"/>
        </w:rPr>
        <w:footnoteReference w:id="48"/>
      </w:r>
      <w:r w:rsidR="001E1D6C" w:rsidRPr="00760E1A">
        <w:rPr>
          <w:szCs w:val="22"/>
        </w:rPr>
        <w:t xml:space="preserve">  The Commission has accordingly devoted considerable time and resources since the enactment of the Spectrum Act to preparing for the</w:t>
      </w:r>
      <w:r w:rsidR="00DC7D4E" w:rsidRPr="00DC7D4E">
        <w:rPr>
          <w:szCs w:val="22"/>
        </w:rPr>
        <w:t xml:space="preserve"> </w:t>
      </w:r>
      <w:r w:rsidR="00DC7D4E">
        <w:rPr>
          <w:szCs w:val="22"/>
        </w:rPr>
        <w:t>reverse auction, as well as the forward</w:t>
      </w:r>
      <w:r w:rsidR="00DC7D4E" w:rsidRPr="00760E1A">
        <w:rPr>
          <w:szCs w:val="22"/>
        </w:rPr>
        <w:t xml:space="preserve"> </w:t>
      </w:r>
      <w:r w:rsidR="00DC7D4E">
        <w:rPr>
          <w:szCs w:val="22"/>
        </w:rPr>
        <w:t>auction to sell repurposed broadcast spectrum to new, flexible-use licensees for providing mobile broadband services</w:t>
      </w:r>
      <w:r w:rsidR="001E1D6C" w:rsidRPr="00760E1A">
        <w:rPr>
          <w:szCs w:val="22"/>
        </w:rPr>
        <w:t>—an unprecedented proceeding involving numerous complex and highly technical issues, representing the culmination of four years of work by the Commission and dozens of members of its staff, with significant ramifications for the nation’s economy and consumers.</w:t>
      </w:r>
      <w:r w:rsidR="001E1D6C" w:rsidRPr="00760E1A">
        <w:rPr>
          <w:rStyle w:val="FootnoteReference"/>
          <w:sz w:val="22"/>
          <w:szCs w:val="22"/>
        </w:rPr>
        <w:footnoteReference w:id="49"/>
      </w:r>
      <w:r w:rsidR="001E1D6C" w:rsidRPr="00760E1A">
        <w:rPr>
          <w:szCs w:val="22"/>
        </w:rPr>
        <w:t xml:space="preserve">  The beginning of the auction is now only </w:t>
      </w:r>
      <w:r w:rsidR="004A1BA4">
        <w:rPr>
          <w:szCs w:val="22"/>
        </w:rPr>
        <w:t xml:space="preserve">four </w:t>
      </w:r>
      <w:r w:rsidR="001E1D6C" w:rsidRPr="00760E1A">
        <w:rPr>
          <w:szCs w:val="22"/>
        </w:rPr>
        <w:t>weeks away.</w:t>
      </w:r>
      <w:r w:rsidR="004A1BA4">
        <w:rPr>
          <w:szCs w:val="22"/>
        </w:rPr>
        <w:t xml:space="preserve">  </w:t>
      </w:r>
      <w:r w:rsidR="00316FB0">
        <w:rPr>
          <w:szCs w:val="22"/>
        </w:rPr>
        <w:t xml:space="preserve">While </w:t>
      </w:r>
      <w:r w:rsidR="004A1BA4">
        <w:rPr>
          <w:szCs w:val="22"/>
        </w:rPr>
        <w:t>Videohouse claims that the auction will be only “modestly delayed” because oral argument will “likely” occur in May</w:t>
      </w:r>
      <w:r w:rsidR="00316FB0">
        <w:rPr>
          <w:szCs w:val="22"/>
        </w:rPr>
        <w:t>,</w:t>
      </w:r>
      <w:r w:rsidR="004A1BA4">
        <w:rPr>
          <w:rStyle w:val="FootnoteReference"/>
          <w:szCs w:val="22"/>
        </w:rPr>
        <w:footnoteReference w:id="50"/>
      </w:r>
      <w:r w:rsidR="005D7E7D">
        <w:rPr>
          <w:szCs w:val="22"/>
        </w:rPr>
        <w:t xml:space="preserve"> </w:t>
      </w:r>
      <w:r w:rsidR="00316FB0">
        <w:rPr>
          <w:szCs w:val="22"/>
        </w:rPr>
        <w:t xml:space="preserve">this </w:t>
      </w:r>
      <w:r w:rsidR="004A1BA4">
        <w:rPr>
          <w:szCs w:val="22"/>
        </w:rPr>
        <w:t xml:space="preserve">is cold comfort for </w:t>
      </w:r>
      <w:r w:rsidR="001E1D6C" w:rsidRPr="00760E1A">
        <w:rPr>
          <w:szCs w:val="22"/>
        </w:rPr>
        <w:t xml:space="preserve">consumers </w:t>
      </w:r>
      <w:r w:rsidR="004A1BA4">
        <w:rPr>
          <w:szCs w:val="22"/>
        </w:rPr>
        <w:t xml:space="preserve">as well </w:t>
      </w:r>
      <w:r w:rsidR="00E110B3">
        <w:rPr>
          <w:szCs w:val="22"/>
        </w:rPr>
        <w:t xml:space="preserve">as </w:t>
      </w:r>
      <w:r w:rsidR="001E1D6C" w:rsidRPr="00760E1A">
        <w:rPr>
          <w:szCs w:val="22"/>
        </w:rPr>
        <w:t>eligible entities w</w:t>
      </w:r>
      <w:r w:rsidR="001E1D6C" w:rsidRPr="001E1D6C">
        <w:rPr>
          <w:color w:val="000000"/>
          <w:szCs w:val="22"/>
        </w:rPr>
        <w:t xml:space="preserve">ho have </w:t>
      </w:r>
      <w:r w:rsidR="00DF7A21">
        <w:rPr>
          <w:color w:val="000000"/>
          <w:szCs w:val="22"/>
        </w:rPr>
        <w:t xml:space="preserve">made </w:t>
      </w:r>
      <w:r w:rsidR="00CD6F1A">
        <w:rPr>
          <w:color w:val="000000"/>
          <w:szCs w:val="22"/>
        </w:rPr>
        <w:t xml:space="preserve">extensive preparations for the auction </w:t>
      </w:r>
      <w:r w:rsidR="001E1D6C" w:rsidRPr="001E1D6C">
        <w:rPr>
          <w:color w:val="000000"/>
          <w:szCs w:val="22"/>
        </w:rPr>
        <w:t>based on the current schedule</w:t>
      </w:r>
      <w:r w:rsidR="001E1D6C" w:rsidRPr="00760E1A">
        <w:rPr>
          <w:szCs w:val="22"/>
        </w:rPr>
        <w:t>, including securing financing and deferring other business plans.</w:t>
      </w:r>
      <w:r w:rsidR="001E1D6C" w:rsidRPr="00760E1A">
        <w:rPr>
          <w:rStyle w:val="FootnoteReference"/>
          <w:sz w:val="22"/>
          <w:szCs w:val="22"/>
        </w:rPr>
        <w:footnoteReference w:id="51"/>
      </w:r>
      <w:r w:rsidR="00374B57">
        <w:rPr>
          <w:szCs w:val="22"/>
        </w:rPr>
        <w:t xml:space="preserve">  </w:t>
      </w:r>
      <w:r w:rsidR="00316FB0">
        <w:rPr>
          <w:szCs w:val="22"/>
        </w:rPr>
        <w:t>In addition, Videohouse understates the delay and disruption entailed by a stay.  The Court will need time to reach a decision after oral argument in May.  And a stay would extend</w:t>
      </w:r>
      <w:r w:rsidR="0030221B" w:rsidRPr="00A612C9">
        <w:rPr>
          <w:bCs/>
          <w:szCs w:val="22"/>
        </w:rPr>
        <w:t xml:space="preserve"> </w:t>
      </w:r>
      <w:r w:rsidR="00316FB0">
        <w:rPr>
          <w:bCs/>
          <w:szCs w:val="22"/>
        </w:rPr>
        <w:t>the</w:t>
      </w:r>
      <w:r w:rsidR="00316FB0" w:rsidRPr="00A612C9">
        <w:rPr>
          <w:bCs/>
          <w:szCs w:val="22"/>
        </w:rPr>
        <w:t xml:space="preserve"> </w:t>
      </w:r>
      <w:r w:rsidR="0030221B" w:rsidRPr="00A612C9">
        <w:rPr>
          <w:bCs/>
          <w:szCs w:val="22"/>
        </w:rPr>
        <w:t xml:space="preserve">quiet period </w:t>
      </w:r>
      <w:r w:rsidR="00316FB0">
        <w:rPr>
          <w:bCs/>
          <w:szCs w:val="22"/>
        </w:rPr>
        <w:t>that is</w:t>
      </w:r>
      <w:r w:rsidR="00316FB0" w:rsidRPr="00A612C9">
        <w:rPr>
          <w:bCs/>
          <w:szCs w:val="22"/>
        </w:rPr>
        <w:t xml:space="preserve"> </w:t>
      </w:r>
      <w:r w:rsidR="00316FB0">
        <w:rPr>
          <w:bCs/>
          <w:szCs w:val="22"/>
        </w:rPr>
        <w:t>now in effect for</w:t>
      </w:r>
      <w:r w:rsidR="0030221B" w:rsidRPr="00A612C9">
        <w:rPr>
          <w:bCs/>
          <w:szCs w:val="22"/>
        </w:rPr>
        <w:t xml:space="preserve"> both the reverse and forward auctions</w:t>
      </w:r>
      <w:r w:rsidR="00316FB0">
        <w:rPr>
          <w:bCs/>
          <w:szCs w:val="22"/>
        </w:rPr>
        <w:t>,</w:t>
      </w:r>
      <w:r w:rsidR="0030221B" w:rsidRPr="00A612C9">
        <w:rPr>
          <w:rStyle w:val="FootnoteReference"/>
          <w:color w:val="212121"/>
          <w:sz w:val="22"/>
          <w:szCs w:val="22"/>
        </w:rPr>
        <w:footnoteReference w:id="52"/>
      </w:r>
      <w:r w:rsidR="0030221B" w:rsidRPr="00A612C9">
        <w:rPr>
          <w:rStyle w:val="apple-converted-space"/>
          <w:color w:val="212121"/>
          <w:szCs w:val="22"/>
        </w:rPr>
        <w:t> </w:t>
      </w:r>
      <w:r w:rsidR="00316FB0">
        <w:rPr>
          <w:rStyle w:val="apple-converted-space"/>
          <w:color w:val="212121"/>
          <w:szCs w:val="22"/>
        </w:rPr>
        <w:t>which</w:t>
      </w:r>
      <w:r w:rsidR="0030221B" w:rsidRPr="00A612C9">
        <w:rPr>
          <w:rStyle w:val="apple-converted-space"/>
          <w:color w:val="212121"/>
          <w:szCs w:val="22"/>
        </w:rPr>
        <w:t xml:space="preserve"> limits the types of discussions that would otherwise take place </w:t>
      </w:r>
      <w:r w:rsidR="00316FB0">
        <w:rPr>
          <w:rStyle w:val="apple-converted-space"/>
          <w:color w:val="212121"/>
          <w:szCs w:val="22"/>
        </w:rPr>
        <w:t xml:space="preserve">between and </w:t>
      </w:r>
      <w:r w:rsidR="0030221B" w:rsidRPr="00A612C9">
        <w:rPr>
          <w:rStyle w:val="apple-converted-space"/>
          <w:color w:val="212121"/>
          <w:szCs w:val="22"/>
        </w:rPr>
        <w:t xml:space="preserve">among </w:t>
      </w:r>
      <w:r w:rsidR="00316FB0">
        <w:rPr>
          <w:rStyle w:val="apple-converted-space"/>
          <w:color w:val="212121"/>
          <w:szCs w:val="22"/>
        </w:rPr>
        <w:t>broadcasters and prospective forward auction bidders</w:t>
      </w:r>
      <w:r w:rsidR="0030221B" w:rsidRPr="00A612C9">
        <w:rPr>
          <w:rStyle w:val="apple-converted-space"/>
          <w:color w:val="212121"/>
          <w:szCs w:val="22"/>
        </w:rPr>
        <w:t>.</w:t>
      </w:r>
      <w:r w:rsidR="0030221B" w:rsidRPr="00A612C9">
        <w:rPr>
          <w:rStyle w:val="FootnoteReference"/>
          <w:color w:val="212121"/>
          <w:sz w:val="22"/>
          <w:szCs w:val="22"/>
        </w:rPr>
        <w:footnoteReference w:id="53"/>
      </w:r>
      <w:r w:rsidR="0030221B" w:rsidRPr="00C23CC7">
        <w:rPr>
          <w:rStyle w:val="apple-converted-space"/>
          <w:color w:val="212121"/>
        </w:rPr>
        <w:t xml:space="preserve">  </w:t>
      </w:r>
      <w:r w:rsidR="001E1D6C" w:rsidRPr="00760E1A">
        <w:rPr>
          <w:szCs w:val="22"/>
        </w:rPr>
        <w:t>Moreover, delaying the auction until all reviews and appeals are final would not be justified by rule or precedent and would be inconsistent with Congress’s goals in enacting the Spectrum Act.</w:t>
      </w:r>
      <w:r w:rsidR="001E1D6C" w:rsidRPr="00760E1A">
        <w:rPr>
          <w:rStyle w:val="FootnoteReference"/>
          <w:sz w:val="22"/>
          <w:szCs w:val="22"/>
        </w:rPr>
        <w:footnoteReference w:id="54"/>
      </w:r>
      <w:r w:rsidR="00BE42C3">
        <w:rPr>
          <w:color w:val="000000"/>
          <w:szCs w:val="22"/>
        </w:rPr>
        <w:t xml:space="preserve">  </w:t>
      </w:r>
      <w:r w:rsidR="001E1D6C" w:rsidRPr="00BE42C3">
        <w:rPr>
          <w:color w:val="000000"/>
          <w:szCs w:val="22"/>
        </w:rPr>
        <w:t xml:space="preserve">  </w:t>
      </w:r>
    </w:p>
    <w:p w14:paraId="466137DD" w14:textId="0BDCC487" w:rsidR="00BE42C3" w:rsidRPr="005D4DE0" w:rsidRDefault="00BE42C3" w:rsidP="00CB0033">
      <w:pPr>
        <w:pStyle w:val="ParaNum"/>
        <w:widowControl/>
        <w:tabs>
          <w:tab w:val="num" w:pos="360"/>
        </w:tabs>
        <w:rPr>
          <w:color w:val="000000"/>
          <w:szCs w:val="22"/>
        </w:rPr>
      </w:pPr>
      <w:r>
        <w:t>Videohouse claims that the Commission’s “actions . . . necessitated this motion</w:t>
      </w:r>
      <w:r w:rsidR="006C61FF">
        <w:t>,</w:t>
      </w:r>
      <w:r>
        <w:t>”</w:t>
      </w:r>
      <w:r w:rsidR="006C61FF">
        <w:t xml:space="preserve"> alleging that the Commission “engineer[ed] resolution of [this] matter . . . ‘to avoid judicial review.’”</w:t>
      </w:r>
      <w:r>
        <w:rPr>
          <w:rStyle w:val="FootnoteReference"/>
        </w:rPr>
        <w:footnoteReference w:id="55"/>
      </w:r>
      <w:r w:rsidR="006C61FF">
        <w:t xml:space="preserve">  In fact, any blame for the delay in bringing this matter to the court lies squarely with Videohouse.  </w:t>
      </w:r>
      <w:r>
        <w:t>Videohouse</w:t>
      </w:r>
      <w:r w:rsidR="006C61FF">
        <w:t xml:space="preserve"> </w:t>
      </w:r>
      <w:r w:rsidRPr="00760E1A">
        <w:t>fail</w:t>
      </w:r>
      <w:r w:rsidR="006C61FF">
        <w:t>ed</w:t>
      </w:r>
      <w:r w:rsidRPr="00760E1A">
        <w:t xml:space="preserve"> to advocate for protection of its station until after adoption of the </w:t>
      </w:r>
      <w:r w:rsidR="006C61FF">
        <w:t xml:space="preserve">June 2014 </w:t>
      </w:r>
      <w:r w:rsidRPr="00760E1A">
        <w:rPr>
          <w:i/>
        </w:rPr>
        <w:t>Incentive Auction R&amp;O</w:t>
      </w:r>
      <w:r>
        <w:t>.</w:t>
      </w:r>
      <w:r>
        <w:rPr>
          <w:rStyle w:val="FootnoteReference"/>
        </w:rPr>
        <w:footnoteReference w:id="56"/>
      </w:r>
      <w:r>
        <w:t xml:space="preserve">  </w:t>
      </w:r>
      <w:r w:rsidR="00E110B3">
        <w:t>A</w:t>
      </w:r>
      <w:r>
        <w:t xml:space="preserve">fter the Commission </w:t>
      </w:r>
      <w:r w:rsidR="00E110B3">
        <w:t xml:space="preserve">rejected </w:t>
      </w:r>
      <w:r>
        <w:t xml:space="preserve">Videohouse’s Petition for Reconsideration of the </w:t>
      </w:r>
      <w:r w:rsidRPr="00BE42C3">
        <w:rPr>
          <w:i/>
        </w:rPr>
        <w:t>Incentive Auction R&amp;O</w:t>
      </w:r>
      <w:r>
        <w:t xml:space="preserve">, Videohouse </w:t>
      </w:r>
      <w:r w:rsidR="00E110B3">
        <w:t xml:space="preserve">chose to again seek reconsideration by the Commission </w:t>
      </w:r>
      <w:r>
        <w:t>in September 2015</w:t>
      </w:r>
      <w:r w:rsidR="00E110B3">
        <w:t>, in full knowledge that the incentive auction was scheduled to begin on March 29, 2016</w:t>
      </w:r>
      <w:r>
        <w:t>.</w:t>
      </w:r>
      <w:r>
        <w:rPr>
          <w:rStyle w:val="FootnoteReference"/>
        </w:rPr>
        <w:footnoteReference w:id="57"/>
      </w:r>
      <w:r w:rsidR="006C61FF">
        <w:t xml:space="preserve">  </w:t>
      </w:r>
    </w:p>
    <w:p w14:paraId="1AA8E4BE" w14:textId="55A89EB8" w:rsidR="005D4DE0" w:rsidRPr="00BE42C3" w:rsidRDefault="00CA64F4" w:rsidP="00CB0033">
      <w:pPr>
        <w:pStyle w:val="ParaNum"/>
        <w:widowControl/>
        <w:tabs>
          <w:tab w:val="num" w:pos="360"/>
        </w:tabs>
        <w:rPr>
          <w:color w:val="000000"/>
          <w:szCs w:val="22"/>
        </w:rPr>
      </w:pPr>
      <w:r>
        <w:t xml:space="preserve">Last, </w:t>
      </w:r>
      <w:r w:rsidR="005D4DE0">
        <w:t xml:space="preserve">Videohouse claims that </w:t>
      </w:r>
      <w:r>
        <w:t>excluding it from the</w:t>
      </w:r>
      <w:r w:rsidR="005D4DE0">
        <w:t xml:space="preserve"> auction will </w:t>
      </w:r>
      <w:r>
        <w:t>undercut</w:t>
      </w:r>
      <w:r w:rsidR="005D4DE0">
        <w:t xml:space="preserve"> Congress’s </w:t>
      </w:r>
      <w:r>
        <w:t>and</w:t>
      </w:r>
      <w:r w:rsidR="005D4DE0">
        <w:t xml:space="preserve"> the Commission’s goals </w:t>
      </w:r>
      <w:r>
        <w:t>for the auction</w:t>
      </w:r>
      <w:r w:rsidR="006C61FF">
        <w:t>.</w:t>
      </w:r>
      <w:r w:rsidR="006C61FF">
        <w:rPr>
          <w:rStyle w:val="FootnoteReference"/>
        </w:rPr>
        <w:footnoteReference w:id="58"/>
      </w:r>
      <w:r w:rsidR="006C61FF">
        <w:t xml:space="preserve">  This claim is a rehash of Videohouse’s </w:t>
      </w:r>
      <w:r w:rsidR="00591911">
        <w:t xml:space="preserve">argument </w:t>
      </w:r>
      <w:r w:rsidR="006C61FF">
        <w:t xml:space="preserve">that it is likely to succeed on the merits.  The Commission has determined that Videohouse is not eligible for protection in the repacking process or to participate in the reverse auction.  </w:t>
      </w:r>
      <w:r>
        <w:t>P</w:t>
      </w:r>
      <w:r w:rsidR="006C61FF">
        <w:t xml:space="preserve">rotecting Videohouse would unnecessarily encumber </w:t>
      </w:r>
      <w:r w:rsidR="00D46B10" w:rsidRPr="00A01297">
        <w:rPr>
          <w:color w:val="000000"/>
          <w:szCs w:val="22"/>
        </w:rPr>
        <w:t>additional broadcast television spectrum, thereby increasing the number of constraints on the repacking process and limiting the Commission’s flexibility to repurpose spectrum for flexible use</w:t>
      </w:r>
      <w:r w:rsidR="00D46B10">
        <w:rPr>
          <w:color w:val="000000"/>
          <w:szCs w:val="22"/>
        </w:rPr>
        <w:t>.</w:t>
      </w:r>
      <w:r w:rsidR="00B8320C">
        <w:rPr>
          <w:rStyle w:val="FootnoteReference"/>
          <w:szCs w:val="22"/>
        </w:rPr>
        <w:footnoteReference w:id="59"/>
      </w:r>
    </w:p>
    <w:p w14:paraId="5C5BFD20" w14:textId="77777777" w:rsidR="001E1D6C" w:rsidRPr="001E1D6C" w:rsidRDefault="001E1D6C" w:rsidP="00CB0033">
      <w:pPr>
        <w:pStyle w:val="Heading1"/>
        <w:widowControl/>
        <w:rPr>
          <w:rFonts w:ascii="Times New Roman" w:hAnsi="Times New Roman"/>
          <w:color w:val="000000"/>
          <w:szCs w:val="22"/>
        </w:rPr>
      </w:pPr>
      <w:r w:rsidRPr="001E1D6C">
        <w:rPr>
          <w:rFonts w:ascii="Times New Roman" w:hAnsi="Times New Roman"/>
          <w:color w:val="000000"/>
          <w:szCs w:val="22"/>
        </w:rPr>
        <w:t>Ordering Clauses</w:t>
      </w:r>
    </w:p>
    <w:p w14:paraId="500AA5FE" w14:textId="77777777" w:rsidR="001E1D6C" w:rsidRDefault="001E1D6C" w:rsidP="00CB0033">
      <w:pPr>
        <w:pStyle w:val="ParaNum"/>
        <w:widowControl/>
        <w:tabs>
          <w:tab w:val="num" w:pos="360"/>
        </w:tabs>
        <w:rPr>
          <w:color w:val="000000"/>
          <w:szCs w:val="22"/>
        </w:rPr>
      </w:pPr>
      <w:r w:rsidRPr="001E1D6C">
        <w:rPr>
          <w:color w:val="000000"/>
          <w:szCs w:val="22"/>
        </w:rPr>
        <w:t>Accordingly, IT IS ORDERED, pursuant to the authority contained in Sections 1, 4(i), 4(j), 5, 301, 303, and 309 of the Communications Act of 1934, as amended, and Sections 6402 and 6403 of Middle Class Tax Relief and Job Creation Act of 2012, Pub. L. No. 112-96, 126 Stat. 156, 47 U.S.C. §§ 151, 154(i)-(j), 155, 301, 303, 309, 1452, and the authority delegated pursuant to Sections 0.61 and 0.283 of the Commission’s rules, 47 C.F.R. §§ 0.61, 0.283, this Order Denying Stay Motion in GN Docket No. 12-268 IS ADOPTED.</w:t>
      </w:r>
    </w:p>
    <w:p w14:paraId="438ED44B" w14:textId="77777777" w:rsidR="001E1D6C" w:rsidRPr="001E1D6C" w:rsidRDefault="001E1D6C" w:rsidP="00CB0033">
      <w:pPr>
        <w:pStyle w:val="ParaNum"/>
        <w:widowControl/>
        <w:tabs>
          <w:tab w:val="num" w:pos="360"/>
        </w:tabs>
        <w:rPr>
          <w:color w:val="000000"/>
          <w:szCs w:val="22"/>
        </w:rPr>
      </w:pPr>
      <w:r w:rsidRPr="001E1D6C">
        <w:rPr>
          <w:color w:val="000000"/>
          <w:szCs w:val="22"/>
        </w:rPr>
        <w:t xml:space="preserve">IT IS FURTHER ORDERED that the Emergency Motion for Stay filed by </w:t>
      </w:r>
      <w:r w:rsidR="007125F7">
        <w:rPr>
          <w:color w:val="000000"/>
          <w:szCs w:val="22"/>
        </w:rPr>
        <w:t xml:space="preserve">The Videohouse, Inc. </w:t>
      </w:r>
      <w:r w:rsidRPr="001E1D6C">
        <w:rPr>
          <w:color w:val="000000"/>
          <w:szCs w:val="22"/>
        </w:rPr>
        <w:t>IS DENIED.</w:t>
      </w:r>
    </w:p>
    <w:p w14:paraId="597324F9" w14:textId="77777777" w:rsidR="001E1D6C" w:rsidRPr="001E1D6C" w:rsidRDefault="001E1D6C" w:rsidP="00CB0033">
      <w:pPr>
        <w:widowControl/>
        <w:rPr>
          <w:color w:val="000000"/>
          <w:szCs w:val="22"/>
        </w:rPr>
      </w:pPr>
    </w:p>
    <w:p w14:paraId="315E5B98" w14:textId="77777777" w:rsidR="001E1D6C" w:rsidRPr="001E1D6C" w:rsidRDefault="001E1D6C" w:rsidP="00CB0033">
      <w:pPr>
        <w:widowControl/>
        <w:ind w:left="3600" w:firstLine="720"/>
        <w:rPr>
          <w:color w:val="000000"/>
          <w:szCs w:val="22"/>
        </w:rPr>
      </w:pPr>
      <w:r w:rsidRPr="001E1D6C">
        <w:rPr>
          <w:color w:val="000000"/>
          <w:szCs w:val="22"/>
        </w:rPr>
        <w:t>FEDERAL COMMUNICATIONS COMMISSION</w:t>
      </w:r>
    </w:p>
    <w:p w14:paraId="0BECA8B8" w14:textId="77777777" w:rsidR="001E1D6C" w:rsidRPr="001E1D6C" w:rsidRDefault="001E1D6C" w:rsidP="00CB0033">
      <w:pPr>
        <w:widowControl/>
        <w:rPr>
          <w:color w:val="000000"/>
          <w:szCs w:val="22"/>
        </w:rPr>
      </w:pPr>
    </w:p>
    <w:p w14:paraId="11114DCC" w14:textId="77777777" w:rsidR="001E1D6C" w:rsidRPr="001E1D6C" w:rsidRDefault="001E1D6C" w:rsidP="00CB0033">
      <w:pPr>
        <w:widowControl/>
        <w:rPr>
          <w:color w:val="000000"/>
          <w:szCs w:val="22"/>
        </w:rPr>
      </w:pPr>
    </w:p>
    <w:p w14:paraId="5FE2525D" w14:textId="77777777" w:rsidR="001E1D6C" w:rsidRPr="001E1D6C" w:rsidRDefault="001E1D6C" w:rsidP="00CB0033">
      <w:pPr>
        <w:widowControl/>
        <w:rPr>
          <w:color w:val="000000"/>
          <w:szCs w:val="22"/>
        </w:rPr>
      </w:pPr>
    </w:p>
    <w:p w14:paraId="087EB007" w14:textId="77777777" w:rsidR="001E1D6C" w:rsidRPr="001E1D6C" w:rsidRDefault="001E1D6C" w:rsidP="00CB0033">
      <w:pPr>
        <w:widowControl/>
        <w:rPr>
          <w:color w:val="000000"/>
          <w:szCs w:val="22"/>
        </w:rPr>
      </w:pPr>
    </w:p>
    <w:p w14:paraId="7F33A1C7" w14:textId="77777777" w:rsidR="001E1D6C" w:rsidRPr="001E1D6C" w:rsidRDefault="001E1D6C" w:rsidP="00CB0033">
      <w:pPr>
        <w:widowControl/>
        <w:ind w:left="4320"/>
        <w:rPr>
          <w:color w:val="000000"/>
          <w:szCs w:val="22"/>
        </w:rPr>
      </w:pPr>
      <w:r w:rsidRPr="001E1D6C">
        <w:rPr>
          <w:color w:val="000000"/>
          <w:szCs w:val="22"/>
        </w:rPr>
        <w:t>William T. Lake</w:t>
      </w:r>
    </w:p>
    <w:p w14:paraId="7AD25A0F" w14:textId="77777777" w:rsidR="001E1D6C" w:rsidRPr="001E1D6C" w:rsidRDefault="001E1D6C" w:rsidP="00CB0033">
      <w:pPr>
        <w:widowControl/>
        <w:ind w:left="4320"/>
        <w:rPr>
          <w:color w:val="000000"/>
          <w:szCs w:val="22"/>
        </w:rPr>
      </w:pPr>
      <w:r w:rsidRPr="001E1D6C">
        <w:rPr>
          <w:color w:val="000000"/>
          <w:szCs w:val="22"/>
        </w:rPr>
        <w:t>Chief</w:t>
      </w:r>
    </w:p>
    <w:p w14:paraId="72D5DA92" w14:textId="77777777" w:rsidR="002C00E8" w:rsidRPr="002C00E8" w:rsidRDefault="002C00E8" w:rsidP="00CB0033">
      <w:pPr>
        <w:pStyle w:val="Heading1"/>
        <w:widowControl/>
        <w:numPr>
          <w:ilvl w:val="0"/>
          <w:numId w:val="0"/>
        </w:numPr>
        <w:ind w:left="720" w:hanging="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41822" w14:textId="77777777" w:rsidR="00F01B1E" w:rsidRDefault="00F01B1E">
      <w:pPr>
        <w:spacing w:line="20" w:lineRule="exact"/>
      </w:pPr>
    </w:p>
  </w:endnote>
  <w:endnote w:type="continuationSeparator" w:id="0">
    <w:p w14:paraId="34CC552C" w14:textId="77777777" w:rsidR="00F01B1E" w:rsidRDefault="00F01B1E">
      <w:r>
        <w:t xml:space="preserve"> </w:t>
      </w:r>
    </w:p>
  </w:endnote>
  <w:endnote w:type="continuationNotice" w:id="1">
    <w:p w14:paraId="0E74575A" w14:textId="77777777" w:rsidR="00F01B1E" w:rsidRDefault="00F01B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211C" w14:textId="77777777" w:rsidR="00E110B3" w:rsidRDefault="00E110B3" w:rsidP="0055614C">
    <w:pPr>
      <w:pStyle w:val="Footer"/>
      <w:framePr w:wrap="around" w:vAnchor="text" w:hAnchor="margin" w:xAlign="center" w:y="1"/>
    </w:pPr>
    <w:r>
      <w:fldChar w:fldCharType="begin"/>
    </w:r>
    <w:r>
      <w:instrText xml:space="preserve">PAGE  </w:instrText>
    </w:r>
    <w:r>
      <w:fldChar w:fldCharType="end"/>
    </w:r>
  </w:p>
  <w:p w14:paraId="16DAF502" w14:textId="77777777" w:rsidR="00E110B3" w:rsidRDefault="00E11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666C" w14:textId="77777777" w:rsidR="00E110B3" w:rsidRDefault="00E110B3" w:rsidP="0055614C">
    <w:pPr>
      <w:pStyle w:val="Footer"/>
      <w:framePr w:wrap="around" w:vAnchor="text" w:hAnchor="margin" w:xAlign="center" w:y="1"/>
    </w:pPr>
    <w:r>
      <w:fldChar w:fldCharType="begin"/>
    </w:r>
    <w:r>
      <w:instrText xml:space="preserve">PAGE  </w:instrText>
    </w:r>
    <w:r>
      <w:fldChar w:fldCharType="separate"/>
    </w:r>
    <w:r w:rsidR="00162AB2">
      <w:rPr>
        <w:noProof/>
      </w:rPr>
      <w:t>2</w:t>
    </w:r>
    <w:r>
      <w:fldChar w:fldCharType="end"/>
    </w:r>
  </w:p>
  <w:p w14:paraId="08601A86" w14:textId="77777777" w:rsidR="00E110B3" w:rsidRDefault="00E110B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67D30" w14:textId="77777777" w:rsidR="00E110B3" w:rsidRDefault="00E110B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8E643" w14:textId="77777777" w:rsidR="00F01B1E" w:rsidRDefault="00F01B1E">
      <w:r>
        <w:separator/>
      </w:r>
    </w:p>
  </w:footnote>
  <w:footnote w:type="continuationSeparator" w:id="0">
    <w:p w14:paraId="5B9663B0" w14:textId="77777777" w:rsidR="00F01B1E" w:rsidRDefault="00F01B1E" w:rsidP="00C721AC">
      <w:pPr>
        <w:spacing w:before="120"/>
        <w:rPr>
          <w:sz w:val="20"/>
        </w:rPr>
      </w:pPr>
      <w:r>
        <w:rPr>
          <w:sz w:val="20"/>
        </w:rPr>
        <w:t xml:space="preserve">(Continued from previous page)  </w:t>
      </w:r>
      <w:r>
        <w:rPr>
          <w:sz w:val="20"/>
        </w:rPr>
        <w:separator/>
      </w:r>
    </w:p>
  </w:footnote>
  <w:footnote w:type="continuationNotice" w:id="1">
    <w:p w14:paraId="19D9DF25" w14:textId="77777777" w:rsidR="00F01B1E" w:rsidRDefault="00F01B1E" w:rsidP="00C721AC">
      <w:pPr>
        <w:jc w:val="right"/>
        <w:rPr>
          <w:sz w:val="20"/>
        </w:rPr>
      </w:pPr>
      <w:r>
        <w:rPr>
          <w:sz w:val="20"/>
        </w:rPr>
        <w:t>(continued….)</w:t>
      </w:r>
    </w:p>
  </w:footnote>
  <w:footnote w:id="2">
    <w:p w14:paraId="22A97EB1" w14:textId="7A128652" w:rsidR="00E110B3" w:rsidRPr="00760E1A" w:rsidRDefault="00E110B3" w:rsidP="00756EB4">
      <w:pPr>
        <w:pStyle w:val="FootnoteText"/>
      </w:pPr>
      <w:r w:rsidRPr="00760E1A">
        <w:rPr>
          <w:rStyle w:val="FootnoteReference"/>
        </w:rPr>
        <w:footnoteRef/>
      </w:r>
      <w:r w:rsidRPr="00760E1A">
        <w:t xml:space="preserve"> Emergency Motion for Stay filed by </w:t>
      </w:r>
      <w:r>
        <w:t>The Videohouse Inc.,</w:t>
      </w:r>
      <w:r w:rsidRPr="00760E1A">
        <w:t xml:space="preserve"> GN  Docket No. 12-268 (filed Feb. 2</w:t>
      </w:r>
      <w:r>
        <w:t>9</w:t>
      </w:r>
      <w:r w:rsidRPr="00760E1A">
        <w:t xml:space="preserve">, 2016) (Stay Motion).  </w:t>
      </w:r>
      <w:r>
        <w:t xml:space="preserve">On February 12, 2016, Videohouse, along with Fifth Street Enterprises, LLC (“Fifth Street”) and WMTM, LLC (“WMTM”) (collectively, “Petitioners”), </w:t>
      </w:r>
      <w:r w:rsidRPr="00760E1A">
        <w:rPr>
          <w:color w:val="000000"/>
        </w:rPr>
        <w:t xml:space="preserve">filed a Petition for Review of the </w:t>
      </w:r>
      <w:r w:rsidRPr="00760E1A">
        <w:rPr>
          <w:i/>
          <w:color w:val="000000"/>
        </w:rPr>
        <w:t>2016 Reconsideration Order</w:t>
      </w:r>
      <w:r w:rsidRPr="00760E1A">
        <w:rPr>
          <w:color w:val="000000"/>
        </w:rPr>
        <w:t xml:space="preserve"> </w:t>
      </w:r>
      <w:r>
        <w:rPr>
          <w:color w:val="000000"/>
        </w:rPr>
        <w:t xml:space="preserve">and related Orders </w:t>
      </w:r>
      <w:r w:rsidRPr="00760E1A">
        <w:rPr>
          <w:color w:val="000000"/>
        </w:rPr>
        <w:t xml:space="preserve">with the United States Court of Appeals </w:t>
      </w:r>
      <w:r w:rsidRPr="00760E1A">
        <w:t xml:space="preserve">for the District of Columbia Circuit (“D.C. Circuit”).  </w:t>
      </w:r>
      <w:r w:rsidRPr="00760E1A">
        <w:rPr>
          <w:i/>
        </w:rPr>
        <w:t>See</w:t>
      </w:r>
      <w:r w:rsidRPr="00760E1A">
        <w:t xml:space="preserve"> Petition for Review, </w:t>
      </w:r>
      <w:r>
        <w:rPr>
          <w:i/>
        </w:rPr>
        <w:t xml:space="preserve">The Videohouse, Inc. et al. </w:t>
      </w:r>
      <w:r w:rsidRPr="00760E1A">
        <w:rPr>
          <w:i/>
        </w:rPr>
        <w:t>v. FCC</w:t>
      </w:r>
      <w:r w:rsidRPr="00760E1A">
        <w:t>, No. 16-106</w:t>
      </w:r>
      <w:r>
        <w:t>0</w:t>
      </w:r>
      <w:r w:rsidRPr="00760E1A">
        <w:t xml:space="preserve"> (D.C. Cir. filed Feb. 1</w:t>
      </w:r>
      <w:r>
        <w:t>2</w:t>
      </w:r>
      <w:r w:rsidRPr="00760E1A">
        <w:t>, 2016)</w:t>
      </w:r>
      <w:r>
        <w:t xml:space="preserve">; Brief for Petitioners, </w:t>
      </w:r>
      <w:r>
        <w:rPr>
          <w:i/>
        </w:rPr>
        <w:t xml:space="preserve">The Videohouse, Inc. et al. </w:t>
      </w:r>
      <w:r w:rsidRPr="00760E1A">
        <w:rPr>
          <w:i/>
        </w:rPr>
        <w:t>v. FCC</w:t>
      </w:r>
      <w:r w:rsidRPr="00760E1A">
        <w:t>, No. 16-106</w:t>
      </w:r>
      <w:r>
        <w:t>0</w:t>
      </w:r>
      <w:r w:rsidRPr="00760E1A">
        <w:t xml:space="preserve"> (D.C. Cir. filed Feb. </w:t>
      </w:r>
      <w:r>
        <w:t>25</w:t>
      </w:r>
      <w:r w:rsidRPr="00760E1A">
        <w:t>, 2016)</w:t>
      </w:r>
      <w:r>
        <w:t xml:space="preserve"> (“Petitioners Brief”)</w:t>
      </w:r>
      <w:r w:rsidRPr="00760E1A">
        <w:t>.</w:t>
      </w:r>
      <w:r>
        <w:t xml:space="preserve">  </w:t>
      </w:r>
      <w:r w:rsidRPr="00AD0626">
        <w:rPr>
          <w:i/>
        </w:rPr>
        <w:t>See also</w:t>
      </w:r>
      <w:r>
        <w:t xml:space="preserve"> </w:t>
      </w:r>
      <w:r w:rsidRPr="00760E1A">
        <w:rPr>
          <w:i/>
          <w:color w:val="000000"/>
        </w:rPr>
        <w:t>Expanding the Economic and Innovation Opportunities of Spectrum Through Incentive Auctions</w:t>
      </w:r>
      <w:r w:rsidRPr="00760E1A">
        <w:rPr>
          <w:color w:val="000000"/>
        </w:rPr>
        <w:t>, GN Docket No. 12-268, Order on Reconsideration, FCC 16-12 (</w:t>
      </w:r>
      <w:r w:rsidR="003C1A45">
        <w:rPr>
          <w:color w:val="000000"/>
        </w:rPr>
        <w:t xml:space="preserve">Feb. 12, </w:t>
      </w:r>
      <w:r w:rsidRPr="00760E1A">
        <w:rPr>
          <w:color w:val="000000"/>
        </w:rPr>
        <w:t>2016) (“</w:t>
      </w:r>
      <w:r w:rsidRPr="00760E1A">
        <w:rPr>
          <w:i/>
          <w:color w:val="000000"/>
        </w:rPr>
        <w:t>2016 Reconsideration Order</w:t>
      </w:r>
      <w:r w:rsidRPr="00760E1A">
        <w:rPr>
          <w:color w:val="000000"/>
        </w:rPr>
        <w:t>”).</w:t>
      </w:r>
      <w:r>
        <w:rPr>
          <w:color w:val="000000"/>
        </w:rPr>
        <w:t xml:space="preserve">  Two of the three Petitioners, Fifth Street and WMTM, have not filed a stay request with the Commission.</w:t>
      </w:r>
    </w:p>
  </w:footnote>
  <w:footnote w:id="3">
    <w:p w14:paraId="5B6E234B" w14:textId="77777777" w:rsidR="00E110B3" w:rsidRPr="00760E1A" w:rsidRDefault="00E110B3" w:rsidP="001E1D6C">
      <w:pPr>
        <w:pStyle w:val="FootnoteText"/>
      </w:pPr>
      <w:r w:rsidRPr="00760E1A">
        <w:rPr>
          <w:rStyle w:val="FootnoteReference"/>
        </w:rPr>
        <w:footnoteRef/>
      </w:r>
      <w:r w:rsidRPr="00760E1A">
        <w:t xml:space="preserve"> </w:t>
      </w:r>
      <w:r w:rsidRPr="001E1D6C">
        <w:rPr>
          <w:i/>
          <w:color w:val="000000"/>
        </w:rPr>
        <w:t>Expanding the Economic and Innovation Opportunities of Spectrum Through Incentive Auctions</w:t>
      </w:r>
      <w:r w:rsidRPr="001E1D6C">
        <w:rPr>
          <w:color w:val="000000"/>
        </w:rPr>
        <w:t>, GN Docket No. 12-268, Report and Order, 29 FCC Rcd 6567 (2014) (</w:t>
      </w:r>
      <w:r w:rsidRPr="001E1D6C">
        <w:rPr>
          <w:i/>
          <w:color w:val="000000"/>
        </w:rPr>
        <w:t>Incentive Auction R&amp;O</w:t>
      </w:r>
      <w:r w:rsidRPr="001E1D6C">
        <w:rPr>
          <w:color w:val="000000"/>
        </w:rPr>
        <w:t xml:space="preserve">), </w:t>
      </w:r>
      <w:r w:rsidRPr="001E1D6C">
        <w:rPr>
          <w:i/>
          <w:color w:val="000000"/>
        </w:rPr>
        <w:t>aff’d, Nat’l Assoc. of Broadcasters, et al. v. FCC</w:t>
      </w:r>
      <w:r w:rsidRPr="001E1D6C">
        <w:rPr>
          <w:color w:val="000000"/>
        </w:rPr>
        <w:t xml:space="preserve">, </w:t>
      </w:r>
      <w:r w:rsidRPr="001E1D6C">
        <w:rPr>
          <w:snapToGrid w:val="0"/>
          <w:color w:val="000000"/>
        </w:rPr>
        <w:t>789 F.3d 165</w:t>
      </w:r>
      <w:r w:rsidRPr="001E1D6C">
        <w:rPr>
          <w:color w:val="000000"/>
        </w:rPr>
        <w:t xml:space="preserve"> (D.C. Cir. 2015).  </w:t>
      </w:r>
    </w:p>
  </w:footnote>
  <w:footnote w:id="4">
    <w:p w14:paraId="2B4CC9AA" w14:textId="77777777" w:rsidR="00E110B3" w:rsidRPr="00760E1A" w:rsidRDefault="00E110B3" w:rsidP="001E1D6C">
      <w:pPr>
        <w:pStyle w:val="FootnoteText"/>
      </w:pPr>
      <w:r w:rsidRPr="00760E1A">
        <w:rPr>
          <w:rStyle w:val="FootnoteReference"/>
        </w:rPr>
        <w:footnoteRef/>
      </w:r>
      <w:r w:rsidRPr="00760E1A">
        <w:t xml:space="preserve"> Middle Class Tax Relief and Job Creation Act of 2012, Pub. L. No. 112-96, §§ 6402 (codified at 47 U.S.C. § 309(j)(8)(G)), 6403 (codified at 47 U.S.C. § 1452), 126 Stat. 156 (2012) (Spectrum Act).</w:t>
      </w:r>
    </w:p>
  </w:footnote>
  <w:footnote w:id="5">
    <w:p w14:paraId="3BE15B4B" w14:textId="77777777" w:rsidR="00E110B3" w:rsidRPr="001E1D6C" w:rsidRDefault="00E110B3" w:rsidP="001E1D6C">
      <w:pPr>
        <w:pStyle w:val="FootnoteText"/>
        <w:widowControl w:val="0"/>
        <w:rPr>
          <w:color w:val="000000"/>
        </w:rPr>
      </w:pPr>
      <w:r w:rsidRPr="001E1D6C">
        <w:rPr>
          <w:rStyle w:val="FootnoteReference"/>
          <w:color w:val="000000"/>
        </w:rPr>
        <w:footnoteRef/>
      </w:r>
      <w:r w:rsidRPr="001E1D6C">
        <w:rPr>
          <w:color w:val="000000"/>
        </w:rPr>
        <w:t xml:space="preserve"> February 22, 2012 is the enactment date of the Spectrum Act.  </w:t>
      </w:r>
      <w:r w:rsidRPr="001E1D6C">
        <w:rPr>
          <w:i/>
          <w:color w:val="000000"/>
        </w:rPr>
        <w:t>See</w:t>
      </w:r>
      <w:r w:rsidRPr="001E1D6C">
        <w:rPr>
          <w:color w:val="000000"/>
        </w:rPr>
        <w:t xml:space="preserve"> 47 U.S.C. § 1452(b)(2); </w:t>
      </w:r>
      <w:r w:rsidRPr="001E1D6C">
        <w:rPr>
          <w:i/>
          <w:color w:val="000000"/>
        </w:rPr>
        <w:t>Incentive Auction R&amp;O</w:t>
      </w:r>
      <w:r w:rsidRPr="001E1D6C">
        <w:rPr>
          <w:color w:val="000000"/>
        </w:rPr>
        <w:t xml:space="preserve">, 29 FCC Rcd at 6652-54, paras. 185-89.  </w:t>
      </w:r>
      <w:r w:rsidRPr="00760E1A">
        <w:t>Through the repacking process, the Commission will reorganize the television bands to make spectrum available to carry out a forward auction of new, flexible-use licenses suitable for providing mobile broadband services.</w:t>
      </w:r>
      <w:r w:rsidRPr="001E1D6C">
        <w:rPr>
          <w:color w:val="000000"/>
        </w:rPr>
        <w:t xml:space="preserve">  </w:t>
      </w:r>
    </w:p>
  </w:footnote>
  <w:footnote w:id="6">
    <w:p w14:paraId="4F783299" w14:textId="77777777" w:rsidR="00E110B3" w:rsidRPr="001E1D6C" w:rsidRDefault="00E110B3" w:rsidP="00511229">
      <w:pPr>
        <w:pStyle w:val="FootnoteText"/>
        <w:rPr>
          <w:color w:val="000000"/>
        </w:rPr>
      </w:pPr>
      <w:r w:rsidRPr="001E1D6C">
        <w:rPr>
          <w:rStyle w:val="FootnoteReference"/>
          <w:color w:val="000000"/>
        </w:rPr>
        <w:footnoteRef/>
      </w:r>
      <w:r w:rsidRPr="001E1D6C">
        <w:rPr>
          <w:color w:val="000000"/>
        </w:rPr>
        <w:t xml:space="preserve"> </w:t>
      </w:r>
      <w:r w:rsidRPr="001E1D6C">
        <w:rPr>
          <w:i/>
          <w:color w:val="000000"/>
        </w:rPr>
        <w:t>Incentive Auction R&amp;O</w:t>
      </w:r>
      <w:r w:rsidRPr="001E1D6C">
        <w:rPr>
          <w:color w:val="000000"/>
        </w:rPr>
        <w:t xml:space="preserve">, 29 FCC Rcd at 6654-55, para. 191.  </w:t>
      </w:r>
      <w:r w:rsidRPr="00772831">
        <w:rPr>
          <w:color w:val="000000"/>
          <w:szCs w:val="22"/>
        </w:rPr>
        <w:t>The Commission also has explained that reverse auction participation is limited to the licensees of full power and Class A television stations that will be protected in the repacking process</w:t>
      </w:r>
      <w:r>
        <w:rPr>
          <w:color w:val="000000"/>
          <w:szCs w:val="22"/>
        </w:rPr>
        <w:t xml:space="preserve">.  </w:t>
      </w:r>
      <w:r w:rsidRPr="00760E1A">
        <w:rPr>
          <w:i/>
        </w:rPr>
        <w:t>See</w:t>
      </w:r>
      <w:r w:rsidRPr="00760E1A">
        <w:t xml:space="preserve"> </w:t>
      </w:r>
      <w:r w:rsidRPr="001E1D6C">
        <w:rPr>
          <w:i/>
          <w:color w:val="000000"/>
        </w:rPr>
        <w:t>id.</w:t>
      </w:r>
      <w:r w:rsidRPr="001E1D6C">
        <w:rPr>
          <w:color w:val="000000"/>
        </w:rPr>
        <w:t xml:space="preserve"> at 6719, para. 357.</w:t>
      </w:r>
    </w:p>
  </w:footnote>
  <w:footnote w:id="7">
    <w:p w14:paraId="5139F611" w14:textId="2E38C9C6" w:rsidR="00E110B3" w:rsidRPr="001E1D6C" w:rsidRDefault="00E110B3" w:rsidP="001E1D6C">
      <w:pPr>
        <w:pStyle w:val="FootnoteText"/>
        <w:widowControl w:val="0"/>
        <w:rPr>
          <w:color w:val="000000"/>
        </w:rPr>
      </w:pPr>
      <w:r w:rsidRPr="001E1D6C">
        <w:rPr>
          <w:rStyle w:val="FootnoteReference"/>
          <w:color w:val="000000"/>
        </w:rPr>
        <w:footnoteRef/>
      </w:r>
      <w:r w:rsidRPr="001E1D6C">
        <w:rPr>
          <w:color w:val="000000"/>
        </w:rPr>
        <w:t xml:space="preserve"> </w:t>
      </w:r>
      <w:r w:rsidRPr="001E1D6C">
        <w:rPr>
          <w:i/>
          <w:color w:val="000000"/>
        </w:rPr>
        <w:t>See id.</w:t>
      </w:r>
      <w:r w:rsidRPr="001E1D6C">
        <w:rPr>
          <w:color w:val="000000"/>
        </w:rPr>
        <w:t xml:space="preserve"> at 6655-77, paras. 192-245.</w:t>
      </w:r>
      <w:r>
        <w:rPr>
          <w:color w:val="000000"/>
        </w:rPr>
        <w:t xml:space="preserve">  </w:t>
      </w:r>
    </w:p>
  </w:footnote>
  <w:footnote w:id="8">
    <w:p w14:paraId="37A1C5E4" w14:textId="77777777" w:rsidR="00E110B3" w:rsidRPr="00760E1A" w:rsidRDefault="00E110B3" w:rsidP="001E1D6C">
      <w:pPr>
        <w:pStyle w:val="FootnoteText"/>
        <w:rPr>
          <w:color w:val="000000"/>
        </w:rPr>
      </w:pPr>
      <w:r w:rsidRPr="00760E1A">
        <w:rPr>
          <w:rStyle w:val="FootnoteReference"/>
          <w:color w:val="000000"/>
        </w:rPr>
        <w:footnoteRef/>
      </w:r>
      <w:r w:rsidRPr="00760E1A">
        <w:rPr>
          <w:color w:val="000000"/>
        </w:rPr>
        <w:t xml:space="preserve"> </w:t>
      </w:r>
      <w:r w:rsidRPr="00760E1A">
        <w:rPr>
          <w:i/>
          <w:color w:val="000000"/>
        </w:rPr>
        <w:t>See Expanding the Economic and Innovation Opportunities of Spectrum Through Incentive Auctions</w:t>
      </w:r>
      <w:r w:rsidRPr="00760E1A">
        <w:rPr>
          <w:color w:val="000000"/>
        </w:rPr>
        <w:t>, GN Docket No. 12-268, Second Order on Reconsideration, 30 FCC Rcd 6746, 6774-75, para. 62 (2015) (“</w:t>
      </w:r>
      <w:r w:rsidRPr="00760E1A">
        <w:rPr>
          <w:i/>
          <w:color w:val="000000"/>
        </w:rPr>
        <w:t>2015 Reconsideration Order</w:t>
      </w:r>
      <w:r w:rsidRPr="00760E1A">
        <w:rPr>
          <w:color w:val="000000"/>
        </w:rPr>
        <w:t>”).</w:t>
      </w:r>
    </w:p>
  </w:footnote>
  <w:footnote w:id="9">
    <w:p w14:paraId="54317BE4" w14:textId="77777777" w:rsidR="00E110B3" w:rsidRPr="00A01297" w:rsidRDefault="00E110B3" w:rsidP="00511229">
      <w:pPr>
        <w:pStyle w:val="FootnoteText"/>
        <w:rPr>
          <w:color w:val="000000"/>
        </w:rPr>
      </w:pPr>
      <w:r w:rsidRPr="00A01297">
        <w:rPr>
          <w:rStyle w:val="FootnoteReference"/>
          <w:color w:val="000000"/>
        </w:rPr>
        <w:footnoteRef/>
      </w:r>
      <w:r w:rsidRPr="00A01297">
        <w:rPr>
          <w:color w:val="000000"/>
        </w:rPr>
        <w:t xml:space="preserve">  </w:t>
      </w:r>
      <w:r w:rsidRPr="00A01297">
        <w:rPr>
          <w:color w:val="000000"/>
          <w:szCs w:val="22"/>
        </w:rPr>
        <w:t>The Videohouse, Inc. (Videohouse), Abacus Television (Abacus), WMTM, LLC (WMTM), KMYA, LLC (KMYA)</w:t>
      </w:r>
      <w:r w:rsidRPr="00A01297">
        <w:rPr>
          <w:color w:val="000000"/>
        </w:rPr>
        <w:t xml:space="preserve"> Petition for Reconsideration, GN Docket No. 12-268 (filed Sept. 2, 2015)</w:t>
      </w:r>
      <w:r>
        <w:rPr>
          <w:color w:val="000000"/>
        </w:rPr>
        <w:t xml:space="preserve"> (“Videohouse Petition”)</w:t>
      </w:r>
      <w:r w:rsidRPr="00A01297">
        <w:rPr>
          <w:color w:val="000000"/>
        </w:rPr>
        <w:t xml:space="preserve">.  </w:t>
      </w:r>
    </w:p>
  </w:footnote>
  <w:footnote w:id="10">
    <w:p w14:paraId="096ABF49" w14:textId="77777777" w:rsidR="00E110B3" w:rsidRDefault="00E110B3" w:rsidP="00511229">
      <w:pPr>
        <w:pStyle w:val="FootnoteText"/>
      </w:pPr>
      <w:r>
        <w:rPr>
          <w:rStyle w:val="FootnoteReference"/>
        </w:rPr>
        <w:footnoteRef/>
      </w:r>
      <w:r>
        <w:t xml:space="preserve"> </w:t>
      </w:r>
      <w:r w:rsidRPr="00A01297">
        <w:rPr>
          <w:i/>
          <w:color w:val="000000"/>
        </w:rPr>
        <w:t xml:space="preserve">See </w:t>
      </w:r>
      <w:r w:rsidRPr="005E7DD4">
        <w:rPr>
          <w:i/>
          <w:color w:val="000000"/>
        </w:rPr>
        <w:t>2016 Reconsideration Order</w:t>
      </w:r>
      <w:r>
        <w:rPr>
          <w:color w:val="000000"/>
        </w:rPr>
        <w:t xml:space="preserve"> at paras. 7-19.  </w:t>
      </w:r>
    </w:p>
  </w:footnote>
  <w:footnote w:id="11">
    <w:p w14:paraId="5F3904BF" w14:textId="51B36D98" w:rsidR="00E110B3" w:rsidRPr="001E1D6C" w:rsidRDefault="00E110B3" w:rsidP="001E1D6C">
      <w:pPr>
        <w:pStyle w:val="FootnoteText"/>
        <w:rPr>
          <w:color w:val="000000"/>
        </w:rPr>
      </w:pPr>
      <w:r w:rsidRPr="001E1D6C">
        <w:rPr>
          <w:rStyle w:val="FootnoteReference"/>
          <w:color w:val="000000"/>
        </w:rPr>
        <w:footnoteRef/>
      </w:r>
      <w:r w:rsidRPr="001E1D6C">
        <w:rPr>
          <w:color w:val="000000"/>
        </w:rPr>
        <w:t xml:space="preserve"> </w:t>
      </w:r>
      <w:r w:rsidRPr="001E1D6C">
        <w:rPr>
          <w:i/>
          <w:color w:val="000000"/>
        </w:rPr>
        <w:t>Incentive Auction Task Force Releases Revised Baseline Data and Prices for Reverse Auction; Announces Revised Filing Window Dates</w:t>
      </w:r>
      <w:r w:rsidRPr="001E1D6C">
        <w:rPr>
          <w:color w:val="000000"/>
        </w:rPr>
        <w:t xml:space="preserve">, AU Docket No. 15-252 et al., Public Notice, </w:t>
      </w:r>
      <w:r w:rsidR="003C1A45">
        <w:rPr>
          <w:color w:val="000000"/>
        </w:rPr>
        <w:t>30 FCC Rcd 12559</w:t>
      </w:r>
      <w:r w:rsidRPr="001E1D6C">
        <w:rPr>
          <w:color w:val="000000"/>
        </w:rPr>
        <w:t xml:space="preserve"> (</w:t>
      </w:r>
      <w:r w:rsidR="003C1A45">
        <w:rPr>
          <w:color w:val="000000"/>
        </w:rPr>
        <w:t xml:space="preserve">IATF, </w:t>
      </w:r>
      <w:r w:rsidRPr="001E1D6C">
        <w:rPr>
          <w:color w:val="000000"/>
        </w:rPr>
        <w:t>2015).</w:t>
      </w:r>
    </w:p>
  </w:footnote>
  <w:footnote w:id="12">
    <w:p w14:paraId="2977FA31" w14:textId="77777777" w:rsidR="00E110B3" w:rsidRPr="001E1D6C" w:rsidRDefault="00E110B3" w:rsidP="001E1D6C">
      <w:pPr>
        <w:pStyle w:val="FootnoteText"/>
        <w:rPr>
          <w:color w:val="000000"/>
        </w:rPr>
      </w:pPr>
      <w:r w:rsidRPr="001E1D6C">
        <w:rPr>
          <w:rStyle w:val="FootnoteReference"/>
          <w:color w:val="000000"/>
        </w:rPr>
        <w:footnoteRef/>
      </w:r>
      <w:r w:rsidRPr="001E1D6C">
        <w:rPr>
          <w:color w:val="000000"/>
        </w:rPr>
        <w:t xml:space="preserve"> </w:t>
      </w:r>
      <w:r w:rsidRPr="001E1D6C">
        <w:rPr>
          <w:i/>
          <w:color w:val="000000"/>
        </w:rPr>
        <w:t>Broadcast Incentive Auction Scheduled to Begin on March 29, 2016</w:t>
      </w:r>
      <w:r w:rsidRPr="001E1D6C">
        <w:rPr>
          <w:color w:val="000000"/>
        </w:rPr>
        <w:t>, AU Docket No. 14-252 et al., FCC 15-78, Public Notice, 30 FCC Rcd 8975 (2015).  On March 29, reverse auction applicants must commit to an initial bid option.</w:t>
      </w:r>
    </w:p>
  </w:footnote>
  <w:footnote w:id="13">
    <w:p w14:paraId="7AC5E55E" w14:textId="77777777" w:rsidR="00E110B3" w:rsidRPr="00760E1A" w:rsidRDefault="00E110B3" w:rsidP="001E1D6C">
      <w:pPr>
        <w:pStyle w:val="FootnoteText"/>
      </w:pPr>
      <w:r w:rsidRPr="001E1D6C">
        <w:rPr>
          <w:rStyle w:val="FootnoteReference"/>
          <w:color w:val="000000"/>
        </w:rPr>
        <w:footnoteRef/>
      </w:r>
      <w:r w:rsidRPr="001E1D6C">
        <w:rPr>
          <w:color w:val="000000"/>
        </w:rPr>
        <w:t xml:space="preserve"> </w:t>
      </w:r>
      <w:r w:rsidRPr="001E1D6C">
        <w:rPr>
          <w:i/>
          <w:color w:val="000000"/>
        </w:rPr>
        <w:t>See Washington Metro. Area Transit Comm’n v. Holiday Tours, Inc.</w:t>
      </w:r>
      <w:r w:rsidRPr="001E1D6C">
        <w:rPr>
          <w:color w:val="000000"/>
        </w:rPr>
        <w:t>, 559 F.2d 841, 843 (D.C. Cir. 1977) (</w:t>
      </w:r>
      <w:r w:rsidRPr="001E1D6C">
        <w:rPr>
          <w:i/>
          <w:color w:val="000000"/>
        </w:rPr>
        <w:t>Holiday Tours</w:t>
      </w:r>
      <w:r w:rsidRPr="001E1D6C">
        <w:rPr>
          <w:color w:val="000000"/>
        </w:rPr>
        <w:t xml:space="preserve">); </w:t>
      </w:r>
      <w:r w:rsidRPr="001E1D6C">
        <w:rPr>
          <w:i/>
          <w:color w:val="000000"/>
        </w:rPr>
        <w:t>Virginia Petroleum Jobbers Ass’n v. Federal Power Comm’n</w:t>
      </w:r>
      <w:r w:rsidRPr="001E1D6C">
        <w:rPr>
          <w:color w:val="000000"/>
        </w:rPr>
        <w:t>, 259 F.2d 921, 925 (D.C. Cir. 1958) (</w:t>
      </w:r>
      <w:r w:rsidRPr="001E1D6C">
        <w:rPr>
          <w:i/>
          <w:color w:val="000000"/>
        </w:rPr>
        <w:t>VA Petroleum Jobbers</w:t>
      </w:r>
      <w:r w:rsidRPr="001E1D6C">
        <w:rPr>
          <w:color w:val="000000"/>
        </w:rPr>
        <w:t>).</w:t>
      </w:r>
    </w:p>
  </w:footnote>
  <w:footnote w:id="14">
    <w:p w14:paraId="14FD3080" w14:textId="7FE90638" w:rsidR="00E110B3" w:rsidRDefault="00E110B3">
      <w:pPr>
        <w:pStyle w:val="FootnoteText"/>
      </w:pPr>
      <w:r>
        <w:rPr>
          <w:rStyle w:val="FootnoteReference"/>
        </w:rPr>
        <w:footnoteRef/>
      </w:r>
      <w:r>
        <w:t xml:space="preserve"> </w:t>
      </w:r>
      <w:r w:rsidRPr="00654EF4">
        <w:rPr>
          <w:i/>
        </w:rPr>
        <w:t>See</w:t>
      </w:r>
      <w:r>
        <w:t xml:space="preserve"> Stay Motion at 3.</w:t>
      </w:r>
      <w:r w:rsidRPr="00AB27CC">
        <w:t xml:space="preserve"> </w:t>
      </w:r>
      <w:r>
        <w:t xml:space="preserve"> </w:t>
      </w:r>
      <w:r w:rsidRPr="00557275">
        <w:t xml:space="preserve">On February 17, 2016, the Petitioners filed a motion for expedited consideration of their Petition for Review.  </w:t>
      </w:r>
      <w:r w:rsidRPr="00557275">
        <w:rPr>
          <w:i/>
        </w:rPr>
        <w:t xml:space="preserve">See </w:t>
      </w:r>
      <w:r w:rsidRPr="00557275">
        <w:t xml:space="preserve">The Videohouse, Inc. et al., Emergency Motion for Expedited Consideration and for an Expedited Briefing Schedule, </w:t>
      </w:r>
      <w:r w:rsidRPr="00557275">
        <w:rPr>
          <w:i/>
        </w:rPr>
        <w:t>In re The Videohouse, Inc.</w:t>
      </w:r>
      <w:r w:rsidRPr="00557275">
        <w:t>, Docket No. 16-1060 (D.C. Cir. filed Feb. 17, 2016)</w:t>
      </w:r>
      <w:r>
        <w:t xml:space="preserve"> (“Motion for Expedition”)</w:t>
      </w:r>
      <w:r w:rsidRPr="00557275">
        <w:t xml:space="preserve">.  </w:t>
      </w:r>
    </w:p>
  </w:footnote>
  <w:footnote w:id="15">
    <w:p w14:paraId="032CAF05" w14:textId="3EADE640" w:rsidR="00E6016D" w:rsidRDefault="00E6016D">
      <w:pPr>
        <w:pStyle w:val="FootnoteText"/>
      </w:pPr>
      <w:r>
        <w:rPr>
          <w:rStyle w:val="FootnoteReference"/>
        </w:rPr>
        <w:footnoteRef/>
      </w:r>
      <w:r>
        <w:t xml:space="preserve"> </w:t>
      </w:r>
      <w:r w:rsidRPr="00E6016D">
        <w:rPr>
          <w:i/>
        </w:rPr>
        <w:t>See</w:t>
      </w:r>
      <w:r>
        <w:t xml:space="preserve"> </w:t>
      </w:r>
      <w:r w:rsidRPr="00557275">
        <w:t>D.C. Circuit Handbook of Practice and Internal Procedures</w:t>
      </w:r>
      <w:r>
        <w:t xml:space="preserve"> at 33.</w:t>
      </w:r>
    </w:p>
  </w:footnote>
  <w:footnote w:id="16">
    <w:p w14:paraId="77318C53" w14:textId="03BC3E95" w:rsidR="00E6016D" w:rsidRDefault="00E6016D">
      <w:pPr>
        <w:pStyle w:val="FootnoteText"/>
      </w:pPr>
      <w:r>
        <w:rPr>
          <w:rStyle w:val="FootnoteReference"/>
        </w:rPr>
        <w:footnoteRef/>
      </w:r>
      <w:r>
        <w:t xml:space="preserve"> </w:t>
      </w:r>
      <w:r w:rsidRPr="00E6016D">
        <w:rPr>
          <w:i/>
        </w:rPr>
        <w:t>See</w:t>
      </w:r>
      <w:r w:rsidRPr="00557275">
        <w:t xml:space="preserve"> </w:t>
      </w:r>
      <w:r w:rsidRPr="00557275">
        <w:rPr>
          <w:i/>
        </w:rPr>
        <w:t>In re The Videohouse, Inc.</w:t>
      </w:r>
      <w:r w:rsidRPr="00557275">
        <w:t>, Order, Docket No. 16-1060 (D.C. Cir. Feb. 23, 2016)</w:t>
      </w:r>
      <w:r>
        <w:t xml:space="preserve">, at </w:t>
      </w:r>
      <w:r w:rsidR="005D7E7D">
        <w:t>1 (“Order Denying Motion for Expedition”); Motion for Expedition</w:t>
      </w:r>
      <w:r w:rsidR="005D7E7D" w:rsidRPr="00557275">
        <w:t xml:space="preserve"> at 4.</w:t>
      </w:r>
    </w:p>
  </w:footnote>
  <w:footnote w:id="17">
    <w:p w14:paraId="3473B36C" w14:textId="3B6B5B8A" w:rsidR="00E6016D" w:rsidRDefault="00E6016D">
      <w:pPr>
        <w:pStyle w:val="FootnoteText"/>
      </w:pPr>
      <w:r>
        <w:rPr>
          <w:rStyle w:val="FootnoteReference"/>
        </w:rPr>
        <w:footnoteRef/>
      </w:r>
      <w:r>
        <w:t xml:space="preserve"> </w:t>
      </w:r>
      <w:r w:rsidR="005D7E7D" w:rsidRPr="005D7E7D">
        <w:rPr>
          <w:i/>
        </w:rPr>
        <w:t>See</w:t>
      </w:r>
      <w:r w:rsidR="005D7E7D">
        <w:t xml:space="preserve"> Order Denying Motion for Expedition at 2</w:t>
      </w:r>
      <w:r w:rsidR="005D7E7D" w:rsidRPr="00557275">
        <w:t xml:space="preserve"> (“ORDERED, that the motion for expedited consideration be denied to the extent that petitioners seek resolution of their petition for review before March 29, 2016.”)</w:t>
      </w:r>
      <w:r w:rsidR="005D7E7D">
        <w:t>; Motion for Expedition</w:t>
      </w:r>
      <w:r w:rsidR="005D7E7D" w:rsidRPr="00557275">
        <w:t xml:space="preserve"> at 4</w:t>
      </w:r>
      <w:r w:rsidR="005D7E7D">
        <w:t>.</w:t>
      </w:r>
    </w:p>
  </w:footnote>
  <w:footnote w:id="18">
    <w:p w14:paraId="6AA69BA0" w14:textId="77777777" w:rsidR="00E110B3" w:rsidRPr="00760E1A" w:rsidRDefault="00E110B3" w:rsidP="001E1D6C">
      <w:pPr>
        <w:pStyle w:val="FootnoteText"/>
      </w:pPr>
      <w:r w:rsidRPr="00760E1A">
        <w:rPr>
          <w:rStyle w:val="FootnoteReference"/>
        </w:rPr>
        <w:footnoteRef/>
      </w:r>
      <w:r w:rsidRPr="00760E1A">
        <w:t xml:space="preserve"> </w:t>
      </w:r>
      <w:r w:rsidRPr="00760E1A">
        <w:rPr>
          <w:i/>
        </w:rPr>
        <w:t>See</w:t>
      </w:r>
      <w:r w:rsidRPr="00760E1A">
        <w:t xml:space="preserve"> Stay Motion at </w:t>
      </w:r>
      <w:r>
        <w:t>4</w:t>
      </w:r>
      <w:r w:rsidRPr="00760E1A">
        <w:t>.</w:t>
      </w:r>
    </w:p>
  </w:footnote>
  <w:footnote w:id="19">
    <w:p w14:paraId="14AD364C" w14:textId="752AB232" w:rsidR="00E110B3" w:rsidRPr="008B7C90" w:rsidRDefault="00E110B3" w:rsidP="0098338C">
      <w:pPr>
        <w:pStyle w:val="FootnoteText"/>
      </w:pPr>
      <w:r w:rsidRPr="00A01297">
        <w:rPr>
          <w:rStyle w:val="FootnoteReference"/>
          <w:color w:val="000000"/>
        </w:rPr>
        <w:footnoteRef/>
      </w:r>
      <w:r w:rsidRPr="00A01297">
        <w:rPr>
          <w:i/>
          <w:color w:val="000000"/>
        </w:rPr>
        <w:t xml:space="preserve"> </w:t>
      </w:r>
      <w:r w:rsidRPr="00760E1A">
        <w:rPr>
          <w:i/>
        </w:rPr>
        <w:t xml:space="preserve">See </w:t>
      </w:r>
      <w:r w:rsidRPr="00760E1A">
        <w:rPr>
          <w:i/>
          <w:color w:val="000000"/>
        </w:rPr>
        <w:t>2016 Reconsideration Order</w:t>
      </w:r>
      <w:r>
        <w:rPr>
          <w:color w:val="000000"/>
        </w:rPr>
        <w:t xml:space="preserve"> at para. 12 (citing </w:t>
      </w:r>
      <w:r w:rsidRPr="00A01297">
        <w:rPr>
          <w:color w:val="000000"/>
        </w:rPr>
        <w:t>47 U.S.C. § 1452(b)(2)</w:t>
      </w:r>
      <w:r>
        <w:rPr>
          <w:color w:val="000000"/>
        </w:rPr>
        <w:t>)</w:t>
      </w:r>
      <w:r w:rsidRPr="0085507D">
        <w:rPr>
          <w:color w:val="000000"/>
        </w:rPr>
        <w:t>;</w:t>
      </w:r>
      <w:r w:rsidRPr="00A01297">
        <w:rPr>
          <w:i/>
          <w:color w:val="000000"/>
        </w:rPr>
        <w:t xml:space="preserve"> Incentive Auction R&amp;O</w:t>
      </w:r>
      <w:r w:rsidRPr="00A01297">
        <w:rPr>
          <w:color w:val="000000"/>
        </w:rPr>
        <w:t>, 29 FCC Rcd at 6652-53, para. 186 (“</w:t>
      </w:r>
      <w:r w:rsidRPr="00684080">
        <w:t xml:space="preserve">The statutory mandate to make all reasonable </w:t>
      </w:r>
      <w:r>
        <w:t>efforts to ‘preserve’ coverage area and population ‘served’</w:t>
      </w:r>
      <w:r w:rsidRPr="00684080">
        <w:t xml:space="preserve"> as of a date certain (February 22, 2012) clearly reflects a Congressional intent to protect or maintain facilities operating on this date</w:t>
      </w:r>
      <w:r w:rsidRPr="008B7C90">
        <w:t>.”</w:t>
      </w:r>
      <w:r w:rsidRPr="00A01297">
        <w:rPr>
          <w:color w:val="000000"/>
        </w:rPr>
        <w:t xml:space="preserve">).  </w:t>
      </w:r>
    </w:p>
  </w:footnote>
  <w:footnote w:id="20">
    <w:p w14:paraId="5408CE09" w14:textId="6007CB4E" w:rsidR="00E110B3" w:rsidRDefault="00E110B3" w:rsidP="0098338C">
      <w:pPr>
        <w:pStyle w:val="FootnoteText"/>
      </w:pPr>
      <w:r>
        <w:rPr>
          <w:rStyle w:val="FootnoteReference"/>
        </w:rPr>
        <w:footnoteRef/>
      </w:r>
      <w:r>
        <w:t xml:space="preserve"> </w:t>
      </w:r>
      <w:r w:rsidRPr="00760E1A">
        <w:rPr>
          <w:i/>
          <w:color w:val="000000"/>
        </w:rPr>
        <w:t>2016 Reconsideration Order</w:t>
      </w:r>
      <w:r>
        <w:rPr>
          <w:color w:val="000000"/>
        </w:rPr>
        <w:t xml:space="preserve"> at para. 12.  </w:t>
      </w:r>
      <w:r w:rsidRPr="00CF7B89">
        <w:rPr>
          <w:i/>
        </w:rPr>
        <w:t xml:space="preserve">See </w:t>
      </w:r>
      <w:r>
        <w:rPr>
          <w:i/>
        </w:rPr>
        <w:t xml:space="preserve">also 2015 </w:t>
      </w:r>
      <w:r w:rsidRPr="00A01297">
        <w:rPr>
          <w:i/>
          <w:color w:val="000000"/>
        </w:rPr>
        <w:t>Reconsideration Order</w:t>
      </w:r>
      <w:r w:rsidRPr="00A01297">
        <w:rPr>
          <w:color w:val="000000"/>
        </w:rPr>
        <w:t xml:space="preserve">, 30 FCC Rcd at 6774-75, para. 62.  </w:t>
      </w:r>
    </w:p>
  </w:footnote>
  <w:footnote w:id="21">
    <w:p w14:paraId="70D51399" w14:textId="0C461203" w:rsidR="00E110B3" w:rsidRDefault="00E110B3">
      <w:pPr>
        <w:pStyle w:val="FootnoteText"/>
      </w:pPr>
      <w:r>
        <w:rPr>
          <w:rStyle w:val="FootnoteReference"/>
        </w:rPr>
        <w:footnoteRef/>
      </w:r>
      <w:r>
        <w:t xml:space="preserve"> </w:t>
      </w:r>
      <w:r w:rsidRPr="00760E1A">
        <w:rPr>
          <w:i/>
        </w:rPr>
        <w:t xml:space="preserve">See </w:t>
      </w:r>
      <w:r w:rsidRPr="00760E1A">
        <w:rPr>
          <w:i/>
          <w:color w:val="000000"/>
        </w:rPr>
        <w:t>2016 Reconsideration Order</w:t>
      </w:r>
      <w:r>
        <w:rPr>
          <w:color w:val="000000"/>
        </w:rPr>
        <w:t xml:space="preserve"> at para. 12.  </w:t>
      </w:r>
      <w:r>
        <w:t xml:space="preserve"> </w:t>
      </w:r>
    </w:p>
  </w:footnote>
  <w:footnote w:id="22">
    <w:p w14:paraId="395DB6BD" w14:textId="260F4C66" w:rsidR="00E110B3" w:rsidRDefault="00E110B3" w:rsidP="0098338C">
      <w:pPr>
        <w:pStyle w:val="FootnoteText"/>
      </w:pPr>
      <w:r>
        <w:rPr>
          <w:rStyle w:val="FootnoteReference"/>
        </w:rPr>
        <w:footnoteRef/>
      </w:r>
      <w:r>
        <w:t xml:space="preserve"> </w:t>
      </w:r>
      <w:r w:rsidRPr="00760E1A">
        <w:rPr>
          <w:i/>
          <w:color w:val="000000"/>
        </w:rPr>
        <w:t>2016 Reconsideration Order</w:t>
      </w:r>
      <w:r>
        <w:rPr>
          <w:color w:val="000000"/>
        </w:rPr>
        <w:t xml:space="preserve"> at para. 12.  </w:t>
      </w:r>
      <w:r w:rsidRPr="00AD3687">
        <w:rPr>
          <w:i/>
          <w:color w:val="000000"/>
        </w:rPr>
        <w:t>See also</w:t>
      </w:r>
      <w:r>
        <w:rPr>
          <w:color w:val="000000"/>
        </w:rPr>
        <w:t xml:space="preserve"> </w:t>
      </w:r>
      <w:r>
        <w:rPr>
          <w:i/>
          <w:color w:val="000000"/>
        </w:rPr>
        <w:t>2015 R</w:t>
      </w:r>
      <w:r w:rsidRPr="00A01297">
        <w:rPr>
          <w:i/>
          <w:color w:val="000000"/>
        </w:rPr>
        <w:t>econsideration Order</w:t>
      </w:r>
      <w:r w:rsidRPr="00A01297">
        <w:rPr>
          <w:color w:val="000000"/>
        </w:rPr>
        <w:t>, 30 FCC Rcd at 6774-75, para. 62</w:t>
      </w:r>
      <w:r>
        <w:t xml:space="preserve">.  </w:t>
      </w:r>
    </w:p>
  </w:footnote>
  <w:footnote w:id="23">
    <w:p w14:paraId="5B3848B3" w14:textId="32B8CCEF" w:rsidR="00E110B3" w:rsidRDefault="00E110B3">
      <w:pPr>
        <w:pStyle w:val="FootnoteText"/>
      </w:pPr>
      <w:r>
        <w:rPr>
          <w:rStyle w:val="FootnoteReference"/>
        </w:rPr>
        <w:footnoteRef/>
      </w:r>
      <w:r w:rsidR="007905E6">
        <w:t xml:space="preserve"> </w:t>
      </w:r>
      <w:r w:rsidR="007905E6" w:rsidRPr="00F54F28">
        <w:rPr>
          <w:i/>
        </w:rPr>
        <w:t>See</w:t>
      </w:r>
      <w:r w:rsidR="007905E6" w:rsidRPr="00F54F28">
        <w:t xml:space="preserve"> </w:t>
      </w:r>
      <w:r w:rsidR="007905E6" w:rsidRPr="00F54F28">
        <w:rPr>
          <w:i/>
          <w:iCs/>
          <w:color w:val="000000" w:themeColor="text1"/>
        </w:rPr>
        <w:t>Association of Accredited Cosmetology Schools v. Alexander,</w:t>
      </w:r>
      <w:r w:rsidR="007905E6" w:rsidRPr="00F54F28">
        <w:rPr>
          <w:color w:val="000000" w:themeColor="text1"/>
        </w:rPr>
        <w:t xml:space="preserve"> 979 F.2d 859, 86</w:t>
      </w:r>
      <w:r w:rsidR="007905E6">
        <w:rPr>
          <w:color w:val="000000" w:themeColor="text1"/>
        </w:rPr>
        <w:t>5</w:t>
      </w:r>
      <w:r w:rsidR="007905E6" w:rsidRPr="00F54F28">
        <w:rPr>
          <w:color w:val="000000" w:themeColor="text1"/>
        </w:rPr>
        <w:t xml:space="preserve"> (D.C. Cir.1992) (</w:t>
      </w:r>
      <w:r w:rsidR="007905E6">
        <w:rPr>
          <w:color w:val="000000" w:themeColor="text1"/>
        </w:rPr>
        <w:t>when an agency considers an entity’s past conduct “in determining future eligibility for … participation” in a federal program, such an eligibility requirement “does not operate retroactively”</w:t>
      </w:r>
      <w:r w:rsidR="007905E6" w:rsidRPr="00F54F28">
        <w:rPr>
          <w:color w:val="000000" w:themeColor="text1"/>
        </w:rPr>
        <w:t>)</w:t>
      </w:r>
      <w:r w:rsidR="007905E6">
        <w:rPr>
          <w:color w:val="000000" w:themeColor="text1"/>
        </w:rPr>
        <w:t xml:space="preserve">; </w:t>
      </w:r>
      <w:r w:rsidR="007905E6">
        <w:rPr>
          <w:i/>
          <w:color w:val="000000" w:themeColor="text1"/>
        </w:rPr>
        <w:t xml:space="preserve">see also </w:t>
      </w:r>
      <w:r w:rsidR="007905E6" w:rsidRPr="003373BC">
        <w:rPr>
          <w:i/>
        </w:rPr>
        <w:t>Bell Atl. Tel. Cos. v. FCC</w:t>
      </w:r>
      <w:r w:rsidR="007905E6" w:rsidRPr="003373BC">
        <w:t>, 79 F.3d 1195, 1207 (D.C. Cir. 1996) (regulations are not “</w:t>
      </w:r>
      <w:r w:rsidR="007905E6" w:rsidRPr="00C23CC7">
        <w:t>retroactive</w:t>
      </w:r>
      <w:r w:rsidR="007905E6" w:rsidRPr="003373BC">
        <w:t>” if “they contemplate only the use of</w:t>
      </w:r>
      <w:r w:rsidR="007905E6" w:rsidRPr="00C23CC7">
        <w:t xml:space="preserve"> past </w:t>
      </w:r>
      <w:r w:rsidR="007905E6" w:rsidRPr="003373BC">
        <w:t>information for subsequent decisionmaking”) (internal quotation marks omitted).</w:t>
      </w:r>
    </w:p>
  </w:footnote>
  <w:footnote w:id="24">
    <w:p w14:paraId="1949E547" w14:textId="77777777" w:rsidR="00E110B3" w:rsidRDefault="00E110B3">
      <w:pPr>
        <w:pStyle w:val="FootnoteText"/>
      </w:pPr>
      <w:r>
        <w:rPr>
          <w:rStyle w:val="FootnoteReference"/>
        </w:rPr>
        <w:footnoteRef/>
      </w:r>
      <w:r>
        <w:t xml:space="preserve"> </w:t>
      </w:r>
      <w:r w:rsidRPr="00877F63">
        <w:rPr>
          <w:i/>
        </w:rPr>
        <w:t>See</w:t>
      </w:r>
      <w:r>
        <w:t xml:space="preserve"> Stay Motion at 4.</w:t>
      </w:r>
    </w:p>
  </w:footnote>
  <w:footnote w:id="25">
    <w:p w14:paraId="42ED9E00" w14:textId="77777777" w:rsidR="00E110B3" w:rsidRDefault="00E110B3">
      <w:pPr>
        <w:pStyle w:val="FootnoteText"/>
      </w:pPr>
      <w:r>
        <w:rPr>
          <w:rStyle w:val="FootnoteReference"/>
        </w:rPr>
        <w:footnoteRef/>
      </w:r>
      <w:r>
        <w:t xml:space="preserve"> </w:t>
      </w:r>
      <w:r>
        <w:rPr>
          <w:i/>
        </w:rPr>
        <w:t>See D</w:t>
      </w:r>
      <w:r w:rsidRPr="00505829">
        <w:rPr>
          <w:i/>
        </w:rPr>
        <w:t>eleted Station WPHR(FM), Ashtabula, Ohio,</w:t>
      </w:r>
      <w:r w:rsidRPr="00505829">
        <w:t xml:space="preserve"> </w:t>
      </w:r>
      <w:r w:rsidRPr="00B8417C">
        <w:t>Memorandum Opinion and Order</w:t>
      </w:r>
      <w:r>
        <w:t xml:space="preserve">, </w:t>
      </w:r>
      <w:r w:rsidRPr="00505829">
        <w:t>11 FCC Rcd 8513, 8515 (1996).</w:t>
      </w:r>
    </w:p>
  </w:footnote>
  <w:footnote w:id="26">
    <w:p w14:paraId="30D32B3C" w14:textId="769AB4AD" w:rsidR="00E110B3" w:rsidRDefault="00E110B3">
      <w:pPr>
        <w:pStyle w:val="FootnoteText"/>
      </w:pPr>
      <w:r>
        <w:rPr>
          <w:rStyle w:val="FootnoteReference"/>
        </w:rPr>
        <w:footnoteRef/>
      </w:r>
      <w:r>
        <w:t xml:space="preserve"> </w:t>
      </w:r>
      <w:r>
        <w:rPr>
          <w:i/>
        </w:rPr>
        <w:t>Es</w:t>
      </w:r>
      <w:r w:rsidRPr="001012B4">
        <w:rPr>
          <w:i/>
        </w:rPr>
        <w:t>tablishment of a Class A Television Service</w:t>
      </w:r>
      <w:r w:rsidRPr="001012B4">
        <w:t>, MM Docket No. 00-10, Report and Order, 15 FCC Rcd 6355</w:t>
      </w:r>
      <w:r>
        <w:t>,</w:t>
      </w:r>
      <w:r w:rsidRPr="001012B4">
        <w:t xml:space="preserve"> 6396</w:t>
      </w:r>
      <w:r>
        <w:t>-</w:t>
      </w:r>
      <w:r w:rsidRPr="001012B4">
        <w:t xml:space="preserve">97, para. 103 </w:t>
      </w:r>
      <w:r>
        <w:t xml:space="preserve">(2000) </w:t>
      </w:r>
      <w:r w:rsidRPr="001012B4">
        <w:t>(“</w:t>
      </w:r>
      <w:r w:rsidRPr="001012B4">
        <w:rPr>
          <w:color w:val="000000"/>
          <w:shd w:val="clear" w:color="auto" w:fill="FFFFFF"/>
        </w:rPr>
        <w:t>When a qualified LPTV station outside the core seeking Class A status locates an in-core channel, we will require the station to file a Class A application simultaneously with its application for modification of license to move to the in-core channel.”)</w:t>
      </w:r>
      <w:r>
        <w:rPr>
          <w:color w:val="000000"/>
          <w:shd w:val="clear" w:color="auto" w:fill="FFFFFF"/>
        </w:rPr>
        <w:t xml:space="preserve"> (“</w:t>
      </w:r>
      <w:r w:rsidRPr="00376E5A">
        <w:rPr>
          <w:i/>
        </w:rPr>
        <w:t>2000 C</w:t>
      </w:r>
      <w:r w:rsidR="003C1A45">
        <w:rPr>
          <w:i/>
        </w:rPr>
        <w:t>lass A R&amp;</w:t>
      </w:r>
      <w:r w:rsidRPr="00376E5A">
        <w:rPr>
          <w:i/>
        </w:rPr>
        <w:t>O</w:t>
      </w:r>
      <w:r>
        <w:t>”)</w:t>
      </w:r>
      <w:r w:rsidRPr="001012B4">
        <w:rPr>
          <w:color w:val="000000"/>
          <w:shd w:val="clear" w:color="auto" w:fill="FFFFFF"/>
        </w:rPr>
        <w:t>.</w:t>
      </w:r>
      <w:r w:rsidRPr="001012B4">
        <w:t xml:space="preserve">  </w:t>
      </w:r>
    </w:p>
  </w:footnote>
  <w:footnote w:id="27">
    <w:p w14:paraId="0098A7C1" w14:textId="77777777" w:rsidR="00E110B3" w:rsidRDefault="00E110B3">
      <w:pPr>
        <w:pStyle w:val="FootnoteText"/>
      </w:pPr>
      <w:r>
        <w:rPr>
          <w:rStyle w:val="FootnoteReference"/>
        </w:rPr>
        <w:footnoteRef/>
      </w:r>
      <w:r>
        <w:t xml:space="preserve"> </w:t>
      </w:r>
      <w:r w:rsidRPr="00760E1A">
        <w:rPr>
          <w:i/>
        </w:rPr>
        <w:t xml:space="preserve">See </w:t>
      </w:r>
      <w:r w:rsidRPr="00760E1A">
        <w:rPr>
          <w:i/>
          <w:color w:val="000000"/>
        </w:rPr>
        <w:t>2016 Reconsideration Order</w:t>
      </w:r>
      <w:r w:rsidRPr="00760E1A">
        <w:rPr>
          <w:color w:val="000000"/>
        </w:rPr>
        <w:t xml:space="preserve"> at </w:t>
      </w:r>
      <w:r>
        <w:rPr>
          <w:color w:val="000000"/>
        </w:rPr>
        <w:t>n.44.</w:t>
      </w:r>
    </w:p>
  </w:footnote>
  <w:footnote w:id="28">
    <w:p w14:paraId="7B684B09" w14:textId="5DCAEB73" w:rsidR="00E110B3" w:rsidRDefault="00E110B3" w:rsidP="00D8405B">
      <w:pPr>
        <w:pStyle w:val="FootnoteText"/>
      </w:pPr>
      <w:r>
        <w:rPr>
          <w:rStyle w:val="FootnoteReference"/>
        </w:rPr>
        <w:footnoteRef/>
      </w:r>
      <w:r>
        <w:t xml:space="preserve"> </w:t>
      </w:r>
      <w:r>
        <w:rPr>
          <w:i/>
        </w:rPr>
        <w:t xml:space="preserve">See </w:t>
      </w:r>
      <w:r w:rsidRPr="00DA4590">
        <w:t>Letter from Thomas R. McCarthy, Counsel, The Videohouse Inc., et al. to Marlene H. Dortch, Secretary, FCC,</w:t>
      </w:r>
      <w:r>
        <w:t xml:space="preserve"> </w:t>
      </w:r>
      <w:r>
        <w:rPr>
          <w:color w:val="262626"/>
        </w:rPr>
        <w:t>GN Docket No. 12-268, at p. 2</w:t>
      </w:r>
      <w:r>
        <w:rPr>
          <w:i/>
        </w:rPr>
        <w:t xml:space="preserve"> </w:t>
      </w:r>
      <w:r>
        <w:t>(Jan. 25, 2016) (alleged staff advice began “some time in 2011”).</w:t>
      </w:r>
    </w:p>
  </w:footnote>
  <w:footnote w:id="29">
    <w:p w14:paraId="6B1393C0" w14:textId="77777777" w:rsidR="00E110B3" w:rsidRPr="00EB67EC" w:rsidRDefault="00E110B3">
      <w:pPr>
        <w:pStyle w:val="FootnoteText"/>
      </w:pPr>
      <w:r>
        <w:rPr>
          <w:rStyle w:val="FootnoteReference"/>
        </w:rPr>
        <w:footnoteRef/>
      </w:r>
      <w:r>
        <w:t xml:space="preserve"> </w:t>
      </w:r>
      <w:r w:rsidRPr="006D2976">
        <w:rPr>
          <w:i/>
        </w:rPr>
        <w:t>See</w:t>
      </w:r>
      <w:r>
        <w:t xml:space="preserve"> Stay Motion </w:t>
      </w:r>
      <w:r w:rsidRPr="00EB67EC">
        <w:t>at 4-5.</w:t>
      </w:r>
    </w:p>
  </w:footnote>
  <w:footnote w:id="30">
    <w:p w14:paraId="69181F50" w14:textId="77777777" w:rsidR="00E110B3" w:rsidRDefault="00E110B3">
      <w:pPr>
        <w:pStyle w:val="FootnoteText"/>
      </w:pPr>
      <w:r>
        <w:rPr>
          <w:rStyle w:val="FootnoteReference"/>
        </w:rPr>
        <w:footnoteRef/>
      </w:r>
      <w:r>
        <w:t xml:space="preserve"> </w:t>
      </w:r>
      <w:r w:rsidRPr="00C8116D">
        <w:rPr>
          <w:i/>
        </w:rPr>
        <w:t>See</w:t>
      </w:r>
      <w:r w:rsidRPr="00743A3A">
        <w:t xml:space="preserve"> </w:t>
      </w:r>
      <w:r>
        <w:rPr>
          <w:i/>
          <w:color w:val="000000"/>
        </w:rPr>
        <w:t>2015 R</w:t>
      </w:r>
      <w:r w:rsidRPr="00A01297">
        <w:rPr>
          <w:i/>
          <w:color w:val="000000"/>
        </w:rPr>
        <w:t>econsideration Order</w:t>
      </w:r>
      <w:r w:rsidRPr="00A01297">
        <w:rPr>
          <w:color w:val="000000"/>
        </w:rPr>
        <w:t xml:space="preserve">, </w:t>
      </w:r>
      <w:r>
        <w:rPr>
          <w:color w:val="000000"/>
        </w:rPr>
        <w:t>30 FCC Rcd at 6673-74, para. 60</w:t>
      </w:r>
      <w:r w:rsidRPr="00A01297">
        <w:rPr>
          <w:color w:val="000000"/>
        </w:rPr>
        <w:t>.</w:t>
      </w:r>
      <w:r>
        <w:rPr>
          <w:color w:val="000000"/>
        </w:rPr>
        <w:t xml:space="preserve">  </w:t>
      </w:r>
      <w:r w:rsidRPr="00760E1A">
        <w:rPr>
          <w:i/>
        </w:rPr>
        <w:t>See</w:t>
      </w:r>
      <w:r>
        <w:rPr>
          <w:i/>
        </w:rPr>
        <w:t xml:space="preserve"> also </w:t>
      </w:r>
      <w:r w:rsidRPr="00760E1A">
        <w:rPr>
          <w:i/>
          <w:color w:val="000000"/>
        </w:rPr>
        <w:t>2016 Reconsideration Order</w:t>
      </w:r>
      <w:r w:rsidRPr="00760E1A">
        <w:rPr>
          <w:color w:val="000000"/>
        </w:rPr>
        <w:t xml:space="preserve"> at </w:t>
      </w:r>
      <w:r>
        <w:rPr>
          <w:color w:val="000000"/>
        </w:rPr>
        <w:t>paras. 8, 11, 14.</w:t>
      </w:r>
    </w:p>
  </w:footnote>
  <w:footnote w:id="31">
    <w:p w14:paraId="5D7635EC" w14:textId="77777777" w:rsidR="00E110B3" w:rsidRDefault="00E110B3">
      <w:pPr>
        <w:pStyle w:val="FootnoteText"/>
      </w:pPr>
      <w:r>
        <w:rPr>
          <w:rStyle w:val="FootnoteReference"/>
        </w:rPr>
        <w:footnoteRef/>
      </w:r>
      <w:r>
        <w:t xml:space="preserve"> </w:t>
      </w:r>
      <w:r w:rsidRPr="000A3421">
        <w:rPr>
          <w:i/>
        </w:rPr>
        <w:t>See</w:t>
      </w:r>
      <w:r>
        <w:t xml:space="preserve"> Stay Motion at 5.</w:t>
      </w:r>
    </w:p>
  </w:footnote>
  <w:footnote w:id="32">
    <w:p w14:paraId="1AFF9439" w14:textId="7060F658" w:rsidR="00E110B3" w:rsidRDefault="00E110B3">
      <w:pPr>
        <w:pStyle w:val="FootnoteText"/>
      </w:pPr>
      <w:r>
        <w:rPr>
          <w:rStyle w:val="FootnoteReference"/>
        </w:rPr>
        <w:footnoteRef/>
      </w:r>
      <w:r>
        <w:t xml:space="preserve"> </w:t>
      </w:r>
      <w:r w:rsidRPr="00C8116D">
        <w:rPr>
          <w:i/>
        </w:rPr>
        <w:t>See</w:t>
      </w:r>
      <w:r w:rsidRPr="00743A3A">
        <w:t xml:space="preserve"> </w:t>
      </w:r>
      <w:r>
        <w:rPr>
          <w:i/>
          <w:color w:val="000000"/>
        </w:rPr>
        <w:t>2015 R</w:t>
      </w:r>
      <w:r w:rsidRPr="00A01297">
        <w:rPr>
          <w:i/>
          <w:color w:val="000000"/>
        </w:rPr>
        <w:t>econsideration Order</w:t>
      </w:r>
      <w:r w:rsidRPr="00A01297">
        <w:rPr>
          <w:color w:val="000000"/>
        </w:rPr>
        <w:t xml:space="preserve">, </w:t>
      </w:r>
      <w:r>
        <w:rPr>
          <w:color w:val="000000"/>
        </w:rPr>
        <w:t xml:space="preserve">30 FCC Rcd at </w:t>
      </w:r>
      <w:r w:rsidR="009C561A">
        <w:rPr>
          <w:color w:val="000000"/>
        </w:rPr>
        <w:t>6772-73</w:t>
      </w:r>
      <w:r>
        <w:rPr>
          <w:color w:val="000000"/>
        </w:rPr>
        <w:t xml:space="preserve">, para. 59 (citing </w:t>
      </w:r>
      <w:r w:rsidRPr="001012B4">
        <w:t>47 C.F.R. § 1.429(b)(1)-(3) (a petition for reconsideration which relies on facts or arguments which have not previously been presented to the Commission will be granted only under certain circumstances)</w:t>
      </w:r>
      <w:r>
        <w:t>)</w:t>
      </w:r>
      <w:r w:rsidRPr="001012B4">
        <w:t>.</w:t>
      </w:r>
    </w:p>
  </w:footnote>
  <w:footnote w:id="33">
    <w:p w14:paraId="59E6215A" w14:textId="77777777" w:rsidR="00E110B3" w:rsidRDefault="00E110B3">
      <w:pPr>
        <w:pStyle w:val="FootnoteText"/>
      </w:pPr>
      <w:r>
        <w:rPr>
          <w:rStyle w:val="FootnoteReference"/>
        </w:rPr>
        <w:footnoteRef/>
      </w:r>
      <w:r>
        <w:t xml:space="preserve"> </w:t>
      </w:r>
      <w:r w:rsidRPr="00760E1A">
        <w:rPr>
          <w:i/>
        </w:rPr>
        <w:t xml:space="preserve">See </w:t>
      </w:r>
      <w:r w:rsidRPr="00760E1A">
        <w:rPr>
          <w:i/>
          <w:color w:val="000000"/>
        </w:rPr>
        <w:t>2016 Reconsideration Order</w:t>
      </w:r>
      <w:r w:rsidRPr="00760E1A">
        <w:rPr>
          <w:color w:val="000000"/>
        </w:rPr>
        <w:t xml:space="preserve"> at </w:t>
      </w:r>
      <w:r>
        <w:rPr>
          <w:color w:val="000000"/>
        </w:rPr>
        <w:t>paras. 18-19.</w:t>
      </w:r>
    </w:p>
  </w:footnote>
  <w:footnote w:id="34">
    <w:p w14:paraId="6C9A60F2" w14:textId="5C68E2CA" w:rsidR="00E110B3" w:rsidRDefault="00E110B3">
      <w:pPr>
        <w:pStyle w:val="FootnoteText"/>
      </w:pPr>
      <w:r>
        <w:rPr>
          <w:rStyle w:val="FootnoteReference"/>
        </w:rPr>
        <w:footnoteRef/>
      </w:r>
      <w:r>
        <w:t xml:space="preserve"> Stay Motion at 5.  </w:t>
      </w:r>
      <w:r w:rsidRPr="00760E1A">
        <w:rPr>
          <w:i/>
        </w:rPr>
        <w:t xml:space="preserve">See </w:t>
      </w:r>
      <w:r w:rsidRPr="00760E1A">
        <w:rPr>
          <w:i/>
          <w:color w:val="000000"/>
        </w:rPr>
        <w:t xml:space="preserve">2016 </w:t>
      </w:r>
      <w:r w:rsidRPr="008C67B8">
        <w:rPr>
          <w:i/>
          <w:color w:val="000000"/>
        </w:rPr>
        <w:t>Reconsideration Order</w:t>
      </w:r>
      <w:r w:rsidRPr="008C67B8">
        <w:rPr>
          <w:color w:val="000000"/>
        </w:rPr>
        <w:t xml:space="preserve"> at para. 17.</w:t>
      </w:r>
      <w:r>
        <w:rPr>
          <w:color w:val="000000"/>
        </w:rPr>
        <w:t xml:space="preserve">  </w:t>
      </w:r>
      <w:r>
        <w:t>The Commission explained that this “statement does not bear on the decisional issue presented by the [Videohouse] Petition.”</w:t>
      </w:r>
      <w:r w:rsidR="00445616">
        <w:t xml:space="preserve">  </w:t>
      </w:r>
      <w:r w:rsidR="00445616">
        <w:rPr>
          <w:i/>
        </w:rPr>
        <w:t>I</w:t>
      </w:r>
      <w:r w:rsidR="00445616" w:rsidRPr="00445616">
        <w:rPr>
          <w:i/>
        </w:rPr>
        <w:t>d</w:t>
      </w:r>
      <w:r w:rsidR="00445616">
        <w:t xml:space="preserve">. at para. 16.  </w:t>
      </w:r>
      <w:r>
        <w:t>Rather,</w:t>
      </w:r>
      <w:r w:rsidRPr="008C67B8">
        <w:t xml:space="preserve"> </w:t>
      </w:r>
      <w:r>
        <w:t xml:space="preserve">the Videohouse Petition presented the decisional issue of whether it was reasonable not to protect Petitioners’ four stations.  As explained in the </w:t>
      </w:r>
      <w:r w:rsidRPr="008C67B8">
        <w:rPr>
          <w:i/>
        </w:rPr>
        <w:t>2016 Reconsideration Order</w:t>
      </w:r>
      <w:r>
        <w:t xml:space="preserve">, “the equities do not weigh in favor of granting such protection, regardless of how many stations fell into the relevant category.”  </w:t>
      </w:r>
      <w:r w:rsidR="00445616">
        <w:rPr>
          <w:i/>
        </w:rPr>
        <w:t>Id.</w:t>
      </w:r>
      <w:r w:rsidRPr="008C67B8">
        <w:rPr>
          <w:color w:val="000000"/>
        </w:rPr>
        <w:t xml:space="preserve"> at para. 16.  </w:t>
      </w:r>
    </w:p>
  </w:footnote>
  <w:footnote w:id="35">
    <w:p w14:paraId="261F52F2" w14:textId="0F070D6B" w:rsidR="00E110B3" w:rsidRPr="00EB67EC" w:rsidRDefault="00E110B3" w:rsidP="00EB67EC">
      <w:pPr>
        <w:autoSpaceDE w:val="0"/>
        <w:autoSpaceDN w:val="0"/>
        <w:adjustRightInd w:val="0"/>
        <w:spacing w:after="120"/>
        <w:rPr>
          <w:sz w:val="20"/>
        </w:rPr>
      </w:pPr>
      <w:r w:rsidRPr="008C67B8">
        <w:rPr>
          <w:rStyle w:val="FootnoteReference"/>
        </w:rPr>
        <w:footnoteRef/>
      </w:r>
      <w:r w:rsidRPr="008C67B8">
        <w:rPr>
          <w:sz w:val="20"/>
        </w:rPr>
        <w:t xml:space="preserve"> </w:t>
      </w:r>
      <w:r w:rsidRPr="008C67B8">
        <w:rPr>
          <w:color w:val="000000"/>
          <w:sz w:val="20"/>
        </w:rPr>
        <w:t>Stay Motion at 6.</w:t>
      </w:r>
      <w:r>
        <w:rPr>
          <w:color w:val="000000"/>
          <w:sz w:val="20"/>
        </w:rPr>
        <w:t xml:space="preserve">  </w:t>
      </w:r>
      <w:r w:rsidRPr="008C67B8">
        <w:rPr>
          <w:color w:val="000000"/>
          <w:sz w:val="20"/>
        </w:rPr>
        <w:t xml:space="preserve">On February 26, 2016, Latina Broadcasters of Daytona Beach, LLC (“Latina”) filed a motion for stay with the D.C. Circuit.  </w:t>
      </w:r>
      <w:r w:rsidRPr="008C67B8">
        <w:rPr>
          <w:i/>
          <w:sz w:val="20"/>
        </w:rPr>
        <w:t xml:space="preserve">See </w:t>
      </w:r>
      <w:r w:rsidRPr="008C67B8">
        <w:rPr>
          <w:color w:val="000000"/>
          <w:sz w:val="20"/>
        </w:rPr>
        <w:t>Latina Broadcasters of Daytona Beach, LLC</w:t>
      </w:r>
      <w:r w:rsidRPr="008C67B8">
        <w:rPr>
          <w:sz w:val="20"/>
        </w:rPr>
        <w:t xml:space="preserve">, Emergency Motion for Stay Pending Appeal, </w:t>
      </w:r>
      <w:r w:rsidRPr="008C67B8">
        <w:rPr>
          <w:i/>
          <w:sz w:val="20"/>
        </w:rPr>
        <w:t xml:space="preserve">In re Latina Broadcasters of Daytona Beach, LLC, </w:t>
      </w:r>
      <w:r w:rsidRPr="008C67B8">
        <w:rPr>
          <w:sz w:val="20"/>
        </w:rPr>
        <w:t xml:space="preserve">Docket Nos. 16-1065, 16-1069 (D.C. Cir. filed Feb. 26, 2016). </w:t>
      </w:r>
    </w:p>
  </w:footnote>
  <w:footnote w:id="36">
    <w:p w14:paraId="1ABDD985" w14:textId="77777777" w:rsidR="00E110B3" w:rsidRDefault="00E110B3">
      <w:pPr>
        <w:pStyle w:val="FootnoteText"/>
      </w:pPr>
      <w:r>
        <w:rPr>
          <w:rStyle w:val="FootnoteReference"/>
        </w:rPr>
        <w:footnoteRef/>
      </w:r>
      <w:r>
        <w:t xml:space="preserve"> </w:t>
      </w:r>
      <w:r w:rsidRPr="008C67B8">
        <w:rPr>
          <w:i/>
          <w:color w:val="000000"/>
        </w:rPr>
        <w:t>See Expanding the Economic and Innovation Opportunities of Spectrum Through Incentive Auctions</w:t>
      </w:r>
      <w:r w:rsidRPr="008C67B8">
        <w:rPr>
          <w:color w:val="000000"/>
        </w:rPr>
        <w:t>, GN</w:t>
      </w:r>
      <w:r w:rsidRPr="00EB67EC">
        <w:rPr>
          <w:color w:val="000000"/>
        </w:rPr>
        <w:t xml:space="preserve"> Docket No. 12-268, Order Denying Stay Motion, DA 16-206 (MB, Feb. 25, 2016).</w:t>
      </w:r>
    </w:p>
  </w:footnote>
  <w:footnote w:id="37">
    <w:p w14:paraId="004E815C" w14:textId="77777777" w:rsidR="00E110B3" w:rsidRDefault="00E110B3">
      <w:pPr>
        <w:pStyle w:val="FootnoteText"/>
      </w:pPr>
      <w:r>
        <w:rPr>
          <w:rStyle w:val="FootnoteReference"/>
        </w:rPr>
        <w:footnoteRef/>
      </w:r>
      <w:r>
        <w:t xml:space="preserve"> </w:t>
      </w:r>
      <w:r w:rsidRPr="001E1D6C">
        <w:rPr>
          <w:i/>
          <w:color w:val="000000"/>
        </w:rPr>
        <w:t>See</w:t>
      </w:r>
      <w:r>
        <w:rPr>
          <w:i/>
          <w:color w:val="000000"/>
        </w:rPr>
        <w:t xml:space="preserve"> Holiday Tours</w:t>
      </w:r>
      <w:r>
        <w:rPr>
          <w:color w:val="000000"/>
        </w:rPr>
        <w:t>, 559 F.2d at</w:t>
      </w:r>
      <w:r w:rsidRPr="001E1D6C">
        <w:rPr>
          <w:color w:val="000000"/>
        </w:rPr>
        <w:t xml:space="preserve"> 843</w:t>
      </w:r>
      <w:r>
        <w:rPr>
          <w:color w:val="000000"/>
        </w:rPr>
        <w:t>.</w:t>
      </w:r>
    </w:p>
  </w:footnote>
  <w:footnote w:id="38">
    <w:p w14:paraId="5EC5692E" w14:textId="77777777" w:rsidR="00E110B3" w:rsidRPr="00760E1A" w:rsidRDefault="00E110B3" w:rsidP="001E1D6C">
      <w:pPr>
        <w:pStyle w:val="FootnoteText"/>
        <w:rPr>
          <w:i/>
        </w:rPr>
      </w:pPr>
      <w:r w:rsidRPr="00EB67EC">
        <w:rPr>
          <w:rStyle w:val="FootnoteReference"/>
        </w:rPr>
        <w:footnoteRef/>
      </w:r>
      <w:r w:rsidRPr="00EB67EC">
        <w:rPr>
          <w:color w:val="000000"/>
        </w:rPr>
        <w:t xml:space="preserve"> Several general principles govern the</w:t>
      </w:r>
      <w:r w:rsidRPr="001E1D6C">
        <w:rPr>
          <w:color w:val="000000"/>
        </w:rPr>
        <w:t xml:space="preserve"> irreparable injury inquiry.  First, “the injury must be both certain and great; it must be actual and not theoretical.”  </w:t>
      </w:r>
      <w:r w:rsidRPr="00760E1A">
        <w:rPr>
          <w:i/>
        </w:rPr>
        <w:t>Wisconsin Gas Co. v. FERC</w:t>
      </w:r>
      <w:r w:rsidRPr="00760E1A">
        <w:t xml:space="preserve">, 758 F.2d 669, 674 (D.C. Cir. 1985).  </w:t>
      </w:r>
      <w:r w:rsidRPr="001E1D6C">
        <w:rPr>
          <w:color w:val="000000"/>
        </w:rPr>
        <w:t xml:space="preserve">A movant must also “substantiate the claim that the irreparable injury is ‘likely’ to occur. . . . Bare allegations of what is likely to occur are of no value since the court must decide whether the harm will in fact occur.”  </w:t>
      </w:r>
      <w:r w:rsidRPr="001E1D6C">
        <w:rPr>
          <w:i/>
          <w:color w:val="000000"/>
        </w:rPr>
        <w:t xml:space="preserve">Id.  </w:t>
      </w:r>
      <w:r w:rsidRPr="001E1D6C">
        <w:rPr>
          <w:color w:val="000000"/>
        </w:rPr>
        <w:t xml:space="preserve">Further, it is “well settled that economic loss does not, in and of itself, constitute irreparable harm.”  </w:t>
      </w:r>
      <w:r w:rsidRPr="00760E1A">
        <w:rPr>
          <w:i/>
        </w:rPr>
        <w:t>Id</w:t>
      </w:r>
      <w:r w:rsidRPr="00760E1A">
        <w:t xml:space="preserve">.  </w:t>
      </w:r>
      <w:r w:rsidRPr="001E1D6C">
        <w:rPr>
          <w:color w:val="000000"/>
        </w:rPr>
        <w:t xml:space="preserve">The only exceptions to this rule are when (1) the economic loss threatens the “very existence of the movant’s business,” </w:t>
      </w:r>
      <w:r w:rsidRPr="00760E1A">
        <w:rPr>
          <w:i/>
        </w:rPr>
        <w:t>id</w:t>
      </w:r>
      <w:r w:rsidRPr="00760E1A">
        <w:t xml:space="preserve">., </w:t>
      </w:r>
      <w:r w:rsidRPr="001E1D6C">
        <w:rPr>
          <w:color w:val="000000"/>
        </w:rPr>
        <w:t xml:space="preserve">and (2) such loss is great, certain, and imminent.  </w:t>
      </w:r>
      <w:r w:rsidRPr="00760E1A">
        <w:rPr>
          <w:i/>
        </w:rPr>
        <w:t>Cardinal Health, Inc. v. Holder</w:t>
      </w:r>
      <w:r w:rsidRPr="00760E1A">
        <w:t>, 846 F. Supp. 2d 203, 211 (D.D.C. 2012).</w:t>
      </w:r>
    </w:p>
  </w:footnote>
  <w:footnote w:id="39">
    <w:p w14:paraId="566103D8" w14:textId="77777777" w:rsidR="00E110B3" w:rsidRPr="00760E1A" w:rsidRDefault="00E110B3" w:rsidP="001E1D6C">
      <w:pPr>
        <w:autoSpaceDE w:val="0"/>
        <w:autoSpaceDN w:val="0"/>
        <w:adjustRightInd w:val="0"/>
        <w:spacing w:after="120"/>
        <w:jc w:val="both"/>
        <w:rPr>
          <w:sz w:val="20"/>
        </w:rPr>
      </w:pPr>
      <w:r w:rsidRPr="00760E1A">
        <w:rPr>
          <w:rStyle w:val="FootnoteReference"/>
        </w:rPr>
        <w:footnoteRef/>
      </w:r>
      <w:r w:rsidRPr="00760E1A">
        <w:rPr>
          <w:sz w:val="20"/>
        </w:rPr>
        <w:t xml:space="preserve"> </w:t>
      </w:r>
      <w:r w:rsidRPr="00760E1A">
        <w:rPr>
          <w:rStyle w:val="Emphasis"/>
          <w:color w:val="252525"/>
          <w:sz w:val="20"/>
        </w:rPr>
        <w:t>See</w:t>
      </w:r>
      <w:r w:rsidRPr="00760E1A">
        <w:rPr>
          <w:rStyle w:val="apple-converted-space"/>
          <w:i/>
          <w:iCs/>
          <w:color w:val="252525"/>
          <w:sz w:val="20"/>
        </w:rPr>
        <w:t> </w:t>
      </w:r>
      <w:r w:rsidRPr="001E1D6C">
        <w:rPr>
          <w:i/>
          <w:iCs/>
          <w:color w:val="000000"/>
          <w:sz w:val="20"/>
        </w:rPr>
        <w:t>FCC v Radiofone, Inc.</w:t>
      </w:r>
      <w:r w:rsidRPr="001E1D6C">
        <w:rPr>
          <w:color w:val="000000"/>
          <w:sz w:val="20"/>
        </w:rPr>
        <w:t xml:space="preserve">, 516 U.S. 1301, 116 S.Ct. 283 (1995) (Justice Stevens vacating a stay of an auction, stating that “allowing the national auction to go forward will not defeat the power of the Court of Appeals to grant appropriate relief in the event that respondent </w:t>
      </w:r>
      <w:r w:rsidRPr="00760E1A">
        <w:rPr>
          <w:color w:val="252525"/>
          <w:sz w:val="20"/>
        </w:rPr>
        <w:t>overcomes the presumption of validity that supports the FCC regulations and prevails on the merits”</w:t>
      </w:r>
      <w:r w:rsidRPr="00760E1A">
        <w:rPr>
          <w:color w:val="000000"/>
          <w:sz w:val="20"/>
        </w:rPr>
        <w:t>)</w:t>
      </w:r>
      <w:r>
        <w:rPr>
          <w:color w:val="000000"/>
          <w:sz w:val="20"/>
        </w:rPr>
        <w:t xml:space="preserve">; </w:t>
      </w:r>
      <w:r w:rsidRPr="00760E1A">
        <w:rPr>
          <w:i/>
          <w:sz w:val="20"/>
        </w:rPr>
        <w:t>VA Petroleum Jobbers</w:t>
      </w:r>
      <w:r w:rsidRPr="00760E1A">
        <w:rPr>
          <w:sz w:val="20"/>
        </w:rPr>
        <w:t>, 259 F.2d at 925</w:t>
      </w:r>
      <w:r w:rsidRPr="00760E1A">
        <w:rPr>
          <w:rStyle w:val="apple-converted-space"/>
          <w:color w:val="252525"/>
          <w:sz w:val="20"/>
        </w:rPr>
        <w:t> </w:t>
      </w:r>
      <w:r w:rsidRPr="00760E1A">
        <w:rPr>
          <w:color w:val="252525"/>
          <w:sz w:val="20"/>
        </w:rPr>
        <w:t>(“The possibility that adequate . . . relief will be available at a later date, in the ordinary course of litigation, weighs heavily against a claim of irreparable harm.”).</w:t>
      </w:r>
      <w:r w:rsidRPr="00760E1A">
        <w:rPr>
          <w:i/>
          <w:iCs/>
          <w:color w:val="000000"/>
          <w:sz w:val="20"/>
        </w:rPr>
        <w:t xml:space="preserve"> </w:t>
      </w:r>
    </w:p>
  </w:footnote>
  <w:footnote w:id="40">
    <w:p w14:paraId="62DD608A" w14:textId="77777777" w:rsidR="00E110B3" w:rsidRPr="00760E1A" w:rsidRDefault="00E110B3" w:rsidP="001E1D6C">
      <w:pPr>
        <w:pStyle w:val="FootnoteText"/>
      </w:pPr>
      <w:r w:rsidRPr="001E1D6C">
        <w:rPr>
          <w:rStyle w:val="FootnoteReference"/>
          <w:color w:val="000000"/>
        </w:rPr>
        <w:footnoteRef/>
      </w:r>
      <w:r w:rsidRPr="001E1D6C">
        <w:rPr>
          <w:color w:val="000000"/>
        </w:rPr>
        <w:t xml:space="preserve"> Stay Motion at</w:t>
      </w:r>
      <w:r>
        <w:rPr>
          <w:color w:val="000000"/>
        </w:rPr>
        <w:t xml:space="preserve"> 6</w:t>
      </w:r>
      <w:r w:rsidRPr="001E1D6C">
        <w:rPr>
          <w:color w:val="000000"/>
        </w:rPr>
        <w:t xml:space="preserve">.     </w:t>
      </w:r>
    </w:p>
  </w:footnote>
  <w:footnote w:id="41">
    <w:p w14:paraId="61CD7DA0" w14:textId="77777777" w:rsidR="00E110B3" w:rsidRPr="00760E1A" w:rsidRDefault="00E110B3" w:rsidP="001E1D6C">
      <w:pPr>
        <w:pStyle w:val="FootnoteText"/>
      </w:pPr>
      <w:r w:rsidRPr="00760E1A">
        <w:rPr>
          <w:rStyle w:val="FootnoteReference"/>
        </w:rPr>
        <w:footnoteRef/>
      </w:r>
      <w:r w:rsidRPr="00760E1A">
        <w:t xml:space="preserve"> </w:t>
      </w:r>
      <w:r w:rsidRPr="00760E1A">
        <w:rPr>
          <w:i/>
        </w:rPr>
        <w:t xml:space="preserve">See </w:t>
      </w:r>
      <w:r w:rsidRPr="001E1D6C">
        <w:rPr>
          <w:rStyle w:val="Emphasis"/>
          <w:color w:val="000000"/>
        </w:rPr>
        <w:t>Power Mobility Coal. v. Leavitt,</w:t>
      </w:r>
      <w:r w:rsidRPr="001E1D6C">
        <w:rPr>
          <w:rStyle w:val="apple-converted-space"/>
          <w:color w:val="000000"/>
        </w:rPr>
        <w:t> </w:t>
      </w:r>
      <w:r w:rsidRPr="001E1D6C">
        <w:rPr>
          <w:color w:val="000000"/>
        </w:rPr>
        <w:t>404 F.Supp.2d 190, 205 (D.D.C. 2005)</w:t>
      </w:r>
      <w:r w:rsidRPr="00760E1A">
        <w:rPr>
          <w:rStyle w:val="apple-converted-space"/>
          <w:color w:val="252525"/>
        </w:rPr>
        <w:t xml:space="preserve"> (a </w:t>
      </w:r>
      <w:r w:rsidRPr="00760E1A">
        <w:rPr>
          <w:color w:val="252525"/>
        </w:rPr>
        <w:t>“predict[ion]” that is “at best, remote and speculative” does not merit a finding of irreparable harm).</w:t>
      </w:r>
      <w:r w:rsidRPr="00760E1A">
        <w:rPr>
          <w:rStyle w:val="apple-converted-space"/>
          <w:color w:val="252525"/>
        </w:rPr>
        <w:t> </w:t>
      </w:r>
    </w:p>
  </w:footnote>
  <w:footnote w:id="42">
    <w:p w14:paraId="235947C1" w14:textId="77777777" w:rsidR="00E110B3" w:rsidRPr="00760E1A" w:rsidRDefault="00E110B3" w:rsidP="001E1D6C">
      <w:pPr>
        <w:pStyle w:val="FootnoteText"/>
      </w:pPr>
      <w:r w:rsidRPr="00760E1A">
        <w:rPr>
          <w:rStyle w:val="FootnoteReference"/>
        </w:rPr>
        <w:footnoteRef/>
      </w:r>
      <w:r w:rsidRPr="00760E1A">
        <w:t xml:space="preserve"> </w:t>
      </w:r>
      <w:r w:rsidRPr="00760E1A">
        <w:rPr>
          <w:i/>
        </w:rPr>
        <w:t xml:space="preserve">See </w:t>
      </w:r>
      <w:r w:rsidRPr="00760E1A">
        <w:rPr>
          <w:i/>
          <w:color w:val="000000"/>
        </w:rPr>
        <w:t>2016 Reconsideration Order</w:t>
      </w:r>
      <w:r w:rsidRPr="00760E1A">
        <w:rPr>
          <w:color w:val="000000"/>
        </w:rPr>
        <w:t xml:space="preserve"> at para. 22</w:t>
      </w:r>
      <w:r w:rsidRPr="00760E1A">
        <w:t>.</w:t>
      </w:r>
    </w:p>
  </w:footnote>
  <w:footnote w:id="43">
    <w:p w14:paraId="33228EC8" w14:textId="0B96DF35" w:rsidR="00E110B3" w:rsidRPr="00760E1A" w:rsidRDefault="00E110B3" w:rsidP="001E1D6C">
      <w:pPr>
        <w:pStyle w:val="NormalWeb"/>
        <w:spacing w:before="0" w:beforeAutospacing="0" w:after="120" w:afterAutospacing="0"/>
        <w:rPr>
          <w:rFonts w:ascii="Times New Roman" w:hAnsi="Times New Roman"/>
        </w:rPr>
      </w:pPr>
      <w:r w:rsidRPr="00760E1A">
        <w:rPr>
          <w:rStyle w:val="FootnoteReference"/>
        </w:rPr>
        <w:footnoteRef/>
      </w:r>
      <w:r w:rsidRPr="00760E1A">
        <w:rPr>
          <w:rFonts w:ascii="Times New Roman" w:hAnsi="Times New Roman"/>
        </w:rPr>
        <w:t xml:space="preserve"> For example, </w:t>
      </w:r>
      <w:r>
        <w:rPr>
          <w:rFonts w:ascii="Times New Roman" w:hAnsi="Times New Roman"/>
        </w:rPr>
        <w:t>t</w:t>
      </w:r>
      <w:r w:rsidRPr="001E1D6C">
        <w:rPr>
          <w:rFonts w:ascii="Times New Roman" w:hAnsi="Times New Roman"/>
          <w:color w:val="000000"/>
        </w:rPr>
        <w:t>he Commission has proposed to allow Class A stations to enter into channel sharing arrangements outside the auction context, which would open additional opportunities for W</w:t>
      </w:r>
      <w:r>
        <w:rPr>
          <w:rFonts w:ascii="Times New Roman" w:hAnsi="Times New Roman"/>
          <w:color w:val="000000"/>
        </w:rPr>
        <w:t>OSC</w:t>
      </w:r>
      <w:r w:rsidRPr="001E1D6C">
        <w:rPr>
          <w:rFonts w:ascii="Times New Roman" w:hAnsi="Times New Roman"/>
          <w:color w:val="000000"/>
        </w:rPr>
        <w:t>-CD to find a new channel if displaced.</w:t>
      </w:r>
      <w:r w:rsidRPr="00760E1A">
        <w:rPr>
          <w:rFonts w:ascii="Times New Roman" w:hAnsi="Times New Roman"/>
        </w:rPr>
        <w:t xml:space="preserve">  </w:t>
      </w:r>
      <w:r w:rsidRPr="00760E1A">
        <w:rPr>
          <w:rFonts w:ascii="Times New Roman" w:hAnsi="Times New Roman"/>
          <w:i/>
        </w:rPr>
        <w:t>See Incentive Auction R&amp;O</w:t>
      </w:r>
      <w:r w:rsidRPr="00760E1A">
        <w:rPr>
          <w:rFonts w:ascii="Times New Roman" w:hAnsi="Times New Roman"/>
        </w:rPr>
        <w:t>, 29 FCC Rcd at 6835, para. 657.</w:t>
      </w:r>
      <w:r w:rsidR="001C5271">
        <w:rPr>
          <w:rFonts w:ascii="Times New Roman" w:hAnsi="Times New Roman"/>
        </w:rPr>
        <w:t xml:space="preserve">  </w:t>
      </w:r>
      <w:r w:rsidR="001C5271" w:rsidRPr="001C5271">
        <w:rPr>
          <w:rFonts w:ascii="Times New Roman" w:hAnsi="Times New Roman"/>
          <w:i/>
        </w:rPr>
        <w:t>See also</w:t>
      </w:r>
      <w:r w:rsidR="001C5271">
        <w:rPr>
          <w:rFonts w:ascii="Times New Roman" w:hAnsi="Times New Roman"/>
        </w:rPr>
        <w:t xml:space="preserve"> </w:t>
      </w:r>
      <w:r w:rsidR="001C5271" w:rsidRPr="006336A1">
        <w:rPr>
          <w:i/>
        </w:rPr>
        <w:t>In the Matter of Expanding the Economic and Innovation Opportunities of</w:t>
      </w:r>
      <w:r w:rsidR="001C5271" w:rsidRPr="006336A1">
        <w:t xml:space="preserve"> </w:t>
      </w:r>
      <w:r w:rsidR="001C5271" w:rsidRPr="006336A1">
        <w:rPr>
          <w:i/>
        </w:rPr>
        <w:t>Spectrum Through Incentive Auctions</w:t>
      </w:r>
      <w:r w:rsidR="001C5271" w:rsidRPr="006336A1">
        <w:t xml:space="preserve">, </w:t>
      </w:r>
      <w:r w:rsidR="001C5271" w:rsidRPr="006336A1">
        <w:rPr>
          <w:i/>
        </w:rPr>
        <w:t>Channel Sharing By Full Power and Class A Stations Outside the Broadcast Television Spectrum Incentive Auction Context</w:t>
      </w:r>
      <w:r w:rsidR="001C5271" w:rsidRPr="006336A1">
        <w:t>, GN Docket No. 12-268, MB Docket No. 15-137, Notice of Proposed Rulemaking</w:t>
      </w:r>
      <w:r w:rsidR="001C5271" w:rsidRPr="006336A1">
        <w:rPr>
          <w:i/>
        </w:rPr>
        <w:t>,</w:t>
      </w:r>
      <w:r w:rsidR="001C5271" w:rsidRPr="006336A1">
        <w:t xml:space="preserve"> 30 FCC Rcd 6668 (2015)</w:t>
      </w:r>
      <w:r w:rsidR="00D219F5">
        <w:rPr>
          <w:rFonts w:ascii="Times New Roman" w:hAnsi="Times New Roman"/>
        </w:rPr>
        <w:t>.</w:t>
      </w:r>
      <w:r w:rsidRPr="00760E1A">
        <w:rPr>
          <w:rFonts w:ascii="Times New Roman" w:hAnsi="Times New Roman"/>
        </w:rPr>
        <w:t xml:space="preserve"> </w:t>
      </w:r>
      <w:r w:rsidRPr="001E1D6C">
        <w:rPr>
          <w:rFonts w:ascii="Times New Roman" w:hAnsi="Times New Roman"/>
          <w:color w:val="000000"/>
        </w:rPr>
        <w:t xml:space="preserve"> </w:t>
      </w:r>
      <w:r w:rsidR="001751A0" w:rsidRPr="000326D9">
        <w:rPr>
          <w:rFonts w:ascii="Times New Roman" w:hAnsi="Times New Roman"/>
          <w:bCs/>
        </w:rPr>
        <w:t>If WOSC</w:t>
      </w:r>
      <w:r w:rsidR="001751A0">
        <w:rPr>
          <w:rFonts w:ascii="Times New Roman" w:hAnsi="Times New Roman"/>
          <w:bCs/>
        </w:rPr>
        <w:t>-CD</w:t>
      </w:r>
      <w:r w:rsidR="001751A0" w:rsidRPr="000326D9">
        <w:rPr>
          <w:rFonts w:ascii="Times New Roman" w:hAnsi="Times New Roman"/>
          <w:bCs/>
        </w:rPr>
        <w:t xml:space="preserve"> is displaced and proposes a replacement channel of its own, it may be possible to increase WOSC</w:t>
      </w:r>
      <w:r w:rsidR="001751A0">
        <w:rPr>
          <w:rFonts w:ascii="Times New Roman" w:hAnsi="Times New Roman"/>
          <w:bCs/>
        </w:rPr>
        <w:t>-CD</w:t>
      </w:r>
      <w:r w:rsidR="001751A0" w:rsidRPr="000326D9">
        <w:rPr>
          <w:rFonts w:ascii="Times New Roman" w:hAnsi="Times New Roman"/>
          <w:bCs/>
        </w:rPr>
        <w:t>’s effective radiated power from its current level of 2 kilowatts, well below the maximum power level for Class A stations, to address any adjacent-channel interference issues.</w:t>
      </w:r>
    </w:p>
  </w:footnote>
  <w:footnote w:id="44">
    <w:p w14:paraId="4FCC5610" w14:textId="423395A7" w:rsidR="00E110B3" w:rsidRPr="00192D12" w:rsidRDefault="00E110B3">
      <w:pPr>
        <w:pStyle w:val="FootnoteText"/>
      </w:pPr>
      <w:r>
        <w:rPr>
          <w:rStyle w:val="FootnoteReference"/>
        </w:rPr>
        <w:footnoteRef/>
      </w:r>
      <w:r>
        <w:t xml:space="preserve"> </w:t>
      </w:r>
      <w:r w:rsidR="003C1A45">
        <w:rPr>
          <w:bCs/>
        </w:rPr>
        <w:t xml:space="preserve">A motion for expedited consideration must demonstrate, among other things, that the delay will cause “irreparable injury.”  </w:t>
      </w:r>
      <w:r w:rsidR="003C1A45" w:rsidRPr="00E6016D">
        <w:rPr>
          <w:i/>
        </w:rPr>
        <w:t>See</w:t>
      </w:r>
      <w:r w:rsidR="003C1A45">
        <w:t xml:space="preserve"> </w:t>
      </w:r>
      <w:r w:rsidR="003C1A45" w:rsidRPr="00557275">
        <w:t>D.C. Circuit Handbook of Practice and Internal Procedures</w:t>
      </w:r>
      <w:r w:rsidR="003C1A45">
        <w:t xml:space="preserve"> at 33.  </w:t>
      </w:r>
      <w:r w:rsidRPr="00AC0B81">
        <w:rPr>
          <w:i/>
        </w:rPr>
        <w:t xml:space="preserve">See </w:t>
      </w:r>
      <w:r w:rsidR="003C1A45">
        <w:rPr>
          <w:i/>
        </w:rPr>
        <w:t xml:space="preserve">also </w:t>
      </w:r>
      <w:r w:rsidRPr="00AC0B81">
        <w:rPr>
          <w:i/>
        </w:rPr>
        <w:t>supra</w:t>
      </w:r>
      <w:r>
        <w:t xml:space="preserve"> </w:t>
      </w:r>
      <w:r w:rsidR="001751A0">
        <w:t>para. 5</w:t>
      </w:r>
      <w:r>
        <w:t xml:space="preserve"> (explaining that the </w:t>
      </w:r>
      <w:r w:rsidR="003C1A45">
        <w:t>C</w:t>
      </w:r>
      <w:r>
        <w:t>ourt denied</w:t>
      </w:r>
      <w:r w:rsidR="003C1A45">
        <w:t xml:space="preserve"> the relief requested by</w:t>
      </w:r>
      <w:r>
        <w:t xml:space="preserve"> Petitioners </w:t>
      </w:r>
      <w:r w:rsidR="003C1A45">
        <w:t xml:space="preserve">in their </w:t>
      </w:r>
      <w:r>
        <w:t xml:space="preserve">motion </w:t>
      </w:r>
      <w:r w:rsidR="003C1A45">
        <w:t>for expedited consideration</w:t>
      </w:r>
      <w:r w:rsidRPr="00557275">
        <w:t>).</w:t>
      </w:r>
      <w:r>
        <w:t xml:space="preserve"> </w:t>
      </w:r>
    </w:p>
  </w:footnote>
  <w:footnote w:id="45">
    <w:p w14:paraId="6D0E819F" w14:textId="77777777" w:rsidR="00E110B3" w:rsidRDefault="00E110B3" w:rsidP="00087AE9">
      <w:pPr>
        <w:pStyle w:val="FootnoteText"/>
      </w:pPr>
      <w:r>
        <w:rPr>
          <w:rStyle w:val="FootnoteReference"/>
        </w:rPr>
        <w:footnoteRef/>
      </w:r>
      <w:r>
        <w:t xml:space="preserve"> </w:t>
      </w:r>
      <w:r w:rsidRPr="003E67CF">
        <w:rPr>
          <w:i/>
        </w:rPr>
        <w:t>See</w:t>
      </w:r>
      <w:r>
        <w:t xml:space="preserve"> Stay Motion at 6-7.</w:t>
      </w:r>
    </w:p>
  </w:footnote>
  <w:footnote w:id="46">
    <w:p w14:paraId="608F9A7C" w14:textId="244E956A" w:rsidR="00E110B3" w:rsidRDefault="00E110B3">
      <w:pPr>
        <w:pStyle w:val="FootnoteText"/>
      </w:pPr>
      <w:r w:rsidRPr="00192D12">
        <w:rPr>
          <w:rStyle w:val="FootnoteReference"/>
        </w:rPr>
        <w:footnoteRef/>
      </w:r>
      <w:r w:rsidRPr="00192D12">
        <w:t xml:space="preserve"> Federal Communications Commission, Opposition to Emergency Petition for Writ of Mandamus, </w:t>
      </w:r>
      <w:r w:rsidRPr="00192D12">
        <w:rPr>
          <w:i/>
        </w:rPr>
        <w:t>In re Videohouse, Inc.</w:t>
      </w:r>
      <w:r w:rsidRPr="00192D12">
        <w:t>, Docket No. 15-1486, at 2, 13 (D.C. Cir</w:t>
      </w:r>
      <w:r>
        <w:t xml:space="preserve">. filed Dec. 28, 2015).  </w:t>
      </w:r>
      <w:r w:rsidRPr="006C61FF">
        <w:rPr>
          <w:i/>
        </w:rPr>
        <w:t>See also</w:t>
      </w:r>
      <w:r>
        <w:t xml:space="preserve"> </w:t>
      </w:r>
      <w:r w:rsidRPr="00192D12">
        <w:t xml:space="preserve">Federal Communications Commission, Opposition to </w:t>
      </w:r>
      <w:r w:rsidR="00D219F5">
        <w:t xml:space="preserve">Petitioners’ </w:t>
      </w:r>
      <w:r w:rsidR="00D219F5" w:rsidRPr="00557275">
        <w:t>Emergency Motion for Expedited Consideration and for an Expedited Briefing Schedule</w:t>
      </w:r>
      <w:r w:rsidRPr="00192D12">
        <w:t xml:space="preserve">, </w:t>
      </w:r>
      <w:r w:rsidRPr="00192D12">
        <w:rPr>
          <w:i/>
        </w:rPr>
        <w:t>In re Videohouse, Inc.</w:t>
      </w:r>
      <w:r w:rsidRPr="00192D12">
        <w:t>, Docket No. 1</w:t>
      </w:r>
      <w:r w:rsidR="00D219F5">
        <w:t>6</w:t>
      </w:r>
      <w:r w:rsidRPr="00192D12">
        <w:t>-1</w:t>
      </w:r>
      <w:r w:rsidR="00D219F5">
        <w:t>060</w:t>
      </w:r>
      <w:r w:rsidRPr="00192D12">
        <w:t>, at 2 (D.C. Cir</w:t>
      </w:r>
      <w:r>
        <w:t xml:space="preserve">. filed </w:t>
      </w:r>
      <w:r w:rsidR="00D219F5">
        <w:t>Feb. 19</w:t>
      </w:r>
      <w:r>
        <w:t>, 201</w:t>
      </w:r>
      <w:r w:rsidR="00D219F5">
        <w:t>6</w:t>
      </w:r>
      <w:r>
        <w:t>)</w:t>
      </w:r>
      <w:r w:rsidR="00D219F5">
        <w:t>.</w:t>
      </w:r>
    </w:p>
  </w:footnote>
  <w:footnote w:id="47">
    <w:p w14:paraId="5D14A27A" w14:textId="77777777" w:rsidR="00E110B3" w:rsidRPr="00760E1A" w:rsidRDefault="00E110B3" w:rsidP="001E1D6C">
      <w:pPr>
        <w:pStyle w:val="FootnoteText"/>
      </w:pPr>
      <w:r w:rsidRPr="00760E1A">
        <w:rPr>
          <w:rStyle w:val="FootnoteReference"/>
        </w:rPr>
        <w:footnoteRef/>
      </w:r>
      <w:r w:rsidRPr="00760E1A">
        <w:t xml:space="preserve"> </w:t>
      </w:r>
      <w:r w:rsidRPr="00760E1A">
        <w:rPr>
          <w:i/>
        </w:rPr>
        <w:t xml:space="preserve">See </w:t>
      </w:r>
      <w:r w:rsidRPr="00760E1A">
        <w:t xml:space="preserve">Stay Motion at </w:t>
      </w:r>
      <w:r>
        <w:t>7-8</w:t>
      </w:r>
      <w:r w:rsidRPr="00760E1A">
        <w:t>.</w:t>
      </w:r>
    </w:p>
  </w:footnote>
  <w:footnote w:id="48">
    <w:p w14:paraId="7BAA157C" w14:textId="77777777" w:rsidR="00E110B3" w:rsidRPr="001E1D6C" w:rsidRDefault="00E110B3" w:rsidP="001E1D6C">
      <w:pPr>
        <w:pStyle w:val="FootnoteText"/>
        <w:widowControl w:val="0"/>
        <w:rPr>
          <w:color w:val="000000"/>
        </w:rPr>
      </w:pPr>
      <w:r w:rsidRPr="00760E1A">
        <w:rPr>
          <w:rStyle w:val="FootnoteReference"/>
        </w:rPr>
        <w:footnoteRef/>
      </w:r>
      <w:r w:rsidRPr="00760E1A">
        <w:t xml:space="preserve"> </w:t>
      </w:r>
      <w:r w:rsidRPr="00A01297">
        <w:rPr>
          <w:i/>
          <w:color w:val="000000"/>
        </w:rPr>
        <w:t>See Expanding the Economic and Innovation Opportunities of Spectrum Through Incentive Auctions</w:t>
      </w:r>
      <w:r w:rsidRPr="00A01297">
        <w:rPr>
          <w:color w:val="000000"/>
        </w:rPr>
        <w:t>, GN Docket No. 12-268, Notice of Proposed Rulemaking, 27 FCC Rcd 12357</w:t>
      </w:r>
      <w:r>
        <w:rPr>
          <w:color w:val="000000"/>
        </w:rPr>
        <w:t xml:space="preserve">, </w:t>
      </w:r>
      <w:r w:rsidRPr="001E1D6C">
        <w:rPr>
          <w:color w:val="000000"/>
        </w:rPr>
        <w:t>12358, para. 1</w:t>
      </w:r>
      <w:r w:rsidRPr="00A01297">
        <w:rPr>
          <w:color w:val="000000"/>
        </w:rPr>
        <w:t xml:space="preserve"> (2012) (“</w:t>
      </w:r>
      <w:r w:rsidRPr="00A01297">
        <w:rPr>
          <w:i/>
          <w:color w:val="000000"/>
        </w:rPr>
        <w:t>Incentive Auction NPRM</w:t>
      </w:r>
      <w:r w:rsidRPr="00A01297">
        <w:rPr>
          <w:color w:val="000000"/>
        </w:rPr>
        <w:t>”)</w:t>
      </w:r>
      <w:r w:rsidRPr="001E1D6C">
        <w:rPr>
          <w:color w:val="000000"/>
        </w:rPr>
        <w:t>.</w:t>
      </w:r>
    </w:p>
  </w:footnote>
  <w:footnote w:id="49">
    <w:p w14:paraId="4707253E" w14:textId="77777777" w:rsidR="00E110B3" w:rsidRPr="00760E1A" w:rsidRDefault="00E110B3" w:rsidP="001E1D6C">
      <w:pPr>
        <w:pStyle w:val="FootnoteText"/>
      </w:pPr>
      <w:r w:rsidRPr="00760E1A">
        <w:rPr>
          <w:rStyle w:val="FootnoteReference"/>
        </w:rPr>
        <w:footnoteRef/>
      </w:r>
      <w:r w:rsidRPr="00760E1A">
        <w:t xml:space="preserve"> </w:t>
      </w:r>
      <w:r w:rsidRPr="00760E1A">
        <w:rPr>
          <w:i/>
        </w:rPr>
        <w:t xml:space="preserve">See generally </w:t>
      </w:r>
      <w:r w:rsidRPr="001E1D6C">
        <w:rPr>
          <w:i/>
          <w:color w:val="000000"/>
        </w:rPr>
        <w:t>Nat’l Assoc. of Broadcasters, et al. v. FCC</w:t>
      </w:r>
      <w:r w:rsidRPr="001E1D6C">
        <w:rPr>
          <w:color w:val="000000"/>
        </w:rPr>
        <w:t xml:space="preserve">, </w:t>
      </w:r>
      <w:r w:rsidRPr="001E1D6C">
        <w:rPr>
          <w:snapToGrid w:val="0"/>
          <w:color w:val="000000"/>
        </w:rPr>
        <w:t>789 F.3d 165</w:t>
      </w:r>
      <w:r w:rsidRPr="001E1D6C">
        <w:rPr>
          <w:color w:val="000000"/>
        </w:rPr>
        <w:t xml:space="preserve"> (D.C. Cir. 2015)</w:t>
      </w:r>
      <w:r w:rsidRPr="00760E1A">
        <w:t xml:space="preserve">; </w:t>
      </w:r>
      <w:r w:rsidRPr="00760E1A">
        <w:rPr>
          <w:i/>
        </w:rPr>
        <w:t>Incentive Auction R&amp;O</w:t>
      </w:r>
      <w:r w:rsidRPr="00760E1A">
        <w:t xml:space="preserve">, 29 FCC Rcd at 6573, para. 13. </w:t>
      </w:r>
    </w:p>
  </w:footnote>
  <w:footnote w:id="50">
    <w:p w14:paraId="782C8447" w14:textId="77777777" w:rsidR="00E110B3" w:rsidRDefault="00E110B3">
      <w:pPr>
        <w:pStyle w:val="FootnoteText"/>
      </w:pPr>
      <w:r>
        <w:rPr>
          <w:rStyle w:val="FootnoteReference"/>
        </w:rPr>
        <w:footnoteRef/>
      </w:r>
      <w:r>
        <w:t xml:space="preserve"> Stay Motion at 7.</w:t>
      </w:r>
    </w:p>
  </w:footnote>
  <w:footnote w:id="51">
    <w:p w14:paraId="5EDB7FF1" w14:textId="77777777" w:rsidR="00E110B3" w:rsidRPr="00760E1A" w:rsidRDefault="00E110B3" w:rsidP="001E1D6C">
      <w:pPr>
        <w:pStyle w:val="FootnoteText"/>
      </w:pPr>
      <w:r w:rsidRPr="00760E1A">
        <w:rPr>
          <w:rStyle w:val="FootnoteReference"/>
        </w:rPr>
        <w:footnoteRef/>
      </w:r>
      <w:r w:rsidRPr="00760E1A">
        <w:t xml:space="preserve"> While Congress established 2022 as the deadline for conducting a broadcast television spectrum incentive auction, </w:t>
      </w:r>
      <w:r w:rsidRPr="00760E1A">
        <w:rPr>
          <w:i/>
        </w:rPr>
        <w:t xml:space="preserve">see </w:t>
      </w:r>
      <w:r w:rsidRPr="00760E1A">
        <w:t xml:space="preserve">Stay Motion at </w:t>
      </w:r>
      <w:r>
        <w:t>7</w:t>
      </w:r>
      <w:r w:rsidRPr="00760E1A">
        <w:t xml:space="preserve"> (citing 47 U.S.C. § 1452(f)(3)), the Commission has reasonably determined that the increasing demand for spectrum-based services requires it to conduct the auction in advance of that date.     </w:t>
      </w:r>
    </w:p>
  </w:footnote>
  <w:footnote w:id="52">
    <w:p w14:paraId="76B9B047" w14:textId="5000F897" w:rsidR="0030221B" w:rsidRPr="00EC1566" w:rsidRDefault="0030221B" w:rsidP="0030221B">
      <w:pPr>
        <w:pStyle w:val="FootnoteText"/>
      </w:pPr>
      <w:r w:rsidRPr="00EC1566">
        <w:rPr>
          <w:rStyle w:val="FootnoteReference"/>
        </w:rPr>
        <w:footnoteRef/>
      </w:r>
      <w:r w:rsidRPr="00EC1566">
        <w:t xml:space="preserve"> </w:t>
      </w:r>
      <w:r w:rsidR="00316FB0" w:rsidRPr="00A612C9">
        <w:rPr>
          <w:bCs/>
          <w:szCs w:val="22"/>
        </w:rPr>
        <w:t xml:space="preserve">For the reverse auction, the quiet period prohibits broadcasters </w:t>
      </w:r>
      <w:r w:rsidR="00316FB0" w:rsidRPr="00A612C9">
        <w:rPr>
          <w:color w:val="212121"/>
          <w:szCs w:val="22"/>
        </w:rPr>
        <w:t>“from communicating directly or indirectly any incentive auction applicant’s bids or bidding strategies to any other full power or Class A broadcast television licensee or to any forward auction applicant.”</w:t>
      </w:r>
      <w:r w:rsidR="00316FB0">
        <w:rPr>
          <w:color w:val="212121"/>
          <w:szCs w:val="22"/>
        </w:rPr>
        <w:t xml:space="preserve">  </w:t>
      </w:r>
      <w:r w:rsidR="00987D39" w:rsidRPr="00EC1566">
        <w:t>47 C.F.R. § 1.2205(b)</w:t>
      </w:r>
      <w:r w:rsidR="00987D39" w:rsidRPr="00EC1566">
        <w:rPr>
          <w:color w:val="212121"/>
        </w:rPr>
        <w:t>.</w:t>
      </w:r>
      <w:r w:rsidR="00987D39">
        <w:rPr>
          <w:color w:val="212121"/>
        </w:rPr>
        <w:t xml:space="preserve">  </w:t>
      </w:r>
      <w:r w:rsidR="00316FB0">
        <w:rPr>
          <w:color w:val="212121"/>
        </w:rPr>
        <w:t xml:space="preserve">  </w:t>
      </w:r>
      <w:r w:rsidR="00316FB0" w:rsidRPr="00A612C9">
        <w:rPr>
          <w:rStyle w:val="apple-converted-space"/>
          <w:color w:val="212121"/>
          <w:szCs w:val="22"/>
        </w:rPr>
        <w:t xml:space="preserve">A quiet period </w:t>
      </w:r>
      <w:r w:rsidR="00987D39">
        <w:rPr>
          <w:rStyle w:val="apple-converted-space"/>
          <w:color w:val="212121"/>
          <w:szCs w:val="22"/>
        </w:rPr>
        <w:t xml:space="preserve">also </w:t>
      </w:r>
      <w:r w:rsidR="00316FB0" w:rsidRPr="00A612C9">
        <w:rPr>
          <w:rStyle w:val="apple-converted-space"/>
          <w:color w:val="212121"/>
          <w:szCs w:val="22"/>
        </w:rPr>
        <w:t>pertains to the forward auction.</w:t>
      </w:r>
      <w:r w:rsidR="00316FB0">
        <w:rPr>
          <w:rStyle w:val="apple-converted-space"/>
          <w:color w:val="212121"/>
          <w:szCs w:val="22"/>
        </w:rPr>
        <w:t xml:space="preserve">  </w:t>
      </w:r>
      <w:r w:rsidR="00987D39" w:rsidRPr="00EC1566">
        <w:t>47 C.F.R. § 1.2105(c)(1)</w:t>
      </w:r>
      <w:r w:rsidR="00987D39" w:rsidRPr="00EC1566">
        <w:rPr>
          <w:color w:val="212121"/>
        </w:rPr>
        <w:t>.</w:t>
      </w:r>
      <w:r w:rsidR="00987D39">
        <w:rPr>
          <w:color w:val="212121"/>
        </w:rPr>
        <w:t xml:space="preserve">  </w:t>
      </w:r>
      <w:r w:rsidR="00316FB0" w:rsidRPr="00A612C9">
        <w:rPr>
          <w:rStyle w:val="apple-converted-space"/>
          <w:color w:val="212121"/>
          <w:szCs w:val="22"/>
        </w:rPr>
        <w:t xml:space="preserve">These quiet periods </w:t>
      </w:r>
      <w:r w:rsidR="00316FB0">
        <w:rPr>
          <w:rStyle w:val="apple-converted-space"/>
          <w:color w:val="212121"/>
          <w:szCs w:val="22"/>
        </w:rPr>
        <w:t xml:space="preserve">continue until </w:t>
      </w:r>
      <w:r w:rsidR="00316FB0" w:rsidRPr="00A612C9">
        <w:rPr>
          <w:rStyle w:val="apple-converted-space"/>
          <w:color w:val="212121"/>
          <w:szCs w:val="22"/>
        </w:rPr>
        <w:t xml:space="preserve">either the results of the auction are announced (for the reverse auction quiet period) or the deadline </w:t>
      </w:r>
      <w:r w:rsidR="00EB018E">
        <w:rPr>
          <w:rStyle w:val="apple-converted-space"/>
          <w:color w:val="212121"/>
          <w:szCs w:val="22"/>
        </w:rPr>
        <w:t xml:space="preserve">has past </w:t>
      </w:r>
      <w:r w:rsidR="00316FB0" w:rsidRPr="00A612C9">
        <w:rPr>
          <w:rStyle w:val="apple-converted-space"/>
          <w:color w:val="212121"/>
          <w:szCs w:val="22"/>
        </w:rPr>
        <w:t>for making post-auction down payments on winning bids (for the forward auction quiet period).</w:t>
      </w:r>
    </w:p>
  </w:footnote>
  <w:footnote w:id="53">
    <w:p w14:paraId="1382B1B7" w14:textId="77777777" w:rsidR="0030221B" w:rsidRDefault="0030221B" w:rsidP="0030221B">
      <w:pPr>
        <w:pStyle w:val="FootnoteText"/>
      </w:pPr>
      <w:r w:rsidRPr="00EC1566">
        <w:rPr>
          <w:rStyle w:val="FootnoteReference"/>
        </w:rPr>
        <w:footnoteRef/>
      </w:r>
      <w:r w:rsidRPr="00EC1566">
        <w:t xml:space="preserve"> </w:t>
      </w:r>
      <w:r w:rsidRPr="00EC1566">
        <w:rPr>
          <w:rStyle w:val="apple-converted-space"/>
          <w:i/>
          <w:color w:val="212121"/>
        </w:rPr>
        <w:t>See Guidance Regarding the Prohibition of Certain Communications During the Incentive Auction</w:t>
      </w:r>
      <w:r w:rsidRPr="00EC1566">
        <w:rPr>
          <w:rStyle w:val="apple-converted-space"/>
          <w:color w:val="212121"/>
        </w:rPr>
        <w:t>, Public Notice, 30 FCC Rcd 10794, 10798, n.17 (2015) (“</w:t>
      </w:r>
      <w:r w:rsidRPr="00EC1566">
        <w:rPr>
          <w:color w:val="212121"/>
        </w:rPr>
        <w:t>Communications with covered parties remain safest before or after the</w:t>
      </w:r>
      <w:r w:rsidRPr="00EC1566">
        <w:rPr>
          <w:rStyle w:val="apple-converted-space"/>
          <w:color w:val="212121"/>
        </w:rPr>
        <w:t> </w:t>
      </w:r>
      <w:r w:rsidRPr="00EC1566">
        <w:rPr>
          <w:rStyle w:val="cosearchterm"/>
          <w:bCs/>
          <w:color w:val="252525"/>
        </w:rPr>
        <w:t>quiet</w:t>
      </w:r>
      <w:r w:rsidRPr="00EC1566">
        <w:rPr>
          <w:rStyle w:val="apple-converted-space"/>
          <w:color w:val="212121"/>
        </w:rPr>
        <w:t> </w:t>
      </w:r>
      <w:r w:rsidRPr="00EC1566">
        <w:rPr>
          <w:rStyle w:val="cosearchterm"/>
          <w:bCs/>
          <w:color w:val="252525"/>
        </w:rPr>
        <w:t>period</w:t>
      </w:r>
      <w:r w:rsidRPr="00EC1566">
        <w:rPr>
          <w:color w:val="212121"/>
        </w:rPr>
        <w:t>, when no violation of the Commission’s rule can occur.”).</w:t>
      </w:r>
    </w:p>
  </w:footnote>
  <w:footnote w:id="54">
    <w:p w14:paraId="25C82CF9" w14:textId="77777777" w:rsidR="00E110B3" w:rsidRPr="00760E1A" w:rsidRDefault="00E110B3" w:rsidP="001E1D6C">
      <w:pPr>
        <w:pStyle w:val="FootnoteText"/>
      </w:pPr>
      <w:r w:rsidRPr="00760E1A">
        <w:rPr>
          <w:rStyle w:val="FootnoteReference"/>
        </w:rPr>
        <w:footnoteRef/>
      </w:r>
      <w:r w:rsidRPr="00760E1A">
        <w:t xml:space="preserve"> </w:t>
      </w:r>
      <w:r w:rsidRPr="00760E1A">
        <w:rPr>
          <w:i/>
          <w:color w:val="000000"/>
        </w:rPr>
        <w:t>See Genesis Communications I, Inc</w:t>
      </w:r>
      <w:r w:rsidRPr="00760E1A">
        <w:rPr>
          <w:color w:val="000000"/>
        </w:rPr>
        <w:t xml:space="preserve">., Memorandum Opinion and Order, 29 FCC Rcd 4214, 4215, para. 3 (2014) (“[T]here is no rule or case support for the claim that auction or post-auction procedures must be delayed until all reviews and appeals are final.”).  </w:t>
      </w:r>
      <w:r w:rsidRPr="00760E1A">
        <w:rPr>
          <w:i/>
          <w:color w:val="000000"/>
        </w:rPr>
        <w:t xml:space="preserve">See also </w:t>
      </w:r>
      <w:r w:rsidRPr="00760E1A">
        <w:rPr>
          <w:color w:val="000000"/>
        </w:rPr>
        <w:t xml:space="preserve">47 U.S.C. </w:t>
      </w:r>
      <w:r w:rsidRPr="001E1D6C">
        <w:rPr>
          <w:color w:val="000000"/>
        </w:rPr>
        <w:t xml:space="preserve">§ 309(j)(3)(A) (directing the Commission to design auctions in order to, </w:t>
      </w:r>
      <w:r w:rsidRPr="001E1D6C">
        <w:rPr>
          <w:i/>
          <w:color w:val="000000"/>
        </w:rPr>
        <w:t>inter alia</w:t>
      </w:r>
      <w:r w:rsidRPr="001E1D6C">
        <w:rPr>
          <w:color w:val="000000"/>
        </w:rPr>
        <w:t xml:space="preserve">, promote “the development and rapid deployment of new technologies, products, and services for the benefit of the public, including those residing in rural areas, without administrative or judicial delays”). </w:t>
      </w:r>
    </w:p>
  </w:footnote>
  <w:footnote w:id="55">
    <w:p w14:paraId="0B721FEE" w14:textId="77777777" w:rsidR="00E110B3" w:rsidRDefault="00E110B3">
      <w:pPr>
        <w:pStyle w:val="FootnoteText"/>
      </w:pPr>
      <w:r>
        <w:rPr>
          <w:rStyle w:val="FootnoteReference"/>
        </w:rPr>
        <w:footnoteRef/>
      </w:r>
      <w:r>
        <w:t xml:space="preserve"> Stay Motion at 7 (quoting </w:t>
      </w:r>
      <w:r w:rsidRPr="00D46B10">
        <w:rPr>
          <w:i/>
        </w:rPr>
        <w:t>Am. Tel. &amp; Tel. Co. v. FCC</w:t>
      </w:r>
      <w:r>
        <w:t>, 978 F.2d 727, 733 (D.C. Cir. 1992)).</w:t>
      </w:r>
    </w:p>
  </w:footnote>
  <w:footnote w:id="56">
    <w:p w14:paraId="343FAE46" w14:textId="77777777" w:rsidR="00E110B3" w:rsidRDefault="00E110B3">
      <w:pPr>
        <w:pStyle w:val="FootnoteText"/>
      </w:pPr>
      <w:r>
        <w:rPr>
          <w:rStyle w:val="FootnoteReference"/>
        </w:rPr>
        <w:footnoteRef/>
      </w:r>
      <w:r>
        <w:t xml:space="preserve"> </w:t>
      </w:r>
      <w:r>
        <w:rPr>
          <w:i/>
          <w:color w:val="000000"/>
        </w:rPr>
        <w:t>See 2015 R</w:t>
      </w:r>
      <w:r w:rsidRPr="00A01297">
        <w:rPr>
          <w:i/>
          <w:color w:val="000000"/>
        </w:rPr>
        <w:t>econsideration Order</w:t>
      </w:r>
      <w:r w:rsidRPr="00A01297">
        <w:rPr>
          <w:color w:val="000000"/>
        </w:rPr>
        <w:t>, 30 FCC Rcd at 6672-73, para. 59</w:t>
      </w:r>
      <w:r>
        <w:rPr>
          <w:color w:val="000000"/>
        </w:rPr>
        <w:t xml:space="preserve"> (explaining that the </w:t>
      </w:r>
      <w:r w:rsidRPr="00A01297">
        <w:rPr>
          <w:color w:val="000000"/>
          <w:szCs w:val="22"/>
        </w:rPr>
        <w:t xml:space="preserve">Commission raised the question of which broadcast television facilities to protect in the repacking process in the </w:t>
      </w:r>
      <w:r w:rsidRPr="00A01297">
        <w:rPr>
          <w:i/>
          <w:color w:val="000000"/>
          <w:szCs w:val="22"/>
        </w:rPr>
        <w:t>Incentive Auction NPRM</w:t>
      </w:r>
      <w:r w:rsidRPr="00A01297">
        <w:rPr>
          <w:color w:val="000000"/>
          <w:szCs w:val="22"/>
        </w:rPr>
        <w:t xml:space="preserve">, but none of the Petitioners presented facts or arguments as to why its station should be protected until after the Commission adopted the </w:t>
      </w:r>
      <w:r w:rsidRPr="00A01297">
        <w:rPr>
          <w:i/>
          <w:color w:val="000000"/>
          <w:szCs w:val="22"/>
        </w:rPr>
        <w:t>Incentive Auction R&amp;O</w:t>
      </w:r>
      <w:r w:rsidRPr="00A01297">
        <w:rPr>
          <w:color w:val="000000"/>
          <w:szCs w:val="22"/>
        </w:rPr>
        <w:t>, although all of the facts and arguments they present</w:t>
      </w:r>
      <w:r>
        <w:rPr>
          <w:color w:val="000000"/>
          <w:szCs w:val="22"/>
        </w:rPr>
        <w:t>ed</w:t>
      </w:r>
      <w:r w:rsidRPr="00A01297">
        <w:rPr>
          <w:color w:val="000000"/>
          <w:szCs w:val="22"/>
        </w:rPr>
        <w:t xml:space="preserve"> existed beforehand</w:t>
      </w:r>
      <w:r>
        <w:rPr>
          <w:color w:val="000000"/>
          <w:szCs w:val="22"/>
        </w:rPr>
        <w:t>)</w:t>
      </w:r>
      <w:r w:rsidRPr="00760E1A">
        <w:t>.</w:t>
      </w:r>
      <w:r>
        <w:t xml:space="preserve">  </w:t>
      </w:r>
      <w:r w:rsidRPr="00D46B10">
        <w:rPr>
          <w:i/>
        </w:rPr>
        <w:t>See also</w:t>
      </w:r>
      <w:r>
        <w:t xml:space="preserve"> </w:t>
      </w:r>
      <w:r w:rsidRPr="00760E1A">
        <w:rPr>
          <w:i/>
        </w:rPr>
        <w:t>2016 Reconsideration Order</w:t>
      </w:r>
      <w:r w:rsidRPr="00760E1A">
        <w:t xml:space="preserve"> at para. </w:t>
      </w:r>
      <w:r>
        <w:t>8.</w:t>
      </w:r>
    </w:p>
  </w:footnote>
  <w:footnote w:id="57">
    <w:p w14:paraId="0A0D91D8" w14:textId="7ECFD2C8" w:rsidR="00E110B3" w:rsidRDefault="00E110B3">
      <w:pPr>
        <w:pStyle w:val="FootnoteText"/>
      </w:pPr>
      <w:r>
        <w:rPr>
          <w:rStyle w:val="FootnoteReference"/>
        </w:rPr>
        <w:footnoteRef/>
      </w:r>
      <w:r>
        <w:t xml:space="preserve"> </w:t>
      </w:r>
      <w:r>
        <w:rPr>
          <w:i/>
        </w:rPr>
        <w:t>See 2</w:t>
      </w:r>
      <w:r w:rsidRPr="00760E1A">
        <w:rPr>
          <w:i/>
        </w:rPr>
        <w:t>016 Reconsideration Order</w:t>
      </w:r>
      <w:r w:rsidRPr="00760E1A">
        <w:t xml:space="preserve"> at para. </w:t>
      </w:r>
      <w:r>
        <w:t xml:space="preserve">8 (explaining that Videohouse’s Petition for Reconsideration of the </w:t>
      </w:r>
      <w:r w:rsidRPr="00FD28E0">
        <w:rPr>
          <w:i/>
        </w:rPr>
        <w:t>2015 Reconsideration Order</w:t>
      </w:r>
      <w:r>
        <w:t xml:space="preserve"> was repetitious).  The Com</w:t>
      </w:r>
      <w:r w:rsidR="00CA64F4">
        <w:t xml:space="preserve">mission announced the </w:t>
      </w:r>
      <w:r>
        <w:t xml:space="preserve">March 29, 2016 </w:t>
      </w:r>
      <w:r w:rsidR="00CA64F4">
        <w:t xml:space="preserve">commencement </w:t>
      </w:r>
      <w:r>
        <w:t xml:space="preserve">date </w:t>
      </w:r>
      <w:r w:rsidR="00CA64F4">
        <w:t xml:space="preserve">on August 11, 2015.  </w:t>
      </w:r>
      <w:r w:rsidR="00CA64F4">
        <w:rPr>
          <w:i/>
        </w:rPr>
        <w:t>See Broadcast Incentive Auction Scheduled to Begin on March 29, 2016; Procedures for Competitive Bidding in Auction No. 1000, Including Initial Clearing Target Determination, Qualifying to Bid, and Bidding in Auctions 1001 (Reverse) and 1002 (Forward)</w:t>
      </w:r>
      <w:r w:rsidR="00CA64F4">
        <w:t xml:space="preserve">, </w:t>
      </w:r>
      <w:r w:rsidR="00735C8A" w:rsidRPr="001E1D6C">
        <w:rPr>
          <w:color w:val="000000"/>
        </w:rPr>
        <w:t>AU Docket No. 14-252 et al., FCC 15-78, Public Notice, 30 FCC Rcd 8975</w:t>
      </w:r>
      <w:r w:rsidR="00735C8A">
        <w:rPr>
          <w:color w:val="000000"/>
        </w:rPr>
        <w:t xml:space="preserve"> </w:t>
      </w:r>
      <w:r w:rsidR="00CA64F4">
        <w:t>(released Aug. 11, 2015)</w:t>
      </w:r>
      <w:r w:rsidR="00CA64F4">
        <w:rPr>
          <w:i/>
        </w:rPr>
        <w:t>.</w:t>
      </w:r>
      <w:r>
        <w:t xml:space="preserve"> </w:t>
      </w:r>
    </w:p>
  </w:footnote>
  <w:footnote w:id="58">
    <w:p w14:paraId="45A0B9D9" w14:textId="77777777" w:rsidR="00E110B3" w:rsidRDefault="00E110B3">
      <w:pPr>
        <w:pStyle w:val="FootnoteText"/>
      </w:pPr>
      <w:r>
        <w:rPr>
          <w:rStyle w:val="FootnoteReference"/>
        </w:rPr>
        <w:footnoteRef/>
      </w:r>
      <w:r>
        <w:t xml:space="preserve"> Stay Motion at 7-8.</w:t>
      </w:r>
    </w:p>
  </w:footnote>
  <w:footnote w:id="59">
    <w:p w14:paraId="4206A461" w14:textId="59005536" w:rsidR="00E110B3" w:rsidRDefault="00E110B3">
      <w:pPr>
        <w:pStyle w:val="FootnoteText"/>
      </w:pPr>
      <w:r>
        <w:rPr>
          <w:rStyle w:val="FootnoteReference"/>
        </w:rPr>
        <w:footnoteRef/>
      </w:r>
      <w:r>
        <w:t xml:space="preserve"> </w:t>
      </w:r>
      <w:r w:rsidR="002B6D10">
        <w:rPr>
          <w:i/>
          <w:color w:val="000000"/>
        </w:rPr>
        <w:t>See I</w:t>
      </w:r>
      <w:r w:rsidR="002B6D10" w:rsidRPr="001E1D6C">
        <w:rPr>
          <w:i/>
          <w:color w:val="000000"/>
        </w:rPr>
        <w:t>ncentive Auction R&amp;O</w:t>
      </w:r>
      <w:r w:rsidR="002B6D10" w:rsidRPr="001E1D6C">
        <w:rPr>
          <w:color w:val="000000"/>
        </w:rPr>
        <w:t>, 29 FCC Rcd at 66</w:t>
      </w:r>
      <w:r w:rsidR="002B6D10">
        <w:rPr>
          <w:color w:val="000000"/>
        </w:rPr>
        <w:t>5</w:t>
      </w:r>
      <w:r w:rsidR="002B6D10" w:rsidRPr="001E1D6C">
        <w:rPr>
          <w:color w:val="000000"/>
        </w:rPr>
        <w:t>5, para. 19</w:t>
      </w:r>
      <w:r w:rsidR="002B6D10">
        <w:rPr>
          <w:color w:val="000000"/>
        </w:rPr>
        <w:t>3</w:t>
      </w:r>
      <w:r>
        <w:t xml:space="preserve">.  </w:t>
      </w:r>
      <w:r w:rsidRPr="00591911">
        <w:rPr>
          <w:i/>
        </w:rPr>
        <w:t>See also</w:t>
      </w:r>
      <w:r>
        <w:t xml:space="preserve"> </w:t>
      </w:r>
      <w:r w:rsidRPr="001E1D6C">
        <w:rPr>
          <w:i/>
          <w:color w:val="000000"/>
        </w:rPr>
        <w:t>id.</w:t>
      </w:r>
      <w:r w:rsidRPr="001E1D6C">
        <w:rPr>
          <w:color w:val="000000"/>
        </w:rPr>
        <w:t xml:space="preserve"> at 6719, para. 357 </w:t>
      </w:r>
      <w:r>
        <w:t>(“[I]</w:t>
      </w:r>
      <w:r w:rsidRPr="005842F0">
        <w:t>t would be meaningless for us to recognize for relinquishment broader rights than those which we would protect</w:t>
      </w:r>
      <w:r w:rsidRPr="005842F0" w:rsidDel="00400086">
        <w:t xml:space="preserve"> </w:t>
      </w:r>
      <w:r w:rsidRPr="005842F0">
        <w:t xml:space="preserve">in the repacking process.  Unprotected usage rights will not </w:t>
      </w:r>
      <w:r>
        <w:t>affect</w:t>
      </w:r>
      <w:r w:rsidRPr="005842F0">
        <w:t xml:space="preserve"> our repacking flexibility or our ability to repurpose spectrum and thus will have no value in the reverse auction.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695C" w14:textId="77777777" w:rsidR="001B6DCB" w:rsidRDefault="001B6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0628" w14:textId="2F0F6EE7" w:rsidR="00E110B3" w:rsidRDefault="00E110B3" w:rsidP="00810B6F">
    <w:pPr>
      <w:pStyle w:val="Header"/>
      <w:rPr>
        <w:b w:val="0"/>
      </w:rPr>
    </w:pPr>
    <w:r>
      <w:tab/>
      <w:t>Federal Comm</w:t>
    </w:r>
    <w:r w:rsidR="00C108E0">
      <w:t>unications Commission</w:t>
    </w:r>
    <w:r w:rsidR="00C108E0">
      <w:tab/>
      <w:t>DA 16-243</w:t>
    </w:r>
  </w:p>
  <w:p w14:paraId="2E772B3D" w14:textId="77777777" w:rsidR="00E110B3" w:rsidRDefault="00E110B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242016D" wp14:editId="793D9A1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C83FB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" o:allowincell="f" fillcolor="black" stroked="f">
              <o:lock v:ext="edit" aspectratio="t"/>
              <w10:wrap anchorx="margin"/>
            </v:rect>
          </w:pict>
        </mc:Fallback>
      </mc:AlternateContent>
    </w:r>
  </w:p>
  <w:p w14:paraId="2CC27CA2" w14:textId="77777777" w:rsidR="00E110B3" w:rsidRDefault="00E110B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B8C3" w14:textId="4FCC701F" w:rsidR="00E110B3" w:rsidRDefault="00E110B3" w:rsidP="00810B6F">
    <w:pPr>
      <w:pStyle w:val="Header"/>
      <w:rPr>
        <w:b w:val="0"/>
      </w:rPr>
    </w:pPr>
    <w:r>
      <w:rPr>
        <w:noProof/>
      </w:rPr>
      <mc:AlternateContent>
        <mc:Choice Requires="wps">
          <w:drawing>
            <wp:anchor distT="0" distB="0" distL="114300" distR="114300" simplePos="0" relativeHeight="251658240" behindDoc="1" locked="0" layoutInCell="0" allowOverlap="1" wp14:anchorId="4B4C9ED2" wp14:editId="5575C8E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DFB76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" o:allowincell="f" fillcolor="black" stroked="f">
              <o:lock v:ext="edit" aspectratio="t"/>
              <w10:wrap anchorx="margin"/>
            </v:rect>
          </w:pict>
        </mc:Fallback>
      </mc:AlternateContent>
    </w:r>
    <w:r>
      <w:tab/>
      <w:t>Federal Communications Commission</w:t>
    </w:r>
    <w:r>
      <w:tab/>
    </w:r>
    <w:r w:rsidR="00C108E0">
      <w:rPr>
        <w:spacing w:val="-2"/>
      </w:rPr>
      <w:t>DA 16-243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6C"/>
    <w:rsid w:val="00024863"/>
    <w:rsid w:val="00036039"/>
    <w:rsid w:val="00037F90"/>
    <w:rsid w:val="000875BF"/>
    <w:rsid w:val="00087AE9"/>
    <w:rsid w:val="00096D8C"/>
    <w:rsid w:val="000A3421"/>
    <w:rsid w:val="000C0B65"/>
    <w:rsid w:val="000E05FE"/>
    <w:rsid w:val="000E3081"/>
    <w:rsid w:val="000E3D42"/>
    <w:rsid w:val="000E67BD"/>
    <w:rsid w:val="00117E38"/>
    <w:rsid w:val="00122BD5"/>
    <w:rsid w:val="00133F79"/>
    <w:rsid w:val="00162AB2"/>
    <w:rsid w:val="0017352F"/>
    <w:rsid w:val="001751A0"/>
    <w:rsid w:val="00177F62"/>
    <w:rsid w:val="00186443"/>
    <w:rsid w:val="00192D12"/>
    <w:rsid w:val="00194A66"/>
    <w:rsid w:val="001B6DCB"/>
    <w:rsid w:val="001C5271"/>
    <w:rsid w:val="001D6BCF"/>
    <w:rsid w:val="001E01CA"/>
    <w:rsid w:val="001E1D6C"/>
    <w:rsid w:val="00222964"/>
    <w:rsid w:val="00275CF5"/>
    <w:rsid w:val="0028301F"/>
    <w:rsid w:val="00285017"/>
    <w:rsid w:val="002A045A"/>
    <w:rsid w:val="002A2D2E"/>
    <w:rsid w:val="002B6D10"/>
    <w:rsid w:val="002C00E8"/>
    <w:rsid w:val="0030221B"/>
    <w:rsid w:val="00316FB0"/>
    <w:rsid w:val="00343749"/>
    <w:rsid w:val="003660ED"/>
    <w:rsid w:val="00374B57"/>
    <w:rsid w:val="003751A7"/>
    <w:rsid w:val="003767A4"/>
    <w:rsid w:val="00376E5A"/>
    <w:rsid w:val="00390683"/>
    <w:rsid w:val="00390DE9"/>
    <w:rsid w:val="0039721C"/>
    <w:rsid w:val="003B0550"/>
    <w:rsid w:val="003B694F"/>
    <w:rsid w:val="003C1A45"/>
    <w:rsid w:val="003E67CF"/>
    <w:rsid w:val="003F171C"/>
    <w:rsid w:val="00412FC5"/>
    <w:rsid w:val="00422276"/>
    <w:rsid w:val="004242F1"/>
    <w:rsid w:val="0043404A"/>
    <w:rsid w:val="00445616"/>
    <w:rsid w:val="00445A00"/>
    <w:rsid w:val="00451B0F"/>
    <w:rsid w:val="00465DC1"/>
    <w:rsid w:val="00492BE0"/>
    <w:rsid w:val="00494D6C"/>
    <w:rsid w:val="004A1BA4"/>
    <w:rsid w:val="004C2EE3"/>
    <w:rsid w:val="004E4A22"/>
    <w:rsid w:val="00511229"/>
    <w:rsid w:val="00511968"/>
    <w:rsid w:val="00523902"/>
    <w:rsid w:val="005455FE"/>
    <w:rsid w:val="0055614C"/>
    <w:rsid w:val="005633A1"/>
    <w:rsid w:val="00566830"/>
    <w:rsid w:val="00570BB2"/>
    <w:rsid w:val="00583851"/>
    <w:rsid w:val="00591911"/>
    <w:rsid w:val="005B580E"/>
    <w:rsid w:val="005B5F54"/>
    <w:rsid w:val="005D4DE0"/>
    <w:rsid w:val="005D7E7D"/>
    <w:rsid w:val="005E14C2"/>
    <w:rsid w:val="00607BA5"/>
    <w:rsid w:val="0061180A"/>
    <w:rsid w:val="0062516E"/>
    <w:rsid w:val="00626EB6"/>
    <w:rsid w:val="00650642"/>
    <w:rsid w:val="00654EF4"/>
    <w:rsid w:val="00655D03"/>
    <w:rsid w:val="00656A9A"/>
    <w:rsid w:val="00683388"/>
    <w:rsid w:val="00683F84"/>
    <w:rsid w:val="006A6A81"/>
    <w:rsid w:val="006C283F"/>
    <w:rsid w:val="006C61FF"/>
    <w:rsid w:val="006D2976"/>
    <w:rsid w:val="006F7393"/>
    <w:rsid w:val="0070224F"/>
    <w:rsid w:val="007115F7"/>
    <w:rsid w:val="007125F7"/>
    <w:rsid w:val="00735C8A"/>
    <w:rsid w:val="00756EB4"/>
    <w:rsid w:val="00771EEE"/>
    <w:rsid w:val="00772831"/>
    <w:rsid w:val="00785689"/>
    <w:rsid w:val="007905E6"/>
    <w:rsid w:val="0079754B"/>
    <w:rsid w:val="007A1E6D"/>
    <w:rsid w:val="007B0EB2"/>
    <w:rsid w:val="007E6D37"/>
    <w:rsid w:val="007F4C61"/>
    <w:rsid w:val="00810B6F"/>
    <w:rsid w:val="00822CE0"/>
    <w:rsid w:val="00841AB1"/>
    <w:rsid w:val="0085507D"/>
    <w:rsid w:val="00877F63"/>
    <w:rsid w:val="008C67B8"/>
    <w:rsid w:val="008C68F1"/>
    <w:rsid w:val="008F40C8"/>
    <w:rsid w:val="008F773F"/>
    <w:rsid w:val="0090293B"/>
    <w:rsid w:val="00921803"/>
    <w:rsid w:val="00922350"/>
    <w:rsid w:val="00926503"/>
    <w:rsid w:val="009663B4"/>
    <w:rsid w:val="009726D8"/>
    <w:rsid w:val="0098147D"/>
    <w:rsid w:val="0098338C"/>
    <w:rsid w:val="00987D39"/>
    <w:rsid w:val="009C561A"/>
    <w:rsid w:val="009C68A4"/>
    <w:rsid w:val="009E594F"/>
    <w:rsid w:val="009F76DB"/>
    <w:rsid w:val="00A04BF2"/>
    <w:rsid w:val="00A1375C"/>
    <w:rsid w:val="00A32C3B"/>
    <w:rsid w:val="00A3430E"/>
    <w:rsid w:val="00A42667"/>
    <w:rsid w:val="00A45F4F"/>
    <w:rsid w:val="00A600A9"/>
    <w:rsid w:val="00AA55B7"/>
    <w:rsid w:val="00AA5B9E"/>
    <w:rsid w:val="00AB2407"/>
    <w:rsid w:val="00AB27CC"/>
    <w:rsid w:val="00AB53DF"/>
    <w:rsid w:val="00AC0B81"/>
    <w:rsid w:val="00AC7DFD"/>
    <w:rsid w:val="00AD0626"/>
    <w:rsid w:val="00AD3687"/>
    <w:rsid w:val="00B07E5C"/>
    <w:rsid w:val="00B47A29"/>
    <w:rsid w:val="00B811F7"/>
    <w:rsid w:val="00B8320C"/>
    <w:rsid w:val="00BA5DC6"/>
    <w:rsid w:val="00BA6196"/>
    <w:rsid w:val="00BC6D8C"/>
    <w:rsid w:val="00BE42C3"/>
    <w:rsid w:val="00C108E0"/>
    <w:rsid w:val="00C11F85"/>
    <w:rsid w:val="00C23CC7"/>
    <w:rsid w:val="00C34006"/>
    <w:rsid w:val="00C426B1"/>
    <w:rsid w:val="00C61976"/>
    <w:rsid w:val="00C66160"/>
    <w:rsid w:val="00C721AC"/>
    <w:rsid w:val="00C77CAB"/>
    <w:rsid w:val="00C86EF1"/>
    <w:rsid w:val="00C90D6A"/>
    <w:rsid w:val="00CA247E"/>
    <w:rsid w:val="00CA64F4"/>
    <w:rsid w:val="00CB0033"/>
    <w:rsid w:val="00CB0207"/>
    <w:rsid w:val="00CC4DA0"/>
    <w:rsid w:val="00CC72B6"/>
    <w:rsid w:val="00CD6F1A"/>
    <w:rsid w:val="00CE6AEF"/>
    <w:rsid w:val="00D0218D"/>
    <w:rsid w:val="00D175AE"/>
    <w:rsid w:val="00D219F5"/>
    <w:rsid w:val="00D23153"/>
    <w:rsid w:val="00D25FB5"/>
    <w:rsid w:val="00D44223"/>
    <w:rsid w:val="00D46B10"/>
    <w:rsid w:val="00D71CD9"/>
    <w:rsid w:val="00D83332"/>
    <w:rsid w:val="00D8405B"/>
    <w:rsid w:val="00DA2529"/>
    <w:rsid w:val="00DA4590"/>
    <w:rsid w:val="00DB130A"/>
    <w:rsid w:val="00DB2EBB"/>
    <w:rsid w:val="00DC10A1"/>
    <w:rsid w:val="00DC655F"/>
    <w:rsid w:val="00DC7D4E"/>
    <w:rsid w:val="00DD0B59"/>
    <w:rsid w:val="00DD7EBD"/>
    <w:rsid w:val="00DF5AE5"/>
    <w:rsid w:val="00DF62B6"/>
    <w:rsid w:val="00DF7A21"/>
    <w:rsid w:val="00E07225"/>
    <w:rsid w:val="00E110B3"/>
    <w:rsid w:val="00E5409F"/>
    <w:rsid w:val="00E57C46"/>
    <w:rsid w:val="00E6016D"/>
    <w:rsid w:val="00E76DCF"/>
    <w:rsid w:val="00EB018E"/>
    <w:rsid w:val="00EB67EC"/>
    <w:rsid w:val="00EE3569"/>
    <w:rsid w:val="00EE6488"/>
    <w:rsid w:val="00EF22E7"/>
    <w:rsid w:val="00EF47AF"/>
    <w:rsid w:val="00F00F63"/>
    <w:rsid w:val="00F01B1E"/>
    <w:rsid w:val="00F021FA"/>
    <w:rsid w:val="00F25744"/>
    <w:rsid w:val="00F3388E"/>
    <w:rsid w:val="00F3747E"/>
    <w:rsid w:val="00F443C9"/>
    <w:rsid w:val="00F5506D"/>
    <w:rsid w:val="00F62E97"/>
    <w:rsid w:val="00F64209"/>
    <w:rsid w:val="00F93BF5"/>
    <w:rsid w:val="00FB75BA"/>
    <w:rsid w:val="00FD28E0"/>
    <w:rsid w:val="00FD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EA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uiPriority w:val="99"/>
    <w:rsid w:val="001E1D6C"/>
  </w:style>
  <w:style w:type="character" w:customStyle="1" w:styleId="ParaNumChar">
    <w:name w:val="ParaNum Char"/>
    <w:link w:val="ParaNum"/>
    <w:locked/>
    <w:rsid w:val="001E1D6C"/>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E1D6C"/>
    <w:rPr>
      <w:b/>
      <w:snapToGrid w:val="0"/>
      <w:kern w:val="28"/>
      <w:sz w:val="22"/>
    </w:rPr>
  </w:style>
  <w:style w:type="character" w:customStyle="1" w:styleId="apple-converted-space">
    <w:name w:val="apple-converted-space"/>
    <w:rsid w:val="001E1D6C"/>
  </w:style>
  <w:style w:type="character" w:styleId="Emphasis">
    <w:name w:val="Emphasis"/>
    <w:uiPriority w:val="20"/>
    <w:qFormat/>
    <w:rsid w:val="001E1D6C"/>
    <w:rPr>
      <w:i/>
      <w:iCs/>
    </w:rPr>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link w:val="Heading1"/>
    <w:rsid w:val="001E1D6C"/>
    <w:rPr>
      <w:rFonts w:ascii="Times New Roman Bold" w:hAnsi="Times New Roman Bold"/>
      <w:b/>
      <w:caps/>
      <w:snapToGrid w:val="0"/>
      <w:kern w:val="28"/>
      <w:sz w:val="22"/>
    </w:rPr>
  </w:style>
  <w:style w:type="paragraph" w:styleId="NormalWeb">
    <w:name w:val="Normal (Web)"/>
    <w:basedOn w:val="Normal"/>
    <w:uiPriority w:val="99"/>
    <w:unhideWhenUsed/>
    <w:rsid w:val="001E1D6C"/>
    <w:pPr>
      <w:widowControl/>
      <w:spacing w:before="100" w:beforeAutospacing="1" w:after="100" w:afterAutospacing="1"/>
    </w:pPr>
    <w:rPr>
      <w:rFonts w:ascii="Times" w:hAnsi="Times"/>
      <w:snapToGrid/>
      <w:kern w:val="0"/>
      <w:sz w:val="20"/>
    </w:rPr>
  </w:style>
  <w:style w:type="character" w:styleId="CommentReference">
    <w:name w:val="annotation reference"/>
    <w:basedOn w:val="DefaultParagraphFont"/>
    <w:semiHidden/>
    <w:unhideWhenUsed/>
    <w:rsid w:val="00D175AE"/>
    <w:rPr>
      <w:sz w:val="16"/>
      <w:szCs w:val="16"/>
    </w:rPr>
  </w:style>
  <w:style w:type="paragraph" w:styleId="CommentText">
    <w:name w:val="annotation text"/>
    <w:basedOn w:val="Normal"/>
    <w:link w:val="CommentTextChar"/>
    <w:semiHidden/>
    <w:unhideWhenUsed/>
    <w:rsid w:val="00D175AE"/>
    <w:rPr>
      <w:sz w:val="20"/>
    </w:rPr>
  </w:style>
  <w:style w:type="character" w:customStyle="1" w:styleId="CommentTextChar">
    <w:name w:val="Comment Text Char"/>
    <w:basedOn w:val="DefaultParagraphFont"/>
    <w:link w:val="CommentText"/>
    <w:semiHidden/>
    <w:rsid w:val="00D175AE"/>
    <w:rPr>
      <w:snapToGrid w:val="0"/>
      <w:kern w:val="28"/>
    </w:rPr>
  </w:style>
  <w:style w:type="paragraph" w:styleId="CommentSubject">
    <w:name w:val="annotation subject"/>
    <w:basedOn w:val="CommentText"/>
    <w:next w:val="CommentText"/>
    <w:link w:val="CommentSubjectChar"/>
    <w:semiHidden/>
    <w:unhideWhenUsed/>
    <w:rsid w:val="00D175AE"/>
    <w:rPr>
      <w:b/>
      <w:bCs/>
    </w:rPr>
  </w:style>
  <w:style w:type="character" w:customStyle="1" w:styleId="CommentSubjectChar">
    <w:name w:val="Comment Subject Char"/>
    <w:basedOn w:val="CommentTextChar"/>
    <w:link w:val="CommentSubject"/>
    <w:semiHidden/>
    <w:rsid w:val="00D175AE"/>
    <w:rPr>
      <w:b/>
      <w:bCs/>
      <w:snapToGrid w:val="0"/>
      <w:kern w:val="28"/>
    </w:rPr>
  </w:style>
  <w:style w:type="paragraph" w:styleId="BalloonText">
    <w:name w:val="Balloon Text"/>
    <w:basedOn w:val="Normal"/>
    <w:link w:val="BalloonTextChar"/>
    <w:semiHidden/>
    <w:unhideWhenUsed/>
    <w:rsid w:val="00D175AE"/>
    <w:rPr>
      <w:rFonts w:ascii="Segoe UI" w:hAnsi="Segoe UI" w:cs="Segoe UI"/>
      <w:sz w:val="18"/>
      <w:szCs w:val="18"/>
    </w:rPr>
  </w:style>
  <w:style w:type="character" w:customStyle="1" w:styleId="BalloonTextChar">
    <w:name w:val="Balloon Text Char"/>
    <w:basedOn w:val="DefaultParagraphFont"/>
    <w:link w:val="BalloonText"/>
    <w:semiHidden/>
    <w:rsid w:val="00D175AE"/>
    <w:rPr>
      <w:rFonts w:ascii="Segoe UI" w:hAnsi="Segoe UI" w:cs="Segoe UI"/>
      <w:snapToGrid w:val="0"/>
      <w:kern w:val="28"/>
      <w:sz w:val="18"/>
      <w:szCs w:val="18"/>
    </w:rPr>
  </w:style>
  <w:style w:type="character" w:customStyle="1" w:styleId="FootnoteTextChar3">
    <w:name w:val="Footnote Text Char3"/>
    <w:aliases w:val="Footnote Text Char Char Char Char Char1 Char Char,Footnote Text Char Char1 Char1 Char Char,Footnote Text Char1 Char1,Footnote Text Char1 Char Char,Footnote Text Char1 Char Char Char1 Char Char,Footnote Text Char2 Char,f Char1"/>
    <w:rsid w:val="0098338C"/>
  </w:style>
  <w:style w:type="character" w:customStyle="1" w:styleId="cosearchterm7">
    <w:name w:val="co_searchterm7"/>
    <w:rsid w:val="00376E5A"/>
    <w:rPr>
      <w:b/>
      <w:bCs/>
      <w:color w:val="252525"/>
    </w:rPr>
  </w:style>
  <w:style w:type="character" w:customStyle="1" w:styleId="cosearchterm">
    <w:name w:val="co_searchterm"/>
    <w:basedOn w:val="DefaultParagraphFont"/>
    <w:rsid w:val="00302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uiPriority w:val="99"/>
    <w:rsid w:val="001E1D6C"/>
  </w:style>
  <w:style w:type="character" w:customStyle="1" w:styleId="ParaNumChar">
    <w:name w:val="ParaNum Char"/>
    <w:link w:val="ParaNum"/>
    <w:locked/>
    <w:rsid w:val="001E1D6C"/>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E1D6C"/>
    <w:rPr>
      <w:b/>
      <w:snapToGrid w:val="0"/>
      <w:kern w:val="28"/>
      <w:sz w:val="22"/>
    </w:rPr>
  </w:style>
  <w:style w:type="character" w:customStyle="1" w:styleId="apple-converted-space">
    <w:name w:val="apple-converted-space"/>
    <w:rsid w:val="001E1D6C"/>
  </w:style>
  <w:style w:type="character" w:styleId="Emphasis">
    <w:name w:val="Emphasis"/>
    <w:uiPriority w:val="20"/>
    <w:qFormat/>
    <w:rsid w:val="001E1D6C"/>
    <w:rPr>
      <w:i/>
      <w:iCs/>
    </w:rPr>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link w:val="Heading1"/>
    <w:rsid w:val="001E1D6C"/>
    <w:rPr>
      <w:rFonts w:ascii="Times New Roman Bold" w:hAnsi="Times New Roman Bold"/>
      <w:b/>
      <w:caps/>
      <w:snapToGrid w:val="0"/>
      <w:kern w:val="28"/>
      <w:sz w:val="22"/>
    </w:rPr>
  </w:style>
  <w:style w:type="paragraph" w:styleId="NormalWeb">
    <w:name w:val="Normal (Web)"/>
    <w:basedOn w:val="Normal"/>
    <w:uiPriority w:val="99"/>
    <w:unhideWhenUsed/>
    <w:rsid w:val="001E1D6C"/>
    <w:pPr>
      <w:widowControl/>
      <w:spacing w:before="100" w:beforeAutospacing="1" w:after="100" w:afterAutospacing="1"/>
    </w:pPr>
    <w:rPr>
      <w:rFonts w:ascii="Times" w:hAnsi="Times"/>
      <w:snapToGrid/>
      <w:kern w:val="0"/>
      <w:sz w:val="20"/>
    </w:rPr>
  </w:style>
  <w:style w:type="character" w:styleId="CommentReference">
    <w:name w:val="annotation reference"/>
    <w:basedOn w:val="DefaultParagraphFont"/>
    <w:semiHidden/>
    <w:unhideWhenUsed/>
    <w:rsid w:val="00D175AE"/>
    <w:rPr>
      <w:sz w:val="16"/>
      <w:szCs w:val="16"/>
    </w:rPr>
  </w:style>
  <w:style w:type="paragraph" w:styleId="CommentText">
    <w:name w:val="annotation text"/>
    <w:basedOn w:val="Normal"/>
    <w:link w:val="CommentTextChar"/>
    <w:semiHidden/>
    <w:unhideWhenUsed/>
    <w:rsid w:val="00D175AE"/>
    <w:rPr>
      <w:sz w:val="20"/>
    </w:rPr>
  </w:style>
  <w:style w:type="character" w:customStyle="1" w:styleId="CommentTextChar">
    <w:name w:val="Comment Text Char"/>
    <w:basedOn w:val="DefaultParagraphFont"/>
    <w:link w:val="CommentText"/>
    <w:semiHidden/>
    <w:rsid w:val="00D175AE"/>
    <w:rPr>
      <w:snapToGrid w:val="0"/>
      <w:kern w:val="28"/>
    </w:rPr>
  </w:style>
  <w:style w:type="paragraph" w:styleId="CommentSubject">
    <w:name w:val="annotation subject"/>
    <w:basedOn w:val="CommentText"/>
    <w:next w:val="CommentText"/>
    <w:link w:val="CommentSubjectChar"/>
    <w:semiHidden/>
    <w:unhideWhenUsed/>
    <w:rsid w:val="00D175AE"/>
    <w:rPr>
      <w:b/>
      <w:bCs/>
    </w:rPr>
  </w:style>
  <w:style w:type="character" w:customStyle="1" w:styleId="CommentSubjectChar">
    <w:name w:val="Comment Subject Char"/>
    <w:basedOn w:val="CommentTextChar"/>
    <w:link w:val="CommentSubject"/>
    <w:semiHidden/>
    <w:rsid w:val="00D175AE"/>
    <w:rPr>
      <w:b/>
      <w:bCs/>
      <w:snapToGrid w:val="0"/>
      <w:kern w:val="28"/>
    </w:rPr>
  </w:style>
  <w:style w:type="paragraph" w:styleId="BalloonText">
    <w:name w:val="Balloon Text"/>
    <w:basedOn w:val="Normal"/>
    <w:link w:val="BalloonTextChar"/>
    <w:semiHidden/>
    <w:unhideWhenUsed/>
    <w:rsid w:val="00D175AE"/>
    <w:rPr>
      <w:rFonts w:ascii="Segoe UI" w:hAnsi="Segoe UI" w:cs="Segoe UI"/>
      <w:sz w:val="18"/>
      <w:szCs w:val="18"/>
    </w:rPr>
  </w:style>
  <w:style w:type="character" w:customStyle="1" w:styleId="BalloonTextChar">
    <w:name w:val="Balloon Text Char"/>
    <w:basedOn w:val="DefaultParagraphFont"/>
    <w:link w:val="BalloonText"/>
    <w:semiHidden/>
    <w:rsid w:val="00D175AE"/>
    <w:rPr>
      <w:rFonts w:ascii="Segoe UI" w:hAnsi="Segoe UI" w:cs="Segoe UI"/>
      <w:snapToGrid w:val="0"/>
      <w:kern w:val="28"/>
      <w:sz w:val="18"/>
      <w:szCs w:val="18"/>
    </w:rPr>
  </w:style>
  <w:style w:type="character" w:customStyle="1" w:styleId="FootnoteTextChar3">
    <w:name w:val="Footnote Text Char3"/>
    <w:aliases w:val="Footnote Text Char Char Char Char Char1 Char Char,Footnote Text Char Char1 Char1 Char Char,Footnote Text Char1 Char1,Footnote Text Char1 Char Char,Footnote Text Char1 Char Char Char1 Char Char,Footnote Text Char2 Char,f Char1"/>
    <w:rsid w:val="0098338C"/>
  </w:style>
  <w:style w:type="character" w:customStyle="1" w:styleId="cosearchterm7">
    <w:name w:val="co_searchterm7"/>
    <w:rsid w:val="00376E5A"/>
    <w:rPr>
      <w:b/>
      <w:bCs/>
      <w:color w:val="252525"/>
    </w:rPr>
  </w:style>
  <w:style w:type="character" w:customStyle="1" w:styleId="cosearchterm">
    <w:name w:val="co_searchterm"/>
    <w:basedOn w:val="DefaultParagraphFont"/>
    <w:rsid w:val="0030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2195</Words>
  <Characters>11955</Characters>
  <Application>Microsoft Office Word</Application>
  <DocSecurity>0</DocSecurity>
  <Lines>181</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14183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2016-03-03T21:14:00Z</dcterms:created>
  <dcterms:modified xsi:type="dcterms:W3CDTF">2016-03-03T21:14:00Z</dcterms:modified>
  <cp:category> </cp:category>
  <cp:contentStatus> </cp:contentStatus>
</cp:coreProperties>
</file>