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907370" w:rsidRDefault="00E26DB9" w:rsidP="00907370">
            <w:pPr>
              <w:tabs>
                <w:tab w:val="center" w:pos="4680"/>
              </w:tabs>
              <w:suppressAutoHyphens/>
              <w:rPr>
                <w:spacing w:val="-2"/>
              </w:rPr>
            </w:pPr>
            <w:r>
              <w:rPr>
                <w:spacing w:val="-2"/>
              </w:rPr>
              <w:t xml:space="preserve">COMMONWEALTH OF </w:t>
            </w:r>
            <w:r w:rsidR="00621342">
              <w:rPr>
                <w:spacing w:val="-2"/>
              </w:rPr>
              <w:t xml:space="preserve">VIRGINIA </w:t>
            </w:r>
            <w:r>
              <w:rPr>
                <w:spacing w:val="-2"/>
              </w:rPr>
              <w:t xml:space="preserve">DEPARTMENT OF </w:t>
            </w:r>
            <w:r w:rsidR="00621342">
              <w:rPr>
                <w:spacing w:val="-2"/>
              </w:rPr>
              <w:t>STATE POLICE</w:t>
            </w:r>
          </w:p>
          <w:p w:rsidR="00621342" w:rsidRDefault="00621342" w:rsidP="00907370">
            <w:pPr>
              <w:tabs>
                <w:tab w:val="center" w:pos="4680"/>
              </w:tabs>
              <w:suppressAutoHyphens/>
              <w:rPr>
                <w:spacing w:val="-2"/>
              </w:rPr>
            </w:pPr>
          </w:p>
          <w:p w:rsidR="004C2EE3" w:rsidRPr="007115F7" w:rsidRDefault="00621342" w:rsidP="00621342">
            <w:pPr>
              <w:tabs>
                <w:tab w:val="center" w:pos="4680"/>
              </w:tabs>
              <w:suppressAutoHyphens/>
              <w:rPr>
                <w:spacing w:val="-2"/>
              </w:rPr>
            </w:pPr>
            <w:r>
              <w:rPr>
                <w:spacing w:val="-2"/>
              </w:rPr>
              <w:t>Request for Waiver of Section 90.537 of the Commission’s rules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907370" w:rsidRPr="00621342" w:rsidRDefault="00E26DB9">
            <w:pPr>
              <w:tabs>
                <w:tab w:val="center" w:pos="4680"/>
              </w:tabs>
              <w:suppressAutoHyphens/>
              <w:rPr>
                <w:b/>
                <w:spacing w:val="-2"/>
              </w:rPr>
            </w:pPr>
            <w:r>
              <w:rPr>
                <w:b/>
                <w:spacing w:val="-2"/>
              </w:rPr>
              <w:t>)</w:t>
            </w:r>
          </w:p>
        </w:tc>
        <w:tc>
          <w:tcPr>
            <w:tcW w:w="4248" w:type="dxa"/>
          </w:tcPr>
          <w:p w:rsidR="00907370" w:rsidRDefault="00907370" w:rsidP="00907370">
            <w:pPr>
              <w:pStyle w:val="TOAHeading"/>
              <w:tabs>
                <w:tab w:val="center" w:pos="4680"/>
              </w:tabs>
              <w:rPr>
                <w:spacing w:val="-2"/>
              </w:rPr>
            </w:pPr>
          </w:p>
          <w:p w:rsidR="0091133E" w:rsidRDefault="0091133E" w:rsidP="0091133E"/>
          <w:p w:rsidR="0091133E" w:rsidRPr="0091133E" w:rsidRDefault="0091133E" w:rsidP="0091133E"/>
          <w:p w:rsidR="004C2EE3" w:rsidRDefault="004C2EE3" w:rsidP="00FA0169">
            <w:pPr>
              <w:pStyle w:val="TOAHeading"/>
              <w:tabs>
                <w:tab w:val="center" w:pos="4680"/>
              </w:tabs>
              <w:rPr>
                <w:spacing w:val="-2"/>
              </w:rPr>
            </w:pPr>
          </w:p>
        </w:tc>
      </w:tr>
    </w:tbl>
    <w:p w:rsidR="004C2EE3" w:rsidRDefault="004C2EE3" w:rsidP="0070224F"/>
    <w:p w:rsidR="00841AB1" w:rsidRDefault="00907370"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0B2C2A">
        <w:rPr>
          <w:b/>
          <w:spacing w:val="-2"/>
        </w:rPr>
        <w:t>March 8</w:t>
      </w:r>
      <w:r w:rsidR="00FA0169">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B2C2A">
        <w:rPr>
          <w:b/>
          <w:spacing w:val="-2"/>
        </w:rPr>
        <w:t>March 8</w:t>
      </w:r>
      <w:r w:rsidR="00FA0169">
        <w:rPr>
          <w:b/>
          <w:spacing w:val="-2"/>
        </w:rPr>
        <w:t>, 2016</w:t>
      </w:r>
    </w:p>
    <w:p w:rsidR="00822CE0" w:rsidRDefault="00822CE0"/>
    <w:p w:rsidR="004C2EE3" w:rsidRDefault="004C2EE3">
      <w:pPr>
        <w:rPr>
          <w:spacing w:val="-2"/>
        </w:rPr>
      </w:pPr>
      <w:r>
        <w:t xml:space="preserve">By </w:t>
      </w:r>
      <w:r w:rsidR="004E4A22">
        <w:t>the</w:t>
      </w:r>
      <w:r w:rsidR="002A2D2E">
        <w:t xml:space="preserve"> </w:t>
      </w:r>
      <w:r w:rsidR="00907370">
        <w:rPr>
          <w:spacing w:val="-2"/>
        </w:rPr>
        <w:t>Deputy Chief, Policy and Licensing Division, Public Safety and Homeland Security Bureau</w:t>
      </w:r>
      <w:r>
        <w:rPr>
          <w:spacing w:val="-2"/>
        </w:rPr>
        <w:t>:</w:t>
      </w:r>
    </w:p>
    <w:p w:rsidR="00822CE0" w:rsidRDefault="00822CE0">
      <w:pPr>
        <w:rPr>
          <w:spacing w:val="-2"/>
        </w:rPr>
      </w:pPr>
    </w:p>
    <w:p w:rsidR="00621342" w:rsidRDefault="00621342" w:rsidP="00621342">
      <w:pPr>
        <w:pStyle w:val="ParaNum"/>
      </w:pPr>
      <w:r w:rsidRPr="00621342">
        <w:rPr>
          <w:i/>
        </w:rPr>
        <w:t>Introduction</w:t>
      </w:r>
      <w:r>
        <w:t xml:space="preserve">.  </w:t>
      </w:r>
      <w:r w:rsidR="00E26DB9">
        <w:t>The Commonwealth of Virginia Department of State Police (</w:t>
      </w:r>
      <w:r>
        <w:t>V</w:t>
      </w:r>
      <w:r w:rsidR="00E26DB9">
        <w:t xml:space="preserve">irginia) </w:t>
      </w:r>
      <w:r>
        <w:t>requests waiver</w:t>
      </w:r>
      <w:r w:rsidR="00E26DB9" w:rsidRPr="00E26DB9">
        <w:rPr>
          <w:vertAlign w:val="superscript"/>
        </w:rPr>
        <w:footnoteReference w:id="2"/>
      </w:r>
      <w:r>
        <w:t xml:space="preserve"> </w:t>
      </w:r>
      <w:r w:rsidR="00E26DB9" w:rsidRPr="00E26DB9">
        <w:t xml:space="preserve">of </w:t>
      </w:r>
      <w:r w:rsidR="0042664C" w:rsidRPr="0042664C">
        <w:t xml:space="preserve">Section 90.537(a) </w:t>
      </w:r>
      <w:r w:rsidR="0042664C">
        <w:t>of the Commission’s rules</w:t>
      </w:r>
      <w:r w:rsidR="0042664C" w:rsidRPr="0042664C">
        <w:rPr>
          <w:vertAlign w:val="superscript"/>
        </w:rPr>
        <w:footnoteReference w:id="3"/>
      </w:r>
      <w:r w:rsidR="0042664C" w:rsidRPr="0042664C">
        <w:t xml:space="preserve"> </w:t>
      </w:r>
      <w:r w:rsidR="0042664C">
        <w:t xml:space="preserve"> (narrowband trunking requirements) </w:t>
      </w:r>
      <w:r w:rsidR="00E26DB9">
        <w:t xml:space="preserve">relative to its </w:t>
      </w:r>
      <w:r>
        <w:t>Statewide Agencies Radio Sys</w:t>
      </w:r>
      <w:r w:rsidR="00C27F0B">
        <w:t>tem (STARS) so that</w:t>
      </w:r>
      <w:r w:rsidR="00EC0EFC">
        <w:t xml:space="preserve"> </w:t>
      </w:r>
      <w:r w:rsidR="00E26DB9">
        <w:t xml:space="preserve">it </w:t>
      </w:r>
      <w:r>
        <w:t xml:space="preserve">may use non-trunked State channels and former reserve channels </w:t>
      </w:r>
      <w:r w:rsidR="005113F8">
        <w:t xml:space="preserve">(now General Use channels) </w:t>
      </w:r>
      <w:r w:rsidR="00693405">
        <w:t>i</w:t>
      </w:r>
      <w:r>
        <w:t xml:space="preserve">n </w:t>
      </w:r>
      <w:r w:rsidR="00E26DB9">
        <w:t xml:space="preserve">its </w:t>
      </w:r>
      <w:r>
        <w:t xml:space="preserve">existing 700 MHz digital vehicular repeater </w:t>
      </w:r>
      <w:r w:rsidR="00116810">
        <w:t xml:space="preserve">units </w:t>
      </w:r>
      <w:r>
        <w:t>(DVRS</w:t>
      </w:r>
      <w:r w:rsidRPr="00621342">
        <w:rPr>
          <w:szCs w:val="22"/>
        </w:rPr>
        <w:t>)</w:t>
      </w:r>
      <w:r>
        <w:t>.</w:t>
      </w:r>
      <w:r>
        <w:rPr>
          <w:rStyle w:val="FootnoteReference"/>
        </w:rPr>
        <w:footnoteReference w:id="4"/>
      </w:r>
      <w:r>
        <w:t xml:space="preserve">  For</w:t>
      </w:r>
      <w:r w:rsidR="005113F8">
        <w:t xml:space="preserve"> the reasons stated below, we </w:t>
      </w:r>
      <w:r w:rsidR="00116810">
        <w:t xml:space="preserve">conditionally </w:t>
      </w:r>
      <w:r w:rsidR="0042664C">
        <w:t xml:space="preserve">grant Virginia’s </w:t>
      </w:r>
      <w:r w:rsidR="005113F8">
        <w:t>waive</w:t>
      </w:r>
      <w:r w:rsidR="0042664C">
        <w:t>r request.</w:t>
      </w:r>
      <w:r>
        <w:t xml:space="preserve"> </w:t>
      </w:r>
    </w:p>
    <w:p w:rsidR="00621342" w:rsidRDefault="001D714C" w:rsidP="00621342">
      <w:pPr>
        <w:pStyle w:val="ParaNum"/>
        <w:rPr>
          <w:szCs w:val="22"/>
        </w:rPr>
      </w:pPr>
      <w:r w:rsidRPr="001D714C">
        <w:rPr>
          <w:i/>
        </w:rPr>
        <w:t>Background</w:t>
      </w:r>
      <w:r>
        <w:t xml:space="preserve">.  </w:t>
      </w:r>
      <w:r w:rsidR="00621342" w:rsidRPr="001263C3">
        <w:t xml:space="preserve">The Commission established trunking requirements for narrowband systems in the 700 MHz </w:t>
      </w:r>
      <w:r w:rsidR="0042664C">
        <w:t xml:space="preserve">public safety </w:t>
      </w:r>
      <w:r>
        <w:t>narrow</w:t>
      </w:r>
      <w:r w:rsidR="00621342" w:rsidRPr="001263C3">
        <w:t xml:space="preserve">band </w:t>
      </w:r>
      <w:r w:rsidR="0042664C">
        <w:t>spectrum in the interest of efficient spectrum use.</w:t>
      </w:r>
      <w:r w:rsidR="00621342" w:rsidRPr="0021089B">
        <w:rPr>
          <w:rStyle w:val="FootnoteReference"/>
          <w:szCs w:val="22"/>
        </w:rPr>
        <w:footnoteReference w:id="5"/>
      </w:r>
      <w:r w:rsidR="00621342" w:rsidRPr="001263C3">
        <w:t xml:space="preserve">  </w:t>
      </w:r>
      <w:r w:rsidR="0029687D">
        <w:t xml:space="preserve">Currently, </w:t>
      </w:r>
      <w:r w:rsidR="00621342" w:rsidRPr="002C6741">
        <w:rPr>
          <w:szCs w:val="22"/>
        </w:rPr>
        <w:t>Section 90.537</w:t>
      </w:r>
      <w:r w:rsidR="0042664C">
        <w:rPr>
          <w:szCs w:val="22"/>
        </w:rPr>
        <w:t>(a)</w:t>
      </w:r>
      <w:r w:rsidR="00621342" w:rsidRPr="002C6741">
        <w:rPr>
          <w:szCs w:val="22"/>
        </w:rPr>
        <w:t xml:space="preserve"> specifies that all systems using six or more narrowband General Use channels or State channels must operate in the trunked mode.</w:t>
      </w:r>
      <w:r w:rsidR="00621342" w:rsidRPr="002C6741">
        <w:rPr>
          <w:rStyle w:val="FootnoteReference"/>
          <w:sz w:val="22"/>
          <w:szCs w:val="22"/>
        </w:rPr>
        <w:footnoteReference w:id="6"/>
      </w:r>
      <w:r w:rsidR="00C27F0B">
        <w:rPr>
          <w:szCs w:val="22"/>
        </w:rPr>
        <w:t xml:space="preserve">  </w:t>
      </w:r>
      <w:r w:rsidR="00621342" w:rsidRPr="002C6741">
        <w:rPr>
          <w:szCs w:val="22"/>
        </w:rPr>
        <w:t xml:space="preserve">  </w:t>
      </w:r>
    </w:p>
    <w:p w:rsidR="00621342" w:rsidRDefault="00010CF1" w:rsidP="009B447C">
      <w:pPr>
        <w:pStyle w:val="ParaNum"/>
        <w:rPr>
          <w:szCs w:val="22"/>
        </w:rPr>
      </w:pPr>
      <w:r>
        <w:rPr>
          <w:szCs w:val="22"/>
        </w:rPr>
        <w:t xml:space="preserve">STARS uses </w:t>
      </w:r>
      <w:r w:rsidR="0042664C">
        <w:rPr>
          <w:szCs w:val="22"/>
        </w:rPr>
        <w:t xml:space="preserve">VHF </w:t>
      </w:r>
      <w:r>
        <w:rPr>
          <w:szCs w:val="22"/>
        </w:rPr>
        <w:t xml:space="preserve">digital trunked narrowband land mobile radio technology for </w:t>
      </w:r>
      <w:r w:rsidR="0042664C">
        <w:rPr>
          <w:szCs w:val="22"/>
        </w:rPr>
        <w:t xml:space="preserve">its system </w:t>
      </w:r>
      <w:r>
        <w:rPr>
          <w:szCs w:val="22"/>
        </w:rPr>
        <w:t xml:space="preserve">infrastructure and relies on 700 MHz DVRS units in over 3,600 vehicles to </w:t>
      </w:r>
      <w:r w:rsidR="0042664C">
        <w:rPr>
          <w:szCs w:val="22"/>
        </w:rPr>
        <w:t>enable 700 MHz handheld portable units to communicate, through the DVRS, with the system infrastructure.</w:t>
      </w:r>
      <w:r>
        <w:rPr>
          <w:rStyle w:val="FootnoteReference"/>
          <w:szCs w:val="22"/>
        </w:rPr>
        <w:footnoteReference w:id="7"/>
      </w:r>
      <w:r>
        <w:rPr>
          <w:szCs w:val="22"/>
        </w:rPr>
        <w:t xml:space="preserve">  When </w:t>
      </w:r>
      <w:r w:rsidR="00621342" w:rsidRPr="009B447C">
        <w:rPr>
          <w:szCs w:val="22"/>
        </w:rPr>
        <w:t xml:space="preserve">STARS was implemented, </w:t>
      </w:r>
      <w:r w:rsidR="00693405">
        <w:rPr>
          <w:szCs w:val="22"/>
        </w:rPr>
        <w:t xml:space="preserve">and to date, </w:t>
      </w:r>
      <w:r w:rsidR="00621342" w:rsidRPr="009B447C">
        <w:rPr>
          <w:szCs w:val="22"/>
        </w:rPr>
        <w:t xml:space="preserve">there </w:t>
      </w:r>
      <w:r w:rsidR="00693405">
        <w:rPr>
          <w:szCs w:val="22"/>
        </w:rPr>
        <w:t>are</w:t>
      </w:r>
      <w:r w:rsidR="00621342" w:rsidRPr="009B447C">
        <w:rPr>
          <w:szCs w:val="22"/>
        </w:rPr>
        <w:t xml:space="preserve"> no trunked vehicular repeater</w:t>
      </w:r>
      <w:r w:rsidR="000328FA">
        <w:rPr>
          <w:szCs w:val="22"/>
        </w:rPr>
        <w:t>s</w:t>
      </w:r>
      <w:r w:rsidR="00621342" w:rsidRPr="009B447C">
        <w:rPr>
          <w:szCs w:val="22"/>
        </w:rPr>
        <w:t xml:space="preserve"> available</w:t>
      </w:r>
      <w:r w:rsidR="000328FA">
        <w:rPr>
          <w:szCs w:val="22"/>
        </w:rPr>
        <w:t>,</w:t>
      </w:r>
      <w:r w:rsidR="003550F0">
        <w:rPr>
          <w:rStyle w:val="FootnoteReference"/>
          <w:szCs w:val="22"/>
        </w:rPr>
        <w:footnoteReference w:id="8"/>
      </w:r>
      <w:r w:rsidR="00621342" w:rsidRPr="009B447C">
        <w:rPr>
          <w:szCs w:val="22"/>
        </w:rPr>
        <w:t xml:space="preserve"> </w:t>
      </w:r>
      <w:r w:rsidR="000328FA">
        <w:rPr>
          <w:szCs w:val="22"/>
        </w:rPr>
        <w:t>and there is no Project 25 – the technology used on the STARS system – specification for a trunked vehicular repeater</w:t>
      </w:r>
      <w:r w:rsidR="003550F0">
        <w:rPr>
          <w:rStyle w:val="FootnoteReference"/>
          <w:szCs w:val="22"/>
        </w:rPr>
        <w:footnoteReference w:id="9"/>
      </w:r>
      <w:r w:rsidR="00EC0EFC">
        <w:rPr>
          <w:szCs w:val="22"/>
        </w:rPr>
        <w:t xml:space="preserve">  Additionally, Virginia</w:t>
      </w:r>
      <w:r w:rsidR="00621342" w:rsidRPr="009B447C">
        <w:rPr>
          <w:szCs w:val="22"/>
        </w:rPr>
        <w:t xml:space="preserve"> argues</w:t>
      </w:r>
      <w:r w:rsidR="000328FA">
        <w:rPr>
          <w:szCs w:val="22"/>
        </w:rPr>
        <w:t xml:space="preserve">, </w:t>
      </w:r>
      <w:r w:rsidR="00621342" w:rsidRPr="009B447C">
        <w:rPr>
          <w:szCs w:val="22"/>
        </w:rPr>
        <w:t xml:space="preserve">trunking generally assumes a fixed infrastructure </w:t>
      </w:r>
      <w:r w:rsidR="004C7679">
        <w:rPr>
          <w:szCs w:val="22"/>
        </w:rPr>
        <w:t>whereas Virginia’s DVRS units are mobile, not fixed.</w:t>
      </w:r>
      <w:r w:rsidR="003550F0">
        <w:rPr>
          <w:rStyle w:val="FootnoteReference"/>
          <w:szCs w:val="22"/>
        </w:rPr>
        <w:footnoteReference w:id="10"/>
      </w:r>
      <w:r w:rsidR="00EC0EFC">
        <w:rPr>
          <w:szCs w:val="22"/>
        </w:rPr>
        <w:t xml:space="preserve">  Virginia</w:t>
      </w:r>
      <w:r w:rsidR="00621342" w:rsidRPr="009B447C">
        <w:rPr>
          <w:szCs w:val="22"/>
        </w:rPr>
        <w:t xml:space="preserve"> </w:t>
      </w:r>
      <w:r w:rsidR="004C7679">
        <w:rPr>
          <w:szCs w:val="22"/>
        </w:rPr>
        <w:t xml:space="preserve">claims </w:t>
      </w:r>
      <w:r w:rsidR="00621342" w:rsidRPr="009B447C">
        <w:rPr>
          <w:szCs w:val="22"/>
        </w:rPr>
        <w:t>that it only recently bec</w:t>
      </w:r>
      <w:r w:rsidR="002B14CA">
        <w:rPr>
          <w:szCs w:val="22"/>
        </w:rPr>
        <w:t xml:space="preserve">ame aware that Section </w:t>
      </w:r>
      <w:r w:rsidR="002B14CA">
        <w:rPr>
          <w:szCs w:val="22"/>
        </w:rPr>
        <w:lastRenderedPageBreak/>
        <w:t xml:space="preserve">90.537 </w:t>
      </w:r>
      <w:r w:rsidR="004C7679">
        <w:rPr>
          <w:szCs w:val="22"/>
        </w:rPr>
        <w:t xml:space="preserve">– if strictly construed -- could </w:t>
      </w:r>
      <w:r w:rsidR="002B14CA">
        <w:rPr>
          <w:szCs w:val="22"/>
        </w:rPr>
        <w:t>apply to DVRS</w:t>
      </w:r>
      <w:r w:rsidR="004C7679">
        <w:rPr>
          <w:szCs w:val="22"/>
        </w:rPr>
        <w:t xml:space="preserve"> units,</w:t>
      </w:r>
      <w:r w:rsidR="003550F0">
        <w:rPr>
          <w:rStyle w:val="FootnoteReference"/>
          <w:szCs w:val="22"/>
        </w:rPr>
        <w:footnoteReference w:id="11"/>
      </w:r>
      <w:r w:rsidR="004C7679">
        <w:rPr>
          <w:szCs w:val="22"/>
        </w:rPr>
        <w:t xml:space="preserve"> and thus has requested the instant waiver</w:t>
      </w:r>
      <w:r w:rsidR="002B14CA">
        <w:rPr>
          <w:szCs w:val="22"/>
        </w:rPr>
        <w:t xml:space="preserve"> of Section 90.537.</w:t>
      </w:r>
      <w:r w:rsidR="002B14CA">
        <w:rPr>
          <w:rStyle w:val="FootnoteReference"/>
          <w:szCs w:val="22"/>
        </w:rPr>
        <w:footnoteReference w:id="12"/>
      </w:r>
      <w:r w:rsidR="0029687D">
        <w:rPr>
          <w:szCs w:val="22"/>
        </w:rPr>
        <w:t xml:space="preserve">  </w:t>
      </w:r>
    </w:p>
    <w:p w:rsidR="00D6452D" w:rsidRDefault="00A449A6" w:rsidP="009B447C">
      <w:pPr>
        <w:pStyle w:val="ParaNum"/>
        <w:rPr>
          <w:szCs w:val="22"/>
        </w:rPr>
      </w:pPr>
      <w:r w:rsidRPr="009B447C">
        <w:rPr>
          <w:i/>
          <w:szCs w:val="22"/>
        </w:rPr>
        <w:t>Decision</w:t>
      </w:r>
      <w:r w:rsidRPr="009B447C">
        <w:rPr>
          <w:szCs w:val="22"/>
        </w:rPr>
        <w:t xml:space="preserve">.  </w:t>
      </w:r>
      <w:r w:rsidR="002C6741" w:rsidRPr="009B447C">
        <w:rPr>
          <w:szCs w:val="22"/>
        </w:rPr>
        <w:t>To obtain a waiver of the Commission’s rules, a petitioner must demonstrate either that: (i) the underlying purpose of the rule(s) would not be served or would be frustrated by application to the present case, and that a grant of the waiver would be in the public interest;</w:t>
      </w:r>
      <w:r w:rsidR="002C6741" w:rsidRPr="002C6741">
        <w:rPr>
          <w:szCs w:val="22"/>
          <w:vertAlign w:val="superscript"/>
        </w:rPr>
        <w:footnoteReference w:id="13"/>
      </w:r>
      <w:r w:rsidR="002C6741" w:rsidRPr="009B447C">
        <w:rPr>
          <w:szCs w:val="22"/>
        </w:rPr>
        <w:t xml:space="preserve"> or (ii) in view of unique or unusual factual circumstances of the instant case, application of the rule(s) would be inequitable, unduly burdensome, or contrary to the public interest, or the applicant has no reasonable alternative.</w:t>
      </w:r>
      <w:r w:rsidR="002C6741" w:rsidRPr="002C6741">
        <w:rPr>
          <w:szCs w:val="22"/>
          <w:vertAlign w:val="superscript"/>
        </w:rPr>
        <w:footnoteReference w:id="14"/>
      </w:r>
      <w:r w:rsidR="002C6741" w:rsidRPr="009B447C">
        <w:rPr>
          <w:szCs w:val="22"/>
        </w:rPr>
        <w:t xml:space="preserve">  An applicant seeking a waiver faces a high hurdle and must plead with particularity the facts and circumstances that warrant a waiver.</w:t>
      </w:r>
      <w:bookmarkStart w:id="1" w:name="_Ref63477514"/>
      <w:r w:rsidR="002C6741" w:rsidRPr="002C6741">
        <w:rPr>
          <w:szCs w:val="22"/>
          <w:vertAlign w:val="superscript"/>
        </w:rPr>
        <w:footnoteReference w:id="15"/>
      </w:r>
      <w:bookmarkEnd w:id="1"/>
    </w:p>
    <w:p w:rsidR="00116810" w:rsidRPr="00116810" w:rsidRDefault="00501D45" w:rsidP="009C488A">
      <w:pPr>
        <w:pStyle w:val="ParaNum"/>
        <w:rPr>
          <w:rStyle w:val="documentbody1"/>
          <w:rFonts w:ascii="Times New Roman" w:hAnsi="Times New Roman"/>
          <w:sz w:val="22"/>
          <w:szCs w:val="22"/>
          <w:shd w:val="clear" w:color="auto" w:fill="auto"/>
        </w:rPr>
      </w:pPr>
      <w:r w:rsidRPr="009B447C">
        <w:rPr>
          <w:rStyle w:val="documentbody1"/>
          <w:rFonts w:ascii="Times New Roman" w:hAnsi="Times New Roman"/>
          <w:color w:val="000000"/>
          <w:sz w:val="22"/>
          <w:szCs w:val="22"/>
        </w:rPr>
        <w:t>We find</w:t>
      </w:r>
      <w:r w:rsidR="006A20CC" w:rsidRPr="009B447C">
        <w:rPr>
          <w:rStyle w:val="documentbody1"/>
          <w:rFonts w:ascii="Times New Roman" w:hAnsi="Times New Roman"/>
          <w:color w:val="000000"/>
          <w:sz w:val="22"/>
          <w:szCs w:val="22"/>
        </w:rPr>
        <w:t xml:space="preserve"> </w:t>
      </w:r>
      <w:r w:rsidR="00D6452D" w:rsidRPr="009B447C">
        <w:rPr>
          <w:rStyle w:val="documentbody1"/>
          <w:rFonts w:ascii="Times New Roman" w:hAnsi="Times New Roman"/>
          <w:color w:val="000000"/>
          <w:sz w:val="22"/>
          <w:szCs w:val="22"/>
        </w:rPr>
        <w:t xml:space="preserve">that </w:t>
      </w:r>
      <w:r w:rsidR="006A20CC" w:rsidRPr="009B447C">
        <w:rPr>
          <w:rStyle w:val="documentbody1"/>
          <w:rFonts w:ascii="Times New Roman" w:hAnsi="Times New Roman"/>
          <w:color w:val="000000"/>
          <w:sz w:val="22"/>
          <w:szCs w:val="22"/>
        </w:rPr>
        <w:t>unique</w:t>
      </w:r>
      <w:r w:rsidR="004C7679">
        <w:rPr>
          <w:rStyle w:val="documentbody1"/>
          <w:rFonts w:ascii="Times New Roman" w:hAnsi="Times New Roman"/>
          <w:color w:val="000000"/>
          <w:sz w:val="22"/>
          <w:szCs w:val="22"/>
        </w:rPr>
        <w:t xml:space="preserve"> factual</w:t>
      </w:r>
      <w:r w:rsidR="006A20CC" w:rsidRPr="009B447C">
        <w:rPr>
          <w:rStyle w:val="documentbody1"/>
          <w:rFonts w:ascii="Times New Roman" w:hAnsi="Times New Roman"/>
          <w:color w:val="000000"/>
          <w:sz w:val="22"/>
          <w:szCs w:val="22"/>
        </w:rPr>
        <w:t xml:space="preserve"> circumstances </w:t>
      </w:r>
      <w:r w:rsidR="00D6452D" w:rsidRPr="009B447C">
        <w:rPr>
          <w:rStyle w:val="documentbody1"/>
          <w:rFonts w:ascii="Times New Roman" w:hAnsi="Times New Roman"/>
          <w:color w:val="000000"/>
          <w:sz w:val="22"/>
          <w:szCs w:val="22"/>
        </w:rPr>
        <w:t>exist t</w:t>
      </w:r>
      <w:r w:rsidR="00E3133F" w:rsidRPr="009B447C">
        <w:rPr>
          <w:rStyle w:val="documentbody1"/>
          <w:rFonts w:ascii="Times New Roman" w:hAnsi="Times New Roman"/>
          <w:color w:val="000000"/>
          <w:sz w:val="22"/>
          <w:szCs w:val="22"/>
        </w:rPr>
        <w:t>h</w:t>
      </w:r>
      <w:r w:rsidR="00D6452D" w:rsidRPr="009B447C">
        <w:rPr>
          <w:rStyle w:val="documentbody1"/>
          <w:rFonts w:ascii="Times New Roman" w:hAnsi="Times New Roman"/>
          <w:color w:val="000000"/>
          <w:sz w:val="22"/>
          <w:szCs w:val="22"/>
        </w:rPr>
        <w:t xml:space="preserve">at </w:t>
      </w:r>
      <w:r w:rsidR="006A20CC" w:rsidRPr="009B447C">
        <w:rPr>
          <w:rStyle w:val="documentbody1"/>
          <w:rFonts w:ascii="Times New Roman" w:hAnsi="Times New Roman"/>
          <w:color w:val="000000"/>
          <w:sz w:val="22"/>
          <w:szCs w:val="22"/>
        </w:rPr>
        <w:t>would make application of the</w:t>
      </w:r>
      <w:r w:rsidR="002C6741" w:rsidRPr="009B447C">
        <w:rPr>
          <w:szCs w:val="22"/>
        </w:rPr>
        <w:t xml:space="preserve"> trunking rule</w:t>
      </w:r>
      <w:r w:rsidR="006A20CC" w:rsidRPr="009B447C">
        <w:rPr>
          <w:szCs w:val="22"/>
        </w:rPr>
        <w:t xml:space="preserve"> </w:t>
      </w:r>
      <w:r w:rsidR="009C488A">
        <w:rPr>
          <w:szCs w:val="22"/>
        </w:rPr>
        <w:t>to Virginia’s</w:t>
      </w:r>
      <w:r w:rsidRPr="009B447C">
        <w:rPr>
          <w:szCs w:val="22"/>
        </w:rPr>
        <w:t xml:space="preserve"> DVRS </w:t>
      </w:r>
      <w:r w:rsidR="006A20CC" w:rsidRPr="00AD3FDC">
        <w:rPr>
          <w:szCs w:val="22"/>
        </w:rPr>
        <w:t>unduly burdensome</w:t>
      </w:r>
      <w:r w:rsidR="009C488A" w:rsidRPr="00AD3FDC">
        <w:rPr>
          <w:szCs w:val="22"/>
        </w:rPr>
        <w:t xml:space="preserve"> and contrary to the public interest</w:t>
      </w:r>
      <w:r w:rsidR="002C6741" w:rsidRPr="00AD3FDC">
        <w:rPr>
          <w:rStyle w:val="documentbody1"/>
          <w:rFonts w:ascii="Times New Roman" w:hAnsi="Times New Roman"/>
          <w:color w:val="000000"/>
          <w:sz w:val="22"/>
          <w:szCs w:val="22"/>
        </w:rPr>
        <w:t xml:space="preserve">. </w:t>
      </w:r>
      <w:r w:rsidR="004C7679">
        <w:rPr>
          <w:rStyle w:val="documentbody1"/>
          <w:rFonts w:ascii="Times New Roman" w:hAnsi="Times New Roman"/>
          <w:color w:val="000000"/>
          <w:sz w:val="22"/>
          <w:szCs w:val="22"/>
        </w:rPr>
        <w:t>We believe that the Commission did not have DVRS units in mind when it enacted the trunking requirements, but rather contemplated that trunking would apply only to fixed infrastructure.</w:t>
      </w:r>
      <w:r w:rsidR="00116810">
        <w:rPr>
          <w:rStyle w:val="documentbody1"/>
          <w:rFonts w:ascii="Times New Roman" w:hAnsi="Times New Roman"/>
          <w:color w:val="000000"/>
          <w:sz w:val="22"/>
          <w:szCs w:val="22"/>
        </w:rPr>
        <w:t xml:space="preserve">  Moreover, the fact that trunked DVRS units are not available suggests that such units would be infeasible, or, if feasible, inordinately expensive.</w:t>
      </w:r>
    </w:p>
    <w:p w:rsidR="009E3B9A" w:rsidRPr="00CF4F33" w:rsidRDefault="009E3B9A" w:rsidP="00CF4F33">
      <w:pPr>
        <w:pStyle w:val="ParaNum"/>
        <w:rPr>
          <w:szCs w:val="22"/>
        </w:rPr>
      </w:pPr>
      <w:r>
        <w:t>I</w:t>
      </w:r>
      <w:r w:rsidR="00D408D5">
        <w:t>n light of these</w:t>
      </w:r>
      <w:r w:rsidR="00C27F0B">
        <w:t xml:space="preserve"> unusual circumstance</w:t>
      </w:r>
      <w:r w:rsidR="00677427">
        <w:t>s</w:t>
      </w:r>
      <w:r>
        <w:t xml:space="preserve">, denial of </w:t>
      </w:r>
      <w:r w:rsidR="00963FC6">
        <w:t xml:space="preserve">Virginia’s </w:t>
      </w:r>
      <w:r>
        <w:t xml:space="preserve">waiver request would be </w:t>
      </w:r>
      <w:r w:rsidR="00CF4F33">
        <w:t xml:space="preserve">unduly burdensome and </w:t>
      </w:r>
      <w:r>
        <w:t>contrary to the public interest.</w:t>
      </w:r>
      <w:r w:rsidR="006A20CC">
        <w:t xml:space="preserve"> </w:t>
      </w:r>
      <w:r>
        <w:t xml:space="preserve"> </w:t>
      </w:r>
      <w:r w:rsidR="00CF4F33" w:rsidRPr="008915AF">
        <w:rPr>
          <w:szCs w:val="22"/>
        </w:rPr>
        <w:t>Den</w:t>
      </w:r>
      <w:r w:rsidR="00963FC6">
        <w:rPr>
          <w:szCs w:val="22"/>
        </w:rPr>
        <w:t xml:space="preserve">ial would </w:t>
      </w:r>
      <w:r w:rsidR="00AD3FDC">
        <w:rPr>
          <w:szCs w:val="22"/>
        </w:rPr>
        <w:t>potentially interfere with</w:t>
      </w:r>
      <w:r w:rsidR="00CF4F33">
        <w:rPr>
          <w:szCs w:val="22"/>
        </w:rPr>
        <w:t xml:space="preserve"> Virginia’s operational needs</w:t>
      </w:r>
      <w:r w:rsidR="00D408D5">
        <w:rPr>
          <w:szCs w:val="22"/>
        </w:rPr>
        <w:t xml:space="preserve">, </w:t>
      </w:r>
      <w:r w:rsidR="00963FC6">
        <w:rPr>
          <w:szCs w:val="22"/>
        </w:rPr>
        <w:t xml:space="preserve">create unnecessary expense, and </w:t>
      </w:r>
      <w:r w:rsidR="00D408D5">
        <w:rPr>
          <w:szCs w:val="22"/>
        </w:rPr>
        <w:t>complicate Virginia’s frequency planning</w:t>
      </w:r>
      <w:r w:rsidR="00CF4F33" w:rsidRPr="008915AF">
        <w:rPr>
          <w:szCs w:val="22"/>
        </w:rPr>
        <w:t>.</w:t>
      </w:r>
      <w:r w:rsidR="00CF4F33">
        <w:rPr>
          <w:szCs w:val="22"/>
        </w:rPr>
        <w:t xml:space="preserve"> </w:t>
      </w:r>
      <w:r w:rsidR="00AD3FDC">
        <w:rPr>
          <w:szCs w:val="22"/>
        </w:rPr>
        <w:t xml:space="preserve"> </w:t>
      </w:r>
      <w:r w:rsidR="00963FC6">
        <w:rPr>
          <w:szCs w:val="22"/>
        </w:rPr>
        <w:t xml:space="preserve">We note that Regional Planning Committee 20 has approved Virginia’s use of additional channels for the STARS system conditioned on grant of the instant waiver request.  </w:t>
      </w:r>
      <w:r w:rsidR="00693405">
        <w:rPr>
          <w:szCs w:val="22"/>
        </w:rPr>
        <w:t xml:space="preserve">The waiver granted hereunder will expire on the earlier of 1 year from the release date of this order or on the effective date of the Commission taking </w:t>
      </w:r>
      <w:r w:rsidR="00390849">
        <w:rPr>
          <w:rStyle w:val="documentbody1"/>
          <w:rFonts w:ascii="Times New Roman" w:hAnsi="Times New Roman"/>
          <w:color w:val="000000"/>
          <w:sz w:val="22"/>
          <w:szCs w:val="22"/>
        </w:rPr>
        <w:t xml:space="preserve">further action </w:t>
      </w:r>
      <w:r w:rsidR="002C6741" w:rsidRPr="00CF4F33">
        <w:rPr>
          <w:rStyle w:val="documentbody1"/>
          <w:rFonts w:ascii="Times New Roman" w:hAnsi="Times New Roman"/>
          <w:color w:val="000000"/>
          <w:sz w:val="22"/>
          <w:szCs w:val="22"/>
        </w:rPr>
        <w:t xml:space="preserve">to address 700 MHz narrowband licensing and operational requirements applicable to </w:t>
      </w:r>
      <w:r w:rsidR="00693405">
        <w:rPr>
          <w:rStyle w:val="documentbody1"/>
          <w:rFonts w:ascii="Times New Roman" w:hAnsi="Times New Roman"/>
          <w:color w:val="000000"/>
          <w:sz w:val="22"/>
          <w:szCs w:val="22"/>
        </w:rPr>
        <w:t>vehicular repeater systems.</w:t>
      </w:r>
      <w:r w:rsidR="00390849">
        <w:rPr>
          <w:rStyle w:val="documentbody1"/>
          <w:rFonts w:ascii="Times New Roman" w:hAnsi="Times New Roman"/>
          <w:color w:val="000000"/>
          <w:sz w:val="22"/>
          <w:szCs w:val="22"/>
        </w:rPr>
        <w:t xml:space="preserve"> </w:t>
      </w:r>
      <w:r w:rsidR="002C6741" w:rsidRPr="00CF4F33">
        <w:rPr>
          <w:rStyle w:val="documentbody1"/>
          <w:rFonts w:ascii="Times New Roman" w:hAnsi="Times New Roman"/>
          <w:color w:val="000000"/>
          <w:sz w:val="22"/>
          <w:szCs w:val="22"/>
        </w:rPr>
        <w:t xml:space="preserve"> </w:t>
      </w:r>
    </w:p>
    <w:p w:rsidR="00AD3FDC" w:rsidRDefault="00621342" w:rsidP="00615AF1">
      <w:pPr>
        <w:pStyle w:val="ParaNum"/>
      </w:pPr>
      <w:r w:rsidRPr="00621342">
        <w:rPr>
          <w:i/>
        </w:rPr>
        <w:t>Ordering Clause</w:t>
      </w:r>
      <w:r>
        <w:t xml:space="preserve">.   </w:t>
      </w:r>
      <w:r w:rsidR="00A439D9">
        <w:t xml:space="preserve">Accordingly, IT IS ORDERED that the </w:t>
      </w:r>
      <w:r w:rsidR="00693405">
        <w:t>Request for Waiver filed by the</w:t>
      </w:r>
      <w:r w:rsidR="00693405" w:rsidRPr="00693405">
        <w:t xml:space="preserve"> Commonwealth of Virginia Department of State Police </w:t>
      </w:r>
      <w:r w:rsidR="00A439D9">
        <w:t>IS GRANTED</w:t>
      </w:r>
      <w:r w:rsidR="001B1A29">
        <w:t xml:space="preserve"> </w:t>
      </w:r>
      <w:r w:rsidR="00693405">
        <w:t xml:space="preserve">conditioned as discussed herein.  </w:t>
      </w:r>
    </w:p>
    <w:p w:rsidR="00A439D9" w:rsidRDefault="00D82AE8" w:rsidP="00615AF1">
      <w:pPr>
        <w:pStyle w:val="ParaNum"/>
      </w:pPr>
      <w:r w:rsidRPr="00D82AE8">
        <w:t>This action is taken under delegated authority pursuant to Sections 0.191(a) and 0.392 of the Commission's Rules, 47 C.F.R. §§ 0.191(a), 0.392.</w:t>
      </w:r>
    </w:p>
    <w:p w:rsidR="00D82AE8" w:rsidRDefault="00D82AE8" w:rsidP="00D82AE8">
      <w:pPr>
        <w:pStyle w:val="ParaNum"/>
        <w:keepNext/>
        <w:keepLines/>
        <w:widowControl/>
        <w:numPr>
          <w:ilvl w:val="0"/>
          <w:numId w:val="0"/>
        </w:numPr>
        <w:ind w:left="2880" w:firstLine="720"/>
      </w:pPr>
      <w:r>
        <w:t>FEDERAL COMMUNICATIONS COMMISSION</w:t>
      </w:r>
    </w:p>
    <w:p w:rsidR="00D82AE8" w:rsidRDefault="00D82AE8" w:rsidP="00D82AE8">
      <w:pPr>
        <w:pStyle w:val="ParaNum"/>
        <w:keepNext/>
        <w:keepLines/>
        <w:widowControl/>
        <w:numPr>
          <w:ilvl w:val="0"/>
          <w:numId w:val="0"/>
        </w:numPr>
        <w:ind w:left="720"/>
      </w:pPr>
    </w:p>
    <w:p w:rsidR="00D82AE8" w:rsidRDefault="00D82AE8" w:rsidP="00D82AE8">
      <w:pPr>
        <w:pStyle w:val="ParaNum"/>
        <w:keepNext/>
        <w:keepLines/>
        <w:widowControl/>
        <w:numPr>
          <w:ilvl w:val="0"/>
          <w:numId w:val="0"/>
        </w:numPr>
        <w:spacing w:after="0"/>
        <w:ind w:left="2880" w:firstLine="720"/>
      </w:pPr>
      <w:r>
        <w:t>Michael J. Wilhelm</w:t>
      </w:r>
    </w:p>
    <w:p w:rsidR="00D82AE8" w:rsidRDefault="00D82AE8" w:rsidP="00D82AE8">
      <w:pPr>
        <w:pStyle w:val="ParaNum"/>
        <w:keepNext/>
        <w:keepLines/>
        <w:widowControl/>
        <w:numPr>
          <w:ilvl w:val="0"/>
          <w:numId w:val="0"/>
        </w:numPr>
        <w:spacing w:after="0"/>
        <w:ind w:left="3600"/>
      </w:pPr>
      <w:r>
        <w:t>Deputy Chief, Policy and Licensing Division</w:t>
      </w:r>
    </w:p>
    <w:p w:rsidR="00D82AE8" w:rsidRPr="00A439D9" w:rsidRDefault="00D82AE8" w:rsidP="00D82AE8">
      <w:pPr>
        <w:pStyle w:val="ParaNum"/>
        <w:keepNext/>
        <w:keepLines/>
        <w:widowControl/>
        <w:numPr>
          <w:ilvl w:val="0"/>
          <w:numId w:val="0"/>
        </w:numPr>
        <w:spacing w:after="0"/>
        <w:ind w:left="3600"/>
      </w:pPr>
      <w:r>
        <w:t xml:space="preserve">Public Safety and Homeland Security Bureau </w:t>
      </w:r>
    </w:p>
    <w:sectPr w:rsidR="00D82AE8" w:rsidRPr="00A439D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B23" w:rsidRDefault="00824B23">
      <w:pPr>
        <w:spacing w:line="20" w:lineRule="exact"/>
      </w:pPr>
    </w:p>
  </w:endnote>
  <w:endnote w:type="continuationSeparator" w:id="0">
    <w:p w:rsidR="00824B23" w:rsidRDefault="00824B23">
      <w:r>
        <w:t xml:space="preserve"> </w:t>
      </w:r>
    </w:p>
  </w:endnote>
  <w:endnote w:type="continuationNotice" w:id="1">
    <w:p w:rsidR="00824B23" w:rsidRDefault="00824B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E4E3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B23" w:rsidRDefault="00824B23">
      <w:r>
        <w:separator/>
      </w:r>
    </w:p>
  </w:footnote>
  <w:footnote w:type="continuationSeparator" w:id="0">
    <w:p w:rsidR="00824B23" w:rsidRDefault="00824B23" w:rsidP="00C721AC">
      <w:pPr>
        <w:spacing w:before="120"/>
        <w:rPr>
          <w:sz w:val="20"/>
        </w:rPr>
      </w:pPr>
      <w:r>
        <w:rPr>
          <w:sz w:val="20"/>
        </w:rPr>
        <w:t xml:space="preserve">(Continued from previous page)  </w:t>
      </w:r>
      <w:r>
        <w:rPr>
          <w:sz w:val="20"/>
        </w:rPr>
        <w:separator/>
      </w:r>
    </w:p>
  </w:footnote>
  <w:footnote w:type="continuationNotice" w:id="1">
    <w:p w:rsidR="00824B23" w:rsidRDefault="00824B23" w:rsidP="00C721AC">
      <w:pPr>
        <w:jc w:val="right"/>
        <w:rPr>
          <w:sz w:val="20"/>
        </w:rPr>
      </w:pPr>
      <w:r>
        <w:rPr>
          <w:sz w:val="20"/>
        </w:rPr>
        <w:t>(continued….)</w:t>
      </w:r>
    </w:p>
  </w:footnote>
  <w:footnote w:id="2">
    <w:p w:rsidR="00E26DB9" w:rsidRDefault="00E26DB9" w:rsidP="00E26DB9">
      <w:pPr>
        <w:pStyle w:val="FootnoteText"/>
      </w:pPr>
      <w:r>
        <w:rPr>
          <w:rStyle w:val="FootnoteReference"/>
        </w:rPr>
        <w:footnoteRef/>
      </w:r>
      <w:r>
        <w:t xml:space="preserve"> Request for Waiver filed by the Virginia Department State Police (VSP) (Waiver Request).</w:t>
      </w:r>
    </w:p>
  </w:footnote>
  <w:footnote w:id="3">
    <w:p w:rsidR="0042664C" w:rsidRDefault="0042664C" w:rsidP="0042664C">
      <w:pPr>
        <w:pStyle w:val="FootnoteText"/>
      </w:pPr>
      <w:r>
        <w:rPr>
          <w:rStyle w:val="FootnoteReference"/>
        </w:rPr>
        <w:footnoteRef/>
      </w:r>
      <w:r>
        <w:t xml:space="preserve"> 47 C.F.R. § 90.537(a).  </w:t>
      </w:r>
    </w:p>
  </w:footnote>
  <w:footnote w:id="4">
    <w:p w:rsidR="00621342" w:rsidRDefault="00621342" w:rsidP="00621342">
      <w:pPr>
        <w:pStyle w:val="FootnoteText"/>
      </w:pPr>
      <w:r>
        <w:rPr>
          <w:rStyle w:val="FootnoteReference"/>
        </w:rPr>
        <w:footnoteRef/>
      </w:r>
      <w:r>
        <w:t xml:space="preserve"> Waiver Request at 1.</w:t>
      </w:r>
    </w:p>
  </w:footnote>
  <w:footnote w:id="5">
    <w:p w:rsidR="00621342" w:rsidRPr="00E3133F" w:rsidRDefault="00621342" w:rsidP="00621342">
      <w:pPr>
        <w:pStyle w:val="FootnoteText"/>
      </w:pPr>
      <w:r w:rsidRPr="001263C3">
        <w:rPr>
          <w:rStyle w:val="FootnoteReference"/>
        </w:rPr>
        <w:footnoteRef/>
      </w:r>
      <w:r w:rsidRPr="001263C3">
        <w:t xml:space="preserve"> </w:t>
      </w:r>
      <w:r w:rsidRPr="001263C3">
        <w:rPr>
          <w:i/>
        </w:rPr>
        <w:t>See</w:t>
      </w:r>
      <w:r w:rsidRPr="001263C3">
        <w:t xml:space="preserve"> </w:t>
      </w:r>
      <w:r w:rsidR="00E3133F" w:rsidRPr="00E3133F">
        <w:rPr>
          <w:i/>
        </w:rPr>
        <w:t>Development of Operational, Technical and Spectrum Requirements for Meeting Federal, State and Local Public Safety Agency Communications Requirements Through the Year 20</w:t>
      </w:r>
      <w:r w:rsidR="00E3133F">
        <w:rPr>
          <w:i/>
        </w:rPr>
        <w:t>10</w:t>
      </w:r>
      <w:r w:rsidRPr="001263C3">
        <w:t>,</w:t>
      </w:r>
      <w:r w:rsidR="00E3133F">
        <w:t xml:space="preserve"> First Report and Order</w:t>
      </w:r>
      <w:r w:rsidR="000B2C2A">
        <w:t xml:space="preserve"> and Third Notice of Proposed Rulemaking</w:t>
      </w:r>
      <w:r w:rsidR="00E3133F">
        <w:t xml:space="preserve">, 14 FCC Rcd </w:t>
      </w:r>
      <w:r w:rsidR="00C27F0B">
        <w:t>152,</w:t>
      </w:r>
      <w:r w:rsidR="00E3133F">
        <w:t xml:space="preserve"> 211 ¶ 131</w:t>
      </w:r>
      <w:r w:rsidR="00C27F0B">
        <w:t xml:space="preserve"> (1998)</w:t>
      </w:r>
      <w:r w:rsidR="00E3133F">
        <w:t xml:space="preserve">. </w:t>
      </w:r>
    </w:p>
  </w:footnote>
  <w:footnote w:id="6">
    <w:p w:rsidR="00621342" w:rsidRPr="001263C3" w:rsidRDefault="00621342" w:rsidP="00621342">
      <w:pPr>
        <w:pStyle w:val="FootnoteText"/>
      </w:pPr>
      <w:r w:rsidRPr="001263C3">
        <w:rPr>
          <w:rStyle w:val="FootnoteReference"/>
        </w:rPr>
        <w:footnoteRef/>
      </w:r>
      <w:r w:rsidRPr="001263C3">
        <w:t xml:space="preserve"> 47 C.F.R. § 90.537(a).  </w:t>
      </w:r>
    </w:p>
  </w:footnote>
  <w:footnote w:id="7">
    <w:p w:rsidR="00010CF1" w:rsidRDefault="00010CF1">
      <w:pPr>
        <w:pStyle w:val="FootnoteText"/>
      </w:pPr>
      <w:r>
        <w:rPr>
          <w:rStyle w:val="FootnoteReference"/>
        </w:rPr>
        <w:footnoteRef/>
      </w:r>
      <w:r>
        <w:t xml:space="preserve"> Waiver Request at 1.</w:t>
      </w:r>
    </w:p>
  </w:footnote>
  <w:footnote w:id="8">
    <w:p w:rsidR="003550F0" w:rsidRDefault="003550F0">
      <w:pPr>
        <w:pStyle w:val="FootnoteText"/>
      </w:pPr>
      <w:r>
        <w:rPr>
          <w:rStyle w:val="FootnoteReference"/>
        </w:rPr>
        <w:footnoteRef/>
      </w:r>
      <w:r>
        <w:t xml:space="preserve"> </w:t>
      </w:r>
      <w:r w:rsidRPr="003550F0">
        <w:rPr>
          <w:i/>
        </w:rPr>
        <w:t>Id</w:t>
      </w:r>
      <w:r>
        <w:t>.</w:t>
      </w:r>
      <w:r w:rsidR="00010CF1">
        <w:t xml:space="preserve"> at 4.</w:t>
      </w:r>
    </w:p>
  </w:footnote>
  <w:footnote w:id="9">
    <w:p w:rsidR="003550F0" w:rsidRDefault="003550F0">
      <w:pPr>
        <w:pStyle w:val="FootnoteText"/>
      </w:pPr>
      <w:r>
        <w:rPr>
          <w:rStyle w:val="FootnoteReference"/>
        </w:rPr>
        <w:footnoteRef/>
      </w:r>
      <w:r>
        <w:t xml:space="preserve"> </w:t>
      </w:r>
      <w:r w:rsidR="000328FA" w:rsidRPr="000328FA">
        <w:t>The Futurecom DVRS model used by STARS is designed for 96 channel operation and does not include a trunking capability</w:t>
      </w:r>
      <w:r w:rsidR="000328FA">
        <w:t>.</w:t>
      </w:r>
      <w:r w:rsidR="000328FA" w:rsidRPr="000328FA">
        <w:rPr>
          <w:i/>
        </w:rPr>
        <w:t xml:space="preserve"> </w:t>
      </w:r>
      <w:r w:rsidRPr="003550F0">
        <w:rPr>
          <w:i/>
        </w:rPr>
        <w:t>Id</w:t>
      </w:r>
      <w:r>
        <w:t>.</w:t>
      </w:r>
      <w:r w:rsidR="000328FA">
        <w:t xml:space="preserve">  </w:t>
      </w:r>
    </w:p>
  </w:footnote>
  <w:footnote w:id="10">
    <w:p w:rsidR="003550F0" w:rsidRDefault="003550F0">
      <w:pPr>
        <w:pStyle w:val="FootnoteText"/>
      </w:pPr>
      <w:r>
        <w:rPr>
          <w:rStyle w:val="FootnoteReference"/>
        </w:rPr>
        <w:footnoteRef/>
      </w:r>
      <w:r>
        <w:t xml:space="preserve"> </w:t>
      </w:r>
      <w:r w:rsidRPr="003550F0">
        <w:rPr>
          <w:i/>
        </w:rPr>
        <w:t>Id</w:t>
      </w:r>
      <w:r>
        <w:t>.</w:t>
      </w:r>
    </w:p>
  </w:footnote>
  <w:footnote w:id="11">
    <w:p w:rsidR="003550F0" w:rsidRDefault="003550F0">
      <w:pPr>
        <w:pStyle w:val="FootnoteText"/>
      </w:pPr>
      <w:r>
        <w:rPr>
          <w:rStyle w:val="FootnoteReference"/>
        </w:rPr>
        <w:footnoteRef/>
      </w:r>
      <w:r>
        <w:t xml:space="preserve"> </w:t>
      </w:r>
      <w:r w:rsidRPr="003550F0">
        <w:rPr>
          <w:i/>
        </w:rPr>
        <w:t>Id</w:t>
      </w:r>
      <w:r>
        <w:t>.</w:t>
      </w:r>
    </w:p>
  </w:footnote>
  <w:footnote w:id="12">
    <w:p w:rsidR="002B14CA" w:rsidRDefault="002B14CA">
      <w:pPr>
        <w:pStyle w:val="FootnoteText"/>
      </w:pPr>
      <w:r>
        <w:rPr>
          <w:rStyle w:val="FootnoteReference"/>
        </w:rPr>
        <w:footnoteRef/>
      </w:r>
      <w:r>
        <w:t xml:space="preserve"> </w:t>
      </w:r>
      <w:r w:rsidRPr="002B14CA">
        <w:rPr>
          <w:i/>
        </w:rPr>
        <w:t>Id</w:t>
      </w:r>
      <w:r>
        <w:t>.</w:t>
      </w:r>
    </w:p>
  </w:footnote>
  <w:footnote w:id="13">
    <w:p w:rsidR="002C6741" w:rsidRPr="00540F21" w:rsidRDefault="002C6741" w:rsidP="002C6741">
      <w:pPr>
        <w:pStyle w:val="FootnoteText"/>
      </w:pPr>
      <w:r w:rsidRPr="00540F21">
        <w:rPr>
          <w:rStyle w:val="FootnoteReference"/>
        </w:rPr>
        <w:footnoteRef/>
      </w:r>
      <w:r w:rsidRPr="00540F21">
        <w:t xml:space="preserve"> 47 C.F.R. § 1.925(b)(3)(i).</w:t>
      </w:r>
    </w:p>
  </w:footnote>
  <w:footnote w:id="14">
    <w:p w:rsidR="002C6741" w:rsidRPr="0045496E" w:rsidRDefault="002C6741" w:rsidP="002C6741">
      <w:pPr>
        <w:pStyle w:val="FootnoteText"/>
      </w:pPr>
      <w:r w:rsidRPr="0045496E">
        <w:rPr>
          <w:rStyle w:val="FootnoteReference"/>
        </w:rPr>
        <w:footnoteRef/>
      </w:r>
      <w:r w:rsidRPr="0045496E">
        <w:t xml:space="preserve"> 47 C.F.R. § 1.925(b)(3)(ii).</w:t>
      </w:r>
    </w:p>
  </w:footnote>
  <w:footnote w:id="15">
    <w:p w:rsidR="002C6741" w:rsidRPr="0045496E" w:rsidRDefault="002C6741" w:rsidP="002C6741">
      <w:pPr>
        <w:pStyle w:val="FootnoteText"/>
      </w:pPr>
      <w:r w:rsidRPr="0045496E">
        <w:rPr>
          <w:rStyle w:val="FootnoteReference"/>
        </w:rPr>
        <w:footnoteRef/>
      </w:r>
      <w:r w:rsidRPr="0045496E">
        <w:t xml:space="preserve"> </w:t>
      </w:r>
      <w:r w:rsidRPr="0045496E">
        <w:rPr>
          <w:i/>
        </w:rPr>
        <w:t>WAIT Radio v. FCC</w:t>
      </w:r>
      <w:r w:rsidRPr="0045496E">
        <w:t xml:space="preserve">, 418 F.2d 1153, 1157 (D.C. Cir. 1969), </w:t>
      </w:r>
      <w:r w:rsidRPr="0045496E">
        <w:rPr>
          <w:i/>
        </w:rPr>
        <w:t>aff’d</w:t>
      </w:r>
      <w:r w:rsidRPr="0045496E">
        <w:t xml:space="preserve">, 459 F.2d 1203 (D.C. Cir. 1972), </w:t>
      </w:r>
      <w:r w:rsidRPr="0045496E">
        <w:rPr>
          <w:i/>
        </w:rPr>
        <w:t>cert. denied</w:t>
      </w:r>
      <w:r w:rsidRPr="0045496E">
        <w:t>, 409 U.S. 1027 (1972) (</w:t>
      </w:r>
      <w:r w:rsidRPr="0045496E">
        <w:rPr>
          <w:i/>
        </w:rPr>
        <w:t>citing Rio Grande Family Radio Fellowship, Inc. v. FCC</w:t>
      </w:r>
      <w:r w:rsidRPr="0045496E">
        <w:t xml:space="preserve">, 406 F.2d 664 (D.C. Cir. 1968)); Birach Broadcasting Corporation, </w:t>
      </w:r>
      <w:r w:rsidRPr="0045496E">
        <w:rPr>
          <w:i/>
        </w:rPr>
        <w:t xml:space="preserve">Memorandum Opinion and Order, </w:t>
      </w:r>
      <w:r w:rsidRPr="0045496E">
        <w:t>18 FCC Rcd 1414, 1415 ¶ 6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38" w:rsidRDefault="005D6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9B2816">
      <w:t>DA 16-251</w:t>
    </w:r>
  </w:p>
  <w:p w:rsidR="00D25FB5" w:rsidRDefault="0065688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1F6BE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56886"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572D8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9B2816">
      <w:rPr>
        <w:spacing w:val="-2"/>
      </w:rPr>
      <w:t>DA 16-251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350"/>
        </w:tabs>
        <w:ind w:left="27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8"/>
    <w:lvlOverride w:ilvl="0">
      <w:startOverride w:val="1"/>
    </w:lvlOverride>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8C"/>
    <w:rsid w:val="00010CF1"/>
    <w:rsid w:val="00023196"/>
    <w:rsid w:val="00031213"/>
    <w:rsid w:val="000328FA"/>
    <w:rsid w:val="00036039"/>
    <w:rsid w:val="00037F90"/>
    <w:rsid w:val="000875BF"/>
    <w:rsid w:val="00096D8C"/>
    <w:rsid w:val="000B2C2A"/>
    <w:rsid w:val="000C0B65"/>
    <w:rsid w:val="000E05FE"/>
    <w:rsid w:val="000E3D42"/>
    <w:rsid w:val="00116810"/>
    <w:rsid w:val="00122BD5"/>
    <w:rsid w:val="00133F79"/>
    <w:rsid w:val="00164A80"/>
    <w:rsid w:val="00194A66"/>
    <w:rsid w:val="001B1A29"/>
    <w:rsid w:val="001B1E63"/>
    <w:rsid w:val="001D6BCF"/>
    <w:rsid w:val="001D714C"/>
    <w:rsid w:val="001E01CA"/>
    <w:rsid w:val="001F20F2"/>
    <w:rsid w:val="00262540"/>
    <w:rsid w:val="00275CF5"/>
    <w:rsid w:val="0028301F"/>
    <w:rsid w:val="00285017"/>
    <w:rsid w:val="0029687D"/>
    <w:rsid w:val="002A2D2E"/>
    <w:rsid w:val="002B14CA"/>
    <w:rsid w:val="002C00E8"/>
    <w:rsid w:val="002C6741"/>
    <w:rsid w:val="002E4E31"/>
    <w:rsid w:val="00315C17"/>
    <w:rsid w:val="0032082D"/>
    <w:rsid w:val="00327B2B"/>
    <w:rsid w:val="00343749"/>
    <w:rsid w:val="003550F0"/>
    <w:rsid w:val="003660ED"/>
    <w:rsid w:val="0037240C"/>
    <w:rsid w:val="00390849"/>
    <w:rsid w:val="003B0550"/>
    <w:rsid w:val="003B5296"/>
    <w:rsid w:val="003B694F"/>
    <w:rsid w:val="003D0EF6"/>
    <w:rsid w:val="003F171C"/>
    <w:rsid w:val="00410FE4"/>
    <w:rsid w:val="00412FC5"/>
    <w:rsid w:val="00422276"/>
    <w:rsid w:val="004242F1"/>
    <w:rsid w:val="0042664C"/>
    <w:rsid w:val="00427924"/>
    <w:rsid w:val="00445A00"/>
    <w:rsid w:val="00451B0F"/>
    <w:rsid w:val="004A0F0C"/>
    <w:rsid w:val="004C2EE3"/>
    <w:rsid w:val="004C7679"/>
    <w:rsid w:val="004E4A22"/>
    <w:rsid w:val="00501D45"/>
    <w:rsid w:val="005113F8"/>
    <w:rsid w:val="00511968"/>
    <w:rsid w:val="0055614C"/>
    <w:rsid w:val="005D6938"/>
    <w:rsid w:val="005E14C2"/>
    <w:rsid w:val="005E7D8C"/>
    <w:rsid w:val="00607BA5"/>
    <w:rsid w:val="0061180A"/>
    <w:rsid w:val="00615AF1"/>
    <w:rsid w:val="00621342"/>
    <w:rsid w:val="00626EB6"/>
    <w:rsid w:val="0065480C"/>
    <w:rsid w:val="0065524B"/>
    <w:rsid w:val="00655D03"/>
    <w:rsid w:val="00656886"/>
    <w:rsid w:val="00677427"/>
    <w:rsid w:val="00683388"/>
    <w:rsid w:val="00683F84"/>
    <w:rsid w:val="0069204B"/>
    <w:rsid w:val="00693405"/>
    <w:rsid w:val="006A20CC"/>
    <w:rsid w:val="006A6A81"/>
    <w:rsid w:val="006F7393"/>
    <w:rsid w:val="0070224F"/>
    <w:rsid w:val="007115F7"/>
    <w:rsid w:val="00785689"/>
    <w:rsid w:val="00796342"/>
    <w:rsid w:val="0079754B"/>
    <w:rsid w:val="007A160F"/>
    <w:rsid w:val="007A1E6D"/>
    <w:rsid w:val="007B0EB2"/>
    <w:rsid w:val="007B2487"/>
    <w:rsid w:val="00810B6F"/>
    <w:rsid w:val="00822CE0"/>
    <w:rsid w:val="00824B23"/>
    <w:rsid w:val="0082523F"/>
    <w:rsid w:val="00841AB1"/>
    <w:rsid w:val="00850D6C"/>
    <w:rsid w:val="008915AF"/>
    <w:rsid w:val="008C68F1"/>
    <w:rsid w:val="00907370"/>
    <w:rsid w:val="0091133E"/>
    <w:rsid w:val="00921803"/>
    <w:rsid w:val="00926503"/>
    <w:rsid w:val="00934290"/>
    <w:rsid w:val="00963FC6"/>
    <w:rsid w:val="009726D8"/>
    <w:rsid w:val="009B2816"/>
    <w:rsid w:val="009B447C"/>
    <w:rsid w:val="009C488A"/>
    <w:rsid w:val="009E3B9A"/>
    <w:rsid w:val="009F76DB"/>
    <w:rsid w:val="00A231B3"/>
    <w:rsid w:val="00A32C3B"/>
    <w:rsid w:val="00A439D9"/>
    <w:rsid w:val="00A449A6"/>
    <w:rsid w:val="00A45F4F"/>
    <w:rsid w:val="00A600A9"/>
    <w:rsid w:val="00AA55B7"/>
    <w:rsid w:val="00AA5B9E"/>
    <w:rsid w:val="00AB2407"/>
    <w:rsid w:val="00AB3F68"/>
    <w:rsid w:val="00AB53DF"/>
    <w:rsid w:val="00AC3144"/>
    <w:rsid w:val="00AC6B83"/>
    <w:rsid w:val="00AD3FDC"/>
    <w:rsid w:val="00AD799C"/>
    <w:rsid w:val="00B07E5C"/>
    <w:rsid w:val="00B51539"/>
    <w:rsid w:val="00B74DD5"/>
    <w:rsid w:val="00B811F7"/>
    <w:rsid w:val="00B87955"/>
    <w:rsid w:val="00BA5DC6"/>
    <w:rsid w:val="00BA6196"/>
    <w:rsid w:val="00BB39CA"/>
    <w:rsid w:val="00BC1E5E"/>
    <w:rsid w:val="00BC6D8C"/>
    <w:rsid w:val="00BD04CD"/>
    <w:rsid w:val="00BE79FB"/>
    <w:rsid w:val="00C00004"/>
    <w:rsid w:val="00C16660"/>
    <w:rsid w:val="00C2323D"/>
    <w:rsid w:val="00C27F0B"/>
    <w:rsid w:val="00C34006"/>
    <w:rsid w:val="00C426B1"/>
    <w:rsid w:val="00C66160"/>
    <w:rsid w:val="00C721AC"/>
    <w:rsid w:val="00C90D6A"/>
    <w:rsid w:val="00CA247E"/>
    <w:rsid w:val="00CA516E"/>
    <w:rsid w:val="00CC72B6"/>
    <w:rsid w:val="00CF4F33"/>
    <w:rsid w:val="00D0218D"/>
    <w:rsid w:val="00D061C2"/>
    <w:rsid w:val="00D25FB5"/>
    <w:rsid w:val="00D408D5"/>
    <w:rsid w:val="00D4403E"/>
    <w:rsid w:val="00D44223"/>
    <w:rsid w:val="00D57362"/>
    <w:rsid w:val="00D6452D"/>
    <w:rsid w:val="00D82AE8"/>
    <w:rsid w:val="00DA2529"/>
    <w:rsid w:val="00DB130A"/>
    <w:rsid w:val="00DB2EBB"/>
    <w:rsid w:val="00DC10A1"/>
    <w:rsid w:val="00DC655F"/>
    <w:rsid w:val="00DD0B59"/>
    <w:rsid w:val="00DD7EBD"/>
    <w:rsid w:val="00DE256D"/>
    <w:rsid w:val="00DE6069"/>
    <w:rsid w:val="00DF62B6"/>
    <w:rsid w:val="00E07225"/>
    <w:rsid w:val="00E26DB9"/>
    <w:rsid w:val="00E3133F"/>
    <w:rsid w:val="00E45681"/>
    <w:rsid w:val="00E5409F"/>
    <w:rsid w:val="00E71FCA"/>
    <w:rsid w:val="00EC0EFC"/>
    <w:rsid w:val="00EE6488"/>
    <w:rsid w:val="00EF0BC4"/>
    <w:rsid w:val="00F021FA"/>
    <w:rsid w:val="00F33A7B"/>
    <w:rsid w:val="00F62E97"/>
    <w:rsid w:val="00F64209"/>
    <w:rsid w:val="00F93BF5"/>
    <w:rsid w:val="00FA0169"/>
    <w:rsid w:val="00FA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1,Footnote Text Char3 Char Char,Footnote Text Char Char1 Char Char,Footnote Text Char2 Char Char1 Char Char,Footnote Text Char1 Char Char Char1 Char Char,Footnote Text Char Char1 Char,fn,f,FOOTNOT"/>
    <w:link w:val="FootnoteTextChar"/>
    <w:rsid w:val="000E3D42"/>
    <w:pPr>
      <w:spacing w:after="120"/>
    </w:pPr>
  </w:style>
  <w:style w:type="character" w:styleId="FootnoteReference">
    <w:name w:val="footnote reference"/>
    <w:aliases w:val="Appel note de bas de p,Style 12,(NECG) Footnote Reference,Style 124,Style 13,o,fr,Style 3,Style 17,FR,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031213"/>
    <w:rPr>
      <w:rFonts w:ascii="Segoe UI" w:hAnsi="Segoe UI" w:cs="Segoe UI"/>
      <w:sz w:val="18"/>
      <w:szCs w:val="18"/>
    </w:rPr>
  </w:style>
  <w:style w:type="character" w:customStyle="1" w:styleId="BalloonTextChar">
    <w:name w:val="Balloon Text Char"/>
    <w:link w:val="BalloonText"/>
    <w:rsid w:val="00031213"/>
    <w:rPr>
      <w:rFonts w:ascii="Segoe UI" w:hAnsi="Segoe UI" w:cs="Segoe UI"/>
      <w:snapToGrid w:val="0"/>
      <w:kern w:val="28"/>
      <w:sz w:val="18"/>
      <w:szCs w:val="18"/>
    </w:rPr>
  </w:style>
  <w:style w:type="character" w:customStyle="1" w:styleId="FootnoteTextChar">
    <w:name w:val="Footnote Text Char"/>
    <w:aliases w:val="Footnote Text Char2 Char,Footnote Text Char Char1 Char1,Footnote Text Char3 Char Char Char,Footnote Text Char Char1 Char Char Char,Footnote Text Char2 Char Char1 Char Char Char,Footnote Text Char1 Char Char Char1 Char Char Char,f Char"/>
    <w:link w:val="FootnoteText"/>
    <w:locked/>
    <w:rsid w:val="00621342"/>
  </w:style>
  <w:style w:type="character" w:customStyle="1" w:styleId="ParaNumChar">
    <w:name w:val="ParaNum Char"/>
    <w:link w:val="ParaNum"/>
    <w:locked/>
    <w:rsid w:val="00621342"/>
    <w:rPr>
      <w:snapToGrid w:val="0"/>
      <w:kern w:val="28"/>
      <w:sz w:val="22"/>
    </w:rPr>
  </w:style>
  <w:style w:type="character" w:customStyle="1" w:styleId="documentbody1">
    <w:name w:val="documentbody1"/>
    <w:rsid w:val="00621342"/>
    <w:rPr>
      <w:rFonts w:ascii="Verdana" w:hAnsi="Verdana" w:hint="default"/>
      <w:sz w:val="19"/>
      <w:szCs w:val="19"/>
      <w:shd w:val="clear" w:color="auto" w:fill="FFFFFF"/>
    </w:rPr>
  </w:style>
  <w:style w:type="character" w:customStyle="1" w:styleId="FootnoteTextChar1Char">
    <w:name w:val="Footnote Text Char1 Char"/>
    <w:aliases w:val="Footnote Text Char Char Char,Footnote Text Char5 Char Char Char,Footnote Text Char Char Char Char Char,Footnote Text Char4 Char Char1 Char Char Char,Footnote Text Char2 Char Char2 Char2 Char Char Char"/>
    <w:rsid w:val="002C6741"/>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1,Footnote Text Char3 Char Char,Footnote Text Char Char1 Char Char,Footnote Text Char2 Char Char1 Char Char,Footnote Text Char1 Char Char Char1 Char Char,Footnote Text Char Char1 Char,fn,f,FOOTNOT"/>
    <w:link w:val="FootnoteTextChar"/>
    <w:rsid w:val="000E3D42"/>
    <w:pPr>
      <w:spacing w:after="120"/>
    </w:pPr>
  </w:style>
  <w:style w:type="character" w:styleId="FootnoteReference">
    <w:name w:val="footnote reference"/>
    <w:aliases w:val="Appel note de bas de p,Style 12,(NECG) Footnote Reference,Style 124,Style 13,o,fr,Style 3,Style 17,FR,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031213"/>
    <w:rPr>
      <w:rFonts w:ascii="Segoe UI" w:hAnsi="Segoe UI" w:cs="Segoe UI"/>
      <w:sz w:val="18"/>
      <w:szCs w:val="18"/>
    </w:rPr>
  </w:style>
  <w:style w:type="character" w:customStyle="1" w:styleId="BalloonTextChar">
    <w:name w:val="Balloon Text Char"/>
    <w:link w:val="BalloonText"/>
    <w:rsid w:val="00031213"/>
    <w:rPr>
      <w:rFonts w:ascii="Segoe UI" w:hAnsi="Segoe UI" w:cs="Segoe UI"/>
      <w:snapToGrid w:val="0"/>
      <w:kern w:val="28"/>
      <w:sz w:val="18"/>
      <w:szCs w:val="18"/>
    </w:rPr>
  </w:style>
  <w:style w:type="character" w:customStyle="1" w:styleId="FootnoteTextChar">
    <w:name w:val="Footnote Text Char"/>
    <w:aliases w:val="Footnote Text Char2 Char,Footnote Text Char Char1 Char1,Footnote Text Char3 Char Char Char,Footnote Text Char Char1 Char Char Char,Footnote Text Char2 Char Char1 Char Char Char,Footnote Text Char1 Char Char Char1 Char Char Char,f Char"/>
    <w:link w:val="FootnoteText"/>
    <w:locked/>
    <w:rsid w:val="00621342"/>
  </w:style>
  <w:style w:type="character" w:customStyle="1" w:styleId="ParaNumChar">
    <w:name w:val="ParaNum Char"/>
    <w:link w:val="ParaNum"/>
    <w:locked/>
    <w:rsid w:val="00621342"/>
    <w:rPr>
      <w:snapToGrid w:val="0"/>
      <w:kern w:val="28"/>
      <w:sz w:val="22"/>
    </w:rPr>
  </w:style>
  <w:style w:type="character" w:customStyle="1" w:styleId="documentbody1">
    <w:name w:val="documentbody1"/>
    <w:rsid w:val="00621342"/>
    <w:rPr>
      <w:rFonts w:ascii="Verdana" w:hAnsi="Verdana" w:hint="default"/>
      <w:sz w:val="19"/>
      <w:szCs w:val="19"/>
      <w:shd w:val="clear" w:color="auto" w:fill="FFFFFF"/>
    </w:rPr>
  </w:style>
  <w:style w:type="character" w:customStyle="1" w:styleId="FootnoteTextChar1Char">
    <w:name w:val="Footnote Text Char1 Char"/>
    <w:aliases w:val="Footnote Text Char Char Char,Footnote Text Char5 Char Char Char,Footnote Text Char Char Char Char Char,Footnote Text Char4 Char Char1 Char Char Char,Footnote Text Char2 Char Char2 Char2 Char Char Char"/>
    <w:rsid w:val="002C6741"/>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ohn.evanoff\AppData\Local\Microsoft\Windows\Temporary%20Internet%20Files\Content.Outlook\O6PKIHW2\MOT%20request%20for%20clar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MOT request for clarification</Template>
  <TotalTime>0</TotalTime>
  <Pages>2</Pages>
  <Words>660</Words>
  <Characters>3699</Characters>
  <Application>Microsoft Office Word</Application>
  <DocSecurity>0</DocSecurity>
  <Lines>78</Lines>
  <Paragraphs>27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4365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2016-03-04T19:56:00Z</dcterms:created>
  <dcterms:modified xsi:type="dcterms:W3CDTF">2016-03-04T19:56:00Z</dcterms:modified>
  <cp:category> </cp:category>
  <cp:contentStatus> </cp:contentStatus>
</cp:coreProperties>
</file>