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77531363"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341E66">
        <w:rPr>
          <w:rFonts w:ascii="Times New Roman" w:hAnsi="Times New Roman"/>
          <w:b/>
          <w:sz w:val="22"/>
          <w:szCs w:val="22"/>
        </w:rPr>
        <w:t>256</w:t>
      </w:r>
    </w:p>
    <w:p w14:paraId="32F354EB" w14:textId="2A5E1297" w:rsidR="009D0E9A" w:rsidRPr="000C12B4" w:rsidRDefault="000838B7" w:rsidP="000C12B4">
      <w:pPr>
        <w:jc w:val="right"/>
        <w:rPr>
          <w:rFonts w:ascii="Times New Roman" w:hAnsi="Times New Roman"/>
          <w:b/>
          <w:sz w:val="22"/>
          <w:szCs w:val="22"/>
        </w:rPr>
      </w:pPr>
      <w:r>
        <w:rPr>
          <w:rFonts w:ascii="Times New Roman" w:hAnsi="Times New Roman"/>
          <w:b/>
          <w:sz w:val="22"/>
          <w:szCs w:val="22"/>
        </w:rPr>
        <w:lastRenderedPageBreak/>
        <w:t xml:space="preserve">March </w:t>
      </w:r>
      <w:r w:rsidR="00315305">
        <w:rPr>
          <w:rFonts w:ascii="Times New Roman" w:hAnsi="Times New Roman"/>
          <w:b/>
          <w:sz w:val="22"/>
          <w:szCs w:val="22"/>
        </w:rPr>
        <w:t>8</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A90E3E"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5AB15D81" w14:textId="77777777" w:rsidR="00C526A9" w:rsidRDefault="006818F1" w:rsidP="00C526A9">
      <w:pPr>
        <w:pStyle w:val="Heading3"/>
        <w:rPr>
          <w:sz w:val="22"/>
          <w:szCs w:val="22"/>
        </w:rPr>
      </w:pPr>
      <w:r>
        <w:rPr>
          <w:sz w:val="22"/>
          <w:szCs w:val="22"/>
        </w:rPr>
        <w:t xml:space="preserve">REGION </w:t>
      </w:r>
      <w:r w:rsidR="000838B7">
        <w:rPr>
          <w:sz w:val="22"/>
          <w:szCs w:val="22"/>
        </w:rPr>
        <w:t>6</w:t>
      </w:r>
      <w:r>
        <w:rPr>
          <w:sz w:val="22"/>
          <w:szCs w:val="22"/>
        </w:rPr>
        <w:t xml:space="preserve"> (</w:t>
      </w:r>
      <w:r w:rsidR="000838B7">
        <w:rPr>
          <w:sz w:val="22"/>
          <w:szCs w:val="22"/>
        </w:rPr>
        <w:t>NORTHERN CALIFORNIA</w:t>
      </w:r>
      <w:r w:rsidR="00C526A9">
        <w:rPr>
          <w:sz w:val="22"/>
          <w:szCs w:val="22"/>
        </w:rPr>
        <w:t>)</w:t>
      </w:r>
      <w:r>
        <w:rPr>
          <w:sz w:val="22"/>
          <w:szCs w:val="22"/>
        </w:rPr>
        <w:t xml:space="preserve"> TO </w:t>
      </w:r>
      <w:r w:rsidR="00C526A9">
        <w:rPr>
          <w:sz w:val="22"/>
          <w:szCs w:val="22"/>
        </w:rPr>
        <w:t xml:space="preserve">HOLD 700 MHZ AND 800 MHZ </w:t>
      </w:r>
    </w:p>
    <w:p w14:paraId="68E0FDE0" w14:textId="2C037D74" w:rsidR="006818F1" w:rsidRDefault="00C526A9" w:rsidP="00C526A9">
      <w:pPr>
        <w:pStyle w:val="Heading3"/>
        <w:rPr>
          <w:sz w:val="22"/>
          <w:szCs w:val="22"/>
        </w:rPr>
      </w:pPr>
      <w:r>
        <w:rPr>
          <w:sz w:val="22"/>
          <w:szCs w:val="22"/>
        </w:rPr>
        <w:t xml:space="preserve">REGIONAL PLANNING COMMITTEE </w:t>
      </w:r>
      <w:r w:rsidR="006818F1">
        <w:rPr>
          <w:sz w:val="22"/>
          <w:szCs w:val="22"/>
        </w:rPr>
        <w:t>MEETINGS</w:t>
      </w:r>
    </w:p>
    <w:p w14:paraId="1A785CC2" w14:textId="77777777" w:rsidR="006818F1" w:rsidRDefault="006818F1" w:rsidP="006818F1"/>
    <w:p w14:paraId="168B44E9" w14:textId="7F4C8BAA" w:rsidR="006818F1" w:rsidRDefault="006818F1" w:rsidP="006818F1">
      <w:pPr>
        <w:jc w:val="center"/>
        <w:rPr>
          <w:rFonts w:ascii="Times New Roman" w:hAnsi="Times New Roman"/>
          <w:b/>
          <w:sz w:val="22"/>
          <w:szCs w:val="22"/>
        </w:rPr>
      </w:pPr>
      <w:r>
        <w:rPr>
          <w:rFonts w:ascii="Times New Roman" w:hAnsi="Times New Roman"/>
          <w:b/>
          <w:sz w:val="22"/>
          <w:szCs w:val="22"/>
        </w:rPr>
        <w:t xml:space="preserve">PR Docket </w:t>
      </w:r>
      <w:r w:rsidR="00424DE5">
        <w:rPr>
          <w:rFonts w:ascii="Times New Roman" w:hAnsi="Times New Roman"/>
          <w:b/>
          <w:sz w:val="22"/>
          <w:szCs w:val="22"/>
        </w:rPr>
        <w:t>90-287</w:t>
      </w:r>
      <w:r>
        <w:rPr>
          <w:rFonts w:ascii="Times New Roman" w:hAnsi="Times New Roman"/>
          <w:b/>
          <w:sz w:val="22"/>
          <w:szCs w:val="22"/>
        </w:rPr>
        <w:t xml:space="preserve"> and WT Docket 02-378</w:t>
      </w:r>
    </w:p>
    <w:p w14:paraId="77DF6E97" w14:textId="77777777" w:rsidR="006818F1" w:rsidRDefault="006818F1" w:rsidP="006818F1">
      <w:pPr>
        <w:jc w:val="center"/>
        <w:rPr>
          <w:sz w:val="22"/>
          <w:szCs w:val="22"/>
        </w:rPr>
      </w:pPr>
    </w:p>
    <w:p w14:paraId="6C9DA7EB" w14:textId="04ADCF85" w:rsidR="000838B7" w:rsidRPr="000838B7" w:rsidRDefault="006818F1" w:rsidP="000838B7">
      <w:pPr>
        <w:tabs>
          <w:tab w:val="left" w:pos="720"/>
        </w:tabs>
        <w:rPr>
          <w:rFonts w:ascii="Times New Roman" w:hAnsi="Times New Roman"/>
          <w:color w:val="000000"/>
          <w:sz w:val="22"/>
          <w:szCs w:val="22"/>
        </w:rPr>
      </w:pPr>
      <w:r>
        <w:rPr>
          <w:rFonts w:ascii="Times New Roman" w:hAnsi="Times New Roman"/>
          <w:color w:val="000000"/>
          <w:sz w:val="22"/>
          <w:szCs w:val="22"/>
        </w:rPr>
        <w:tab/>
      </w:r>
      <w:r w:rsidR="000838B7" w:rsidRPr="000838B7">
        <w:rPr>
          <w:rFonts w:ascii="Times New Roman" w:hAnsi="Times New Roman"/>
          <w:color w:val="000000"/>
          <w:sz w:val="22"/>
          <w:szCs w:val="22"/>
        </w:rPr>
        <w:t>The Region 6 (Northern California)</w:t>
      </w:r>
      <w:r w:rsidR="000838B7" w:rsidRPr="000838B7">
        <w:rPr>
          <w:rFonts w:ascii="Times New Roman" w:hAnsi="Times New Roman"/>
          <w:color w:val="000000"/>
          <w:sz w:val="22"/>
          <w:szCs w:val="22"/>
          <w:vertAlign w:val="superscript"/>
        </w:rPr>
        <w:footnoteReference w:id="1"/>
      </w:r>
      <w:r w:rsidR="000838B7" w:rsidRPr="000838B7">
        <w:rPr>
          <w:rFonts w:ascii="Times New Roman" w:hAnsi="Times New Roman"/>
          <w:color w:val="000000"/>
          <w:sz w:val="22"/>
          <w:szCs w:val="22"/>
        </w:rPr>
        <w:t xml:space="preserve"> Regional Planning Committees (RPC’s) will hold two consecutive planning meetings on Tuesday, March 22, 201</w:t>
      </w:r>
      <w:r w:rsidR="00D54821">
        <w:rPr>
          <w:rFonts w:ascii="Times New Roman" w:hAnsi="Times New Roman"/>
          <w:color w:val="000000"/>
          <w:sz w:val="22"/>
          <w:szCs w:val="22"/>
        </w:rPr>
        <w:t>6</w:t>
      </w:r>
      <w:r w:rsidR="000838B7" w:rsidRPr="000838B7">
        <w:rPr>
          <w:rFonts w:ascii="Times New Roman" w:hAnsi="Times New Roman"/>
          <w:color w:val="000000"/>
          <w:sz w:val="22"/>
          <w:szCs w:val="22"/>
        </w:rPr>
        <w:t>. Beginning at 9:00 a.m.</w:t>
      </w:r>
      <w:r w:rsidR="00D54821">
        <w:rPr>
          <w:rFonts w:ascii="Times New Roman" w:hAnsi="Times New Roman"/>
          <w:color w:val="000000"/>
          <w:sz w:val="22"/>
          <w:szCs w:val="22"/>
        </w:rPr>
        <w:t>,</w:t>
      </w:r>
      <w:r w:rsidR="000838B7" w:rsidRPr="000838B7">
        <w:rPr>
          <w:rFonts w:ascii="Times New Roman" w:hAnsi="Times New Roman"/>
          <w:color w:val="000000"/>
          <w:sz w:val="22"/>
          <w:szCs w:val="22"/>
        </w:rPr>
        <w:t xml:space="preserve"> the 800 MHz RPC will convene at the California Highway Patrol Cordelia Commercial Vehicle Enforcement Facility at 3950 I-80 (east bound Interstate 80 east of Pittman Road) Fairfield, California</w:t>
      </w:r>
      <w:r w:rsidR="00D54821" w:rsidRPr="00D54821">
        <w:rPr>
          <w:rFonts w:ascii="Times New Roman" w:hAnsi="Times New Roman"/>
          <w:color w:val="000000"/>
          <w:sz w:val="22"/>
          <w:szCs w:val="22"/>
        </w:rPr>
        <w:t xml:space="preserve"> 94534</w:t>
      </w:r>
      <w:r w:rsidR="00D54821">
        <w:rPr>
          <w:rFonts w:ascii="Times New Roman" w:hAnsi="Times New Roman"/>
          <w:color w:val="000000"/>
          <w:sz w:val="22"/>
          <w:szCs w:val="22"/>
        </w:rPr>
        <w:t>.</w:t>
      </w:r>
    </w:p>
    <w:p w14:paraId="773FD72E" w14:textId="77777777" w:rsidR="000838B7" w:rsidRPr="000838B7" w:rsidRDefault="000838B7" w:rsidP="000838B7">
      <w:pPr>
        <w:tabs>
          <w:tab w:val="left" w:pos="720"/>
        </w:tabs>
        <w:rPr>
          <w:rFonts w:ascii="Times New Roman" w:hAnsi="Times New Roman"/>
          <w:color w:val="000000"/>
          <w:sz w:val="22"/>
          <w:szCs w:val="22"/>
        </w:rPr>
      </w:pPr>
    </w:p>
    <w:p w14:paraId="672F06CE" w14:textId="769881F0" w:rsidR="000838B7" w:rsidRPr="000838B7" w:rsidRDefault="00D54821" w:rsidP="000838B7">
      <w:pPr>
        <w:tabs>
          <w:tab w:val="left" w:pos="720"/>
        </w:tabs>
        <w:rPr>
          <w:rFonts w:ascii="Times New Roman" w:hAnsi="Times New Roman"/>
          <w:color w:val="000000"/>
          <w:sz w:val="22"/>
          <w:szCs w:val="22"/>
        </w:rPr>
      </w:pPr>
      <w:r>
        <w:rPr>
          <w:rFonts w:ascii="Times New Roman" w:hAnsi="Times New Roman"/>
          <w:color w:val="000000"/>
          <w:sz w:val="22"/>
          <w:szCs w:val="22"/>
        </w:rPr>
        <w:tab/>
      </w:r>
      <w:r w:rsidR="000838B7" w:rsidRPr="000838B7">
        <w:rPr>
          <w:rFonts w:ascii="Times New Roman" w:hAnsi="Times New Roman"/>
          <w:color w:val="000000"/>
          <w:sz w:val="22"/>
          <w:szCs w:val="22"/>
        </w:rPr>
        <w:t>T</w:t>
      </w:r>
      <w:r w:rsidR="00C526A9">
        <w:rPr>
          <w:rFonts w:ascii="Times New Roman" w:hAnsi="Times New Roman"/>
          <w:color w:val="000000"/>
          <w:sz w:val="22"/>
          <w:szCs w:val="22"/>
        </w:rPr>
        <w:t>he agenda for the 800 MHz RPC</w:t>
      </w:r>
      <w:r w:rsidR="000838B7" w:rsidRPr="000838B7">
        <w:rPr>
          <w:rFonts w:ascii="Times New Roman" w:hAnsi="Times New Roman"/>
          <w:color w:val="000000"/>
          <w:sz w:val="22"/>
          <w:szCs w:val="22"/>
        </w:rPr>
        <w:t xml:space="preserve"> meeting includes:</w:t>
      </w:r>
    </w:p>
    <w:p w14:paraId="1224F9DC" w14:textId="77777777" w:rsidR="000838B7" w:rsidRPr="000838B7" w:rsidRDefault="000838B7" w:rsidP="000838B7">
      <w:pPr>
        <w:tabs>
          <w:tab w:val="left" w:pos="720"/>
        </w:tabs>
        <w:rPr>
          <w:rFonts w:ascii="Times New Roman" w:hAnsi="Times New Roman"/>
          <w:color w:val="000000"/>
          <w:sz w:val="22"/>
          <w:szCs w:val="22"/>
        </w:rPr>
      </w:pPr>
    </w:p>
    <w:p w14:paraId="2F922B6A" w14:textId="77777777" w:rsidR="000838B7" w:rsidRPr="000838B7" w:rsidRDefault="000838B7" w:rsidP="000838B7">
      <w:pPr>
        <w:numPr>
          <w:ilvl w:val="0"/>
          <w:numId w:val="7"/>
        </w:numPr>
        <w:tabs>
          <w:tab w:val="left" w:pos="720"/>
        </w:tabs>
        <w:rPr>
          <w:rFonts w:ascii="Times New Roman" w:hAnsi="Times New Roman"/>
          <w:color w:val="000000"/>
          <w:sz w:val="22"/>
          <w:szCs w:val="22"/>
        </w:rPr>
      </w:pPr>
      <w:r w:rsidRPr="000838B7">
        <w:rPr>
          <w:rFonts w:ascii="Times New Roman" w:hAnsi="Times New Roman"/>
          <w:color w:val="000000"/>
          <w:sz w:val="22"/>
          <w:szCs w:val="22"/>
        </w:rPr>
        <w:t>Call to order</w:t>
      </w:r>
    </w:p>
    <w:p w14:paraId="159847B8" w14:textId="77777777" w:rsidR="000838B7" w:rsidRPr="000838B7" w:rsidRDefault="000838B7" w:rsidP="000838B7">
      <w:pPr>
        <w:numPr>
          <w:ilvl w:val="0"/>
          <w:numId w:val="7"/>
        </w:numPr>
        <w:tabs>
          <w:tab w:val="left" w:pos="720"/>
        </w:tabs>
        <w:rPr>
          <w:rFonts w:ascii="Times New Roman" w:hAnsi="Times New Roman"/>
          <w:color w:val="000000"/>
          <w:sz w:val="22"/>
          <w:szCs w:val="22"/>
        </w:rPr>
      </w:pPr>
      <w:r w:rsidRPr="000838B7">
        <w:rPr>
          <w:rFonts w:ascii="Times New Roman" w:hAnsi="Times New Roman"/>
          <w:color w:val="000000"/>
          <w:sz w:val="22"/>
          <w:szCs w:val="22"/>
        </w:rPr>
        <w:t>Introductions</w:t>
      </w:r>
    </w:p>
    <w:p w14:paraId="0E0418E4" w14:textId="77777777" w:rsidR="000838B7" w:rsidRPr="000838B7" w:rsidRDefault="000838B7" w:rsidP="000838B7">
      <w:pPr>
        <w:numPr>
          <w:ilvl w:val="0"/>
          <w:numId w:val="7"/>
        </w:numPr>
        <w:tabs>
          <w:tab w:val="left" w:pos="720"/>
        </w:tabs>
        <w:rPr>
          <w:rFonts w:ascii="Times New Roman" w:hAnsi="Times New Roman"/>
          <w:color w:val="000000"/>
          <w:sz w:val="22"/>
          <w:szCs w:val="22"/>
        </w:rPr>
      </w:pPr>
      <w:r w:rsidRPr="000838B7">
        <w:rPr>
          <w:rFonts w:ascii="Times New Roman" w:hAnsi="Times New Roman"/>
          <w:color w:val="000000"/>
          <w:sz w:val="22"/>
          <w:szCs w:val="22"/>
        </w:rPr>
        <w:t>Approval of the agenda</w:t>
      </w:r>
    </w:p>
    <w:p w14:paraId="4E3B9B66" w14:textId="77777777" w:rsidR="000838B7" w:rsidRPr="000838B7" w:rsidRDefault="000838B7" w:rsidP="000838B7">
      <w:pPr>
        <w:numPr>
          <w:ilvl w:val="0"/>
          <w:numId w:val="7"/>
        </w:numPr>
        <w:tabs>
          <w:tab w:val="left" w:pos="720"/>
        </w:tabs>
        <w:rPr>
          <w:rFonts w:ascii="Times New Roman" w:hAnsi="Times New Roman"/>
          <w:color w:val="000000"/>
          <w:sz w:val="22"/>
          <w:szCs w:val="22"/>
        </w:rPr>
      </w:pPr>
      <w:r w:rsidRPr="000838B7">
        <w:rPr>
          <w:rFonts w:ascii="Times New Roman" w:hAnsi="Times New Roman"/>
          <w:color w:val="000000"/>
          <w:sz w:val="22"/>
          <w:szCs w:val="22"/>
        </w:rPr>
        <w:t>Election of Chair</w:t>
      </w:r>
    </w:p>
    <w:p w14:paraId="5FC57736" w14:textId="77777777" w:rsidR="000838B7" w:rsidRPr="000838B7" w:rsidRDefault="000838B7" w:rsidP="000838B7">
      <w:pPr>
        <w:numPr>
          <w:ilvl w:val="0"/>
          <w:numId w:val="7"/>
        </w:numPr>
        <w:tabs>
          <w:tab w:val="left" w:pos="720"/>
        </w:tabs>
        <w:rPr>
          <w:rFonts w:ascii="Times New Roman" w:hAnsi="Times New Roman"/>
          <w:color w:val="000000"/>
          <w:sz w:val="22"/>
          <w:szCs w:val="22"/>
        </w:rPr>
      </w:pPr>
      <w:r w:rsidRPr="000838B7">
        <w:rPr>
          <w:rFonts w:ascii="Times New Roman" w:hAnsi="Times New Roman"/>
          <w:color w:val="000000"/>
          <w:sz w:val="22"/>
          <w:szCs w:val="22"/>
        </w:rPr>
        <w:t>Structure of the Frequency Advisory Subcommittee, discipline specific representation or non-discipline specific (“At large”)</w:t>
      </w:r>
    </w:p>
    <w:p w14:paraId="357B46AF" w14:textId="77777777" w:rsidR="000838B7" w:rsidRPr="000838B7" w:rsidRDefault="000838B7" w:rsidP="000838B7">
      <w:pPr>
        <w:numPr>
          <w:ilvl w:val="0"/>
          <w:numId w:val="7"/>
        </w:numPr>
        <w:tabs>
          <w:tab w:val="left" w:pos="720"/>
        </w:tabs>
        <w:rPr>
          <w:rFonts w:ascii="Times New Roman" w:hAnsi="Times New Roman"/>
          <w:color w:val="000000"/>
          <w:sz w:val="22"/>
          <w:szCs w:val="22"/>
        </w:rPr>
      </w:pPr>
      <w:r w:rsidRPr="000838B7">
        <w:rPr>
          <w:rFonts w:ascii="Times New Roman" w:hAnsi="Times New Roman"/>
          <w:color w:val="000000"/>
          <w:sz w:val="22"/>
          <w:szCs w:val="22"/>
        </w:rPr>
        <w:t>Filling of open Frequency Advisory Subcommittee positions</w:t>
      </w:r>
    </w:p>
    <w:p w14:paraId="555368E9" w14:textId="77777777" w:rsidR="000838B7" w:rsidRPr="000838B7" w:rsidRDefault="000838B7" w:rsidP="000838B7">
      <w:pPr>
        <w:numPr>
          <w:ilvl w:val="0"/>
          <w:numId w:val="7"/>
        </w:numPr>
        <w:tabs>
          <w:tab w:val="left" w:pos="720"/>
        </w:tabs>
        <w:rPr>
          <w:rFonts w:ascii="Times New Roman" w:hAnsi="Times New Roman"/>
          <w:color w:val="000000"/>
          <w:sz w:val="22"/>
          <w:szCs w:val="22"/>
        </w:rPr>
      </w:pPr>
      <w:r w:rsidRPr="000838B7">
        <w:rPr>
          <w:rFonts w:ascii="Times New Roman" w:hAnsi="Times New Roman"/>
          <w:color w:val="000000"/>
          <w:sz w:val="22"/>
          <w:szCs w:val="22"/>
        </w:rPr>
        <w:t>Update Plan</w:t>
      </w:r>
    </w:p>
    <w:p w14:paraId="7BEC9B77" w14:textId="77777777" w:rsidR="000838B7" w:rsidRPr="000838B7" w:rsidRDefault="000838B7" w:rsidP="00D54821">
      <w:pPr>
        <w:numPr>
          <w:ilvl w:val="1"/>
          <w:numId w:val="7"/>
        </w:numPr>
        <w:ind w:left="1440"/>
        <w:rPr>
          <w:rFonts w:ascii="Times New Roman" w:hAnsi="Times New Roman"/>
          <w:color w:val="000000"/>
          <w:sz w:val="22"/>
          <w:szCs w:val="22"/>
        </w:rPr>
      </w:pPr>
      <w:r w:rsidRPr="000838B7">
        <w:rPr>
          <w:rFonts w:ascii="Times New Roman" w:hAnsi="Times New Roman"/>
          <w:color w:val="000000"/>
          <w:sz w:val="22"/>
          <w:szCs w:val="22"/>
        </w:rPr>
        <w:t xml:space="preserve">General updates and added bylaws </w:t>
      </w:r>
    </w:p>
    <w:p w14:paraId="3F1528DB" w14:textId="77777777" w:rsidR="000838B7" w:rsidRPr="000838B7" w:rsidRDefault="000838B7" w:rsidP="00D54821">
      <w:pPr>
        <w:numPr>
          <w:ilvl w:val="1"/>
          <w:numId w:val="7"/>
        </w:numPr>
        <w:ind w:left="1440"/>
        <w:rPr>
          <w:rFonts w:ascii="Times New Roman" w:hAnsi="Times New Roman"/>
          <w:color w:val="000000"/>
          <w:sz w:val="22"/>
          <w:szCs w:val="22"/>
        </w:rPr>
      </w:pPr>
      <w:r w:rsidRPr="000838B7">
        <w:rPr>
          <w:rFonts w:ascii="Times New Roman" w:hAnsi="Times New Roman"/>
          <w:color w:val="000000"/>
          <w:sz w:val="22"/>
          <w:szCs w:val="22"/>
        </w:rPr>
        <w:t>Remove Pre-Reband channel numbers and frequencies from Attachment E Table of Channels</w:t>
      </w:r>
    </w:p>
    <w:p w14:paraId="29CD2084" w14:textId="77777777" w:rsidR="000838B7" w:rsidRPr="000838B7" w:rsidRDefault="000838B7" w:rsidP="000838B7">
      <w:pPr>
        <w:numPr>
          <w:ilvl w:val="0"/>
          <w:numId w:val="7"/>
        </w:numPr>
        <w:tabs>
          <w:tab w:val="left" w:pos="720"/>
        </w:tabs>
        <w:rPr>
          <w:rFonts w:ascii="Times New Roman" w:hAnsi="Times New Roman"/>
          <w:color w:val="000000"/>
          <w:sz w:val="22"/>
          <w:szCs w:val="22"/>
        </w:rPr>
      </w:pPr>
      <w:r w:rsidRPr="000838B7">
        <w:rPr>
          <w:rFonts w:ascii="Times New Roman" w:hAnsi="Times New Roman"/>
          <w:color w:val="000000"/>
          <w:sz w:val="22"/>
          <w:szCs w:val="22"/>
        </w:rPr>
        <w:t>New business</w:t>
      </w:r>
    </w:p>
    <w:p w14:paraId="3D654251" w14:textId="77777777" w:rsidR="000838B7" w:rsidRPr="000838B7" w:rsidRDefault="000838B7" w:rsidP="000838B7">
      <w:pPr>
        <w:numPr>
          <w:ilvl w:val="0"/>
          <w:numId w:val="7"/>
        </w:numPr>
        <w:tabs>
          <w:tab w:val="left" w:pos="720"/>
        </w:tabs>
        <w:rPr>
          <w:rFonts w:ascii="Times New Roman" w:hAnsi="Times New Roman"/>
          <w:color w:val="000000"/>
          <w:sz w:val="22"/>
          <w:szCs w:val="22"/>
        </w:rPr>
      </w:pPr>
      <w:r w:rsidRPr="000838B7">
        <w:rPr>
          <w:rFonts w:ascii="Times New Roman" w:hAnsi="Times New Roman"/>
          <w:color w:val="000000"/>
          <w:sz w:val="22"/>
          <w:szCs w:val="22"/>
        </w:rPr>
        <w:t>Adjourn 800 MHz meeting</w:t>
      </w:r>
    </w:p>
    <w:p w14:paraId="70ADF983" w14:textId="77777777" w:rsidR="000838B7" w:rsidRPr="000838B7" w:rsidRDefault="000838B7" w:rsidP="000838B7">
      <w:pPr>
        <w:tabs>
          <w:tab w:val="left" w:pos="720"/>
        </w:tabs>
        <w:rPr>
          <w:rFonts w:ascii="Times New Roman" w:hAnsi="Times New Roman"/>
          <w:color w:val="000000"/>
          <w:sz w:val="22"/>
          <w:szCs w:val="22"/>
        </w:rPr>
      </w:pPr>
    </w:p>
    <w:p w14:paraId="5D49F97E" w14:textId="08CD9518" w:rsidR="000838B7" w:rsidRPr="000838B7" w:rsidRDefault="00D54821" w:rsidP="000838B7">
      <w:pPr>
        <w:tabs>
          <w:tab w:val="left" w:pos="720"/>
        </w:tabs>
        <w:rPr>
          <w:rFonts w:ascii="Times New Roman" w:hAnsi="Times New Roman"/>
          <w:color w:val="000000"/>
          <w:sz w:val="22"/>
          <w:szCs w:val="22"/>
        </w:rPr>
      </w:pPr>
      <w:r>
        <w:rPr>
          <w:rFonts w:ascii="Times New Roman" w:hAnsi="Times New Roman"/>
          <w:color w:val="000000"/>
          <w:sz w:val="22"/>
          <w:szCs w:val="22"/>
        </w:rPr>
        <w:tab/>
      </w:r>
      <w:r w:rsidR="000838B7" w:rsidRPr="000838B7">
        <w:rPr>
          <w:rFonts w:ascii="Times New Roman" w:hAnsi="Times New Roman"/>
          <w:color w:val="000000"/>
          <w:sz w:val="22"/>
          <w:szCs w:val="22"/>
        </w:rPr>
        <w:t>Immediately following the 800 MHz RPC meeting, the 700 MHz RPC meeting will convene at the same location.</w:t>
      </w:r>
    </w:p>
    <w:p w14:paraId="79F54DFB" w14:textId="77777777" w:rsidR="000838B7" w:rsidRPr="000838B7" w:rsidRDefault="000838B7" w:rsidP="000838B7">
      <w:pPr>
        <w:tabs>
          <w:tab w:val="left" w:pos="720"/>
        </w:tabs>
        <w:rPr>
          <w:rFonts w:ascii="Times New Roman" w:hAnsi="Times New Roman"/>
          <w:color w:val="000000"/>
          <w:sz w:val="22"/>
          <w:szCs w:val="22"/>
        </w:rPr>
      </w:pPr>
    </w:p>
    <w:p w14:paraId="52BD9603" w14:textId="51DD5E48" w:rsidR="000838B7" w:rsidRPr="000838B7" w:rsidRDefault="00D54821" w:rsidP="000838B7">
      <w:pPr>
        <w:tabs>
          <w:tab w:val="left" w:pos="720"/>
        </w:tabs>
        <w:rPr>
          <w:rFonts w:ascii="Times New Roman" w:hAnsi="Times New Roman"/>
          <w:color w:val="000000"/>
          <w:sz w:val="22"/>
          <w:szCs w:val="22"/>
        </w:rPr>
      </w:pPr>
      <w:r>
        <w:rPr>
          <w:rFonts w:ascii="Times New Roman" w:hAnsi="Times New Roman"/>
          <w:color w:val="000000"/>
          <w:sz w:val="22"/>
          <w:szCs w:val="22"/>
        </w:rPr>
        <w:tab/>
      </w:r>
      <w:r w:rsidR="000838B7" w:rsidRPr="000838B7">
        <w:rPr>
          <w:rFonts w:ascii="Times New Roman" w:hAnsi="Times New Roman"/>
          <w:color w:val="000000"/>
          <w:sz w:val="22"/>
          <w:szCs w:val="22"/>
        </w:rPr>
        <w:t>The agenda for the 700 MHz RPC meeting includes:</w:t>
      </w:r>
    </w:p>
    <w:p w14:paraId="4E30C66F" w14:textId="77777777" w:rsidR="000838B7" w:rsidRPr="000838B7" w:rsidRDefault="000838B7" w:rsidP="000838B7">
      <w:pPr>
        <w:tabs>
          <w:tab w:val="left" w:pos="720"/>
        </w:tabs>
        <w:rPr>
          <w:rFonts w:ascii="Times New Roman" w:hAnsi="Times New Roman"/>
          <w:color w:val="000000"/>
          <w:sz w:val="22"/>
          <w:szCs w:val="22"/>
        </w:rPr>
      </w:pPr>
    </w:p>
    <w:p w14:paraId="403965E5" w14:textId="77777777" w:rsidR="000838B7" w:rsidRPr="000838B7" w:rsidRDefault="000838B7" w:rsidP="000838B7">
      <w:pPr>
        <w:numPr>
          <w:ilvl w:val="0"/>
          <w:numId w:val="6"/>
        </w:numPr>
        <w:tabs>
          <w:tab w:val="left" w:pos="720"/>
        </w:tabs>
        <w:rPr>
          <w:rFonts w:ascii="Times New Roman" w:hAnsi="Times New Roman"/>
          <w:color w:val="000000"/>
          <w:sz w:val="22"/>
          <w:szCs w:val="22"/>
        </w:rPr>
      </w:pPr>
      <w:r w:rsidRPr="000838B7">
        <w:rPr>
          <w:rFonts w:ascii="Times New Roman" w:hAnsi="Times New Roman"/>
          <w:color w:val="000000"/>
          <w:sz w:val="22"/>
          <w:szCs w:val="22"/>
        </w:rPr>
        <w:t>Call to order</w:t>
      </w:r>
    </w:p>
    <w:p w14:paraId="7506C64C" w14:textId="77777777" w:rsidR="000838B7" w:rsidRPr="000838B7" w:rsidRDefault="000838B7" w:rsidP="000838B7">
      <w:pPr>
        <w:numPr>
          <w:ilvl w:val="0"/>
          <w:numId w:val="6"/>
        </w:numPr>
        <w:tabs>
          <w:tab w:val="left" w:pos="720"/>
        </w:tabs>
        <w:rPr>
          <w:rFonts w:ascii="Times New Roman" w:hAnsi="Times New Roman"/>
          <w:color w:val="000000"/>
          <w:sz w:val="22"/>
          <w:szCs w:val="22"/>
        </w:rPr>
      </w:pPr>
      <w:r w:rsidRPr="000838B7">
        <w:rPr>
          <w:rFonts w:ascii="Times New Roman" w:hAnsi="Times New Roman"/>
          <w:color w:val="000000"/>
          <w:sz w:val="22"/>
          <w:szCs w:val="22"/>
        </w:rPr>
        <w:t>Introductions</w:t>
      </w:r>
    </w:p>
    <w:p w14:paraId="1FF25616" w14:textId="77777777" w:rsidR="000838B7" w:rsidRPr="000838B7" w:rsidRDefault="000838B7" w:rsidP="000838B7">
      <w:pPr>
        <w:numPr>
          <w:ilvl w:val="0"/>
          <w:numId w:val="6"/>
        </w:numPr>
        <w:tabs>
          <w:tab w:val="left" w:pos="720"/>
        </w:tabs>
        <w:rPr>
          <w:rFonts w:ascii="Times New Roman" w:hAnsi="Times New Roman"/>
          <w:color w:val="000000"/>
          <w:sz w:val="22"/>
          <w:szCs w:val="22"/>
        </w:rPr>
      </w:pPr>
      <w:r w:rsidRPr="000838B7">
        <w:rPr>
          <w:rFonts w:ascii="Times New Roman" w:hAnsi="Times New Roman"/>
          <w:color w:val="000000"/>
          <w:sz w:val="22"/>
          <w:szCs w:val="22"/>
        </w:rPr>
        <w:t>Approval of the agenda</w:t>
      </w:r>
    </w:p>
    <w:p w14:paraId="2EDD42DD" w14:textId="77777777" w:rsidR="000838B7" w:rsidRPr="000838B7" w:rsidRDefault="000838B7" w:rsidP="000838B7">
      <w:pPr>
        <w:numPr>
          <w:ilvl w:val="0"/>
          <w:numId w:val="6"/>
        </w:numPr>
        <w:tabs>
          <w:tab w:val="left" w:pos="720"/>
        </w:tabs>
        <w:rPr>
          <w:rFonts w:ascii="Times New Roman" w:hAnsi="Times New Roman"/>
          <w:color w:val="000000"/>
          <w:sz w:val="22"/>
          <w:szCs w:val="22"/>
        </w:rPr>
      </w:pPr>
      <w:r w:rsidRPr="000838B7">
        <w:rPr>
          <w:rFonts w:ascii="Times New Roman" w:hAnsi="Times New Roman"/>
          <w:color w:val="000000"/>
          <w:sz w:val="22"/>
          <w:szCs w:val="22"/>
        </w:rPr>
        <w:t>Review of applications</w:t>
      </w:r>
    </w:p>
    <w:p w14:paraId="795AECF3" w14:textId="77777777" w:rsidR="000838B7" w:rsidRPr="000838B7" w:rsidRDefault="000838B7" w:rsidP="00D54821">
      <w:pPr>
        <w:numPr>
          <w:ilvl w:val="1"/>
          <w:numId w:val="6"/>
        </w:numPr>
        <w:ind w:left="1440"/>
        <w:rPr>
          <w:rFonts w:ascii="Times New Roman" w:hAnsi="Times New Roman"/>
          <w:color w:val="000000"/>
          <w:sz w:val="22"/>
          <w:szCs w:val="22"/>
        </w:rPr>
      </w:pPr>
      <w:r w:rsidRPr="000838B7">
        <w:rPr>
          <w:rFonts w:ascii="Times New Roman" w:hAnsi="Times New Roman"/>
          <w:color w:val="000000"/>
          <w:sz w:val="22"/>
          <w:szCs w:val="22"/>
        </w:rPr>
        <w:lastRenderedPageBreak/>
        <w:t xml:space="preserve">County of Monterey – new license simulcast trunked system </w:t>
      </w:r>
    </w:p>
    <w:p w14:paraId="30413039" w14:textId="77777777" w:rsidR="000838B7" w:rsidRPr="000838B7" w:rsidRDefault="000838B7" w:rsidP="000838B7">
      <w:pPr>
        <w:numPr>
          <w:ilvl w:val="0"/>
          <w:numId w:val="6"/>
        </w:numPr>
        <w:tabs>
          <w:tab w:val="left" w:pos="720"/>
        </w:tabs>
        <w:rPr>
          <w:rFonts w:ascii="Times New Roman" w:hAnsi="Times New Roman"/>
          <w:color w:val="000000"/>
          <w:sz w:val="22"/>
          <w:szCs w:val="22"/>
        </w:rPr>
      </w:pPr>
      <w:r w:rsidRPr="000838B7">
        <w:rPr>
          <w:rFonts w:ascii="Times New Roman" w:hAnsi="Times New Roman"/>
          <w:color w:val="000000"/>
          <w:sz w:val="22"/>
          <w:szCs w:val="22"/>
        </w:rPr>
        <w:t>Election of Chair</w:t>
      </w:r>
    </w:p>
    <w:p w14:paraId="4FE3BD9E" w14:textId="77777777" w:rsidR="000838B7" w:rsidRPr="000838B7" w:rsidRDefault="000838B7" w:rsidP="000838B7">
      <w:pPr>
        <w:numPr>
          <w:ilvl w:val="0"/>
          <w:numId w:val="6"/>
        </w:numPr>
        <w:tabs>
          <w:tab w:val="left" w:pos="720"/>
        </w:tabs>
        <w:rPr>
          <w:rFonts w:ascii="Times New Roman" w:hAnsi="Times New Roman"/>
          <w:color w:val="000000"/>
          <w:sz w:val="22"/>
          <w:szCs w:val="22"/>
        </w:rPr>
      </w:pPr>
      <w:r w:rsidRPr="000838B7">
        <w:rPr>
          <w:rFonts w:ascii="Times New Roman" w:hAnsi="Times New Roman"/>
          <w:color w:val="000000"/>
          <w:sz w:val="22"/>
          <w:szCs w:val="22"/>
        </w:rPr>
        <w:t>Structure of the Frequency Advisory Subcommittee, discipline specific representation or non-discipline specific (“At large”)</w:t>
      </w:r>
    </w:p>
    <w:p w14:paraId="6EEE381A" w14:textId="77777777" w:rsidR="000838B7" w:rsidRPr="000838B7" w:rsidRDefault="000838B7" w:rsidP="000838B7">
      <w:pPr>
        <w:numPr>
          <w:ilvl w:val="0"/>
          <w:numId w:val="6"/>
        </w:numPr>
        <w:tabs>
          <w:tab w:val="left" w:pos="720"/>
        </w:tabs>
        <w:rPr>
          <w:rFonts w:ascii="Times New Roman" w:hAnsi="Times New Roman"/>
          <w:color w:val="000000"/>
          <w:sz w:val="22"/>
          <w:szCs w:val="22"/>
        </w:rPr>
      </w:pPr>
      <w:r w:rsidRPr="000838B7">
        <w:rPr>
          <w:rFonts w:ascii="Times New Roman" w:hAnsi="Times New Roman"/>
          <w:color w:val="000000"/>
          <w:sz w:val="22"/>
          <w:szCs w:val="22"/>
        </w:rPr>
        <w:t>Filling of open Frequency Advisory Subcommittee positions</w:t>
      </w:r>
    </w:p>
    <w:p w14:paraId="43EB3841" w14:textId="77777777" w:rsidR="000838B7" w:rsidRPr="000838B7" w:rsidRDefault="000838B7" w:rsidP="000838B7">
      <w:pPr>
        <w:numPr>
          <w:ilvl w:val="0"/>
          <w:numId w:val="6"/>
        </w:numPr>
        <w:tabs>
          <w:tab w:val="left" w:pos="720"/>
        </w:tabs>
        <w:rPr>
          <w:rFonts w:ascii="Times New Roman" w:hAnsi="Times New Roman"/>
          <w:color w:val="000000"/>
          <w:sz w:val="22"/>
          <w:szCs w:val="22"/>
        </w:rPr>
      </w:pPr>
      <w:r w:rsidRPr="000838B7">
        <w:rPr>
          <w:rFonts w:ascii="Times New Roman" w:hAnsi="Times New Roman"/>
          <w:color w:val="000000"/>
          <w:sz w:val="22"/>
          <w:szCs w:val="22"/>
        </w:rPr>
        <w:t>Plan Amendment Status</w:t>
      </w:r>
    </w:p>
    <w:p w14:paraId="31D9E45D" w14:textId="77777777" w:rsidR="000838B7" w:rsidRPr="000838B7" w:rsidRDefault="000838B7" w:rsidP="000838B7">
      <w:pPr>
        <w:numPr>
          <w:ilvl w:val="0"/>
          <w:numId w:val="6"/>
        </w:numPr>
        <w:tabs>
          <w:tab w:val="left" w:pos="720"/>
        </w:tabs>
        <w:rPr>
          <w:rFonts w:ascii="Times New Roman" w:hAnsi="Times New Roman"/>
          <w:color w:val="000000"/>
          <w:sz w:val="22"/>
          <w:szCs w:val="22"/>
        </w:rPr>
      </w:pPr>
      <w:r w:rsidRPr="000838B7">
        <w:rPr>
          <w:rFonts w:ascii="Times New Roman" w:hAnsi="Times New Roman"/>
          <w:color w:val="000000"/>
          <w:sz w:val="22"/>
          <w:szCs w:val="22"/>
        </w:rPr>
        <w:t>Plan Amendment</w:t>
      </w:r>
    </w:p>
    <w:p w14:paraId="0F1A99F5" w14:textId="77777777" w:rsidR="000838B7" w:rsidRPr="000838B7" w:rsidRDefault="000838B7" w:rsidP="00D54821">
      <w:pPr>
        <w:numPr>
          <w:ilvl w:val="1"/>
          <w:numId w:val="6"/>
        </w:numPr>
        <w:ind w:left="1440"/>
        <w:rPr>
          <w:rFonts w:ascii="Times New Roman" w:hAnsi="Times New Roman"/>
          <w:color w:val="000000"/>
          <w:sz w:val="22"/>
          <w:szCs w:val="22"/>
        </w:rPr>
      </w:pPr>
      <w:r w:rsidRPr="000838B7">
        <w:rPr>
          <w:rFonts w:ascii="Times New Roman" w:hAnsi="Times New Roman"/>
          <w:color w:val="000000"/>
          <w:sz w:val="22"/>
          <w:szCs w:val="22"/>
        </w:rPr>
        <w:t>Revise bylaws to conform with Region 6 800 MHz Plan</w:t>
      </w:r>
    </w:p>
    <w:p w14:paraId="0A90FB23" w14:textId="77777777" w:rsidR="000838B7" w:rsidRPr="000838B7" w:rsidRDefault="000838B7" w:rsidP="00D54821">
      <w:pPr>
        <w:numPr>
          <w:ilvl w:val="1"/>
          <w:numId w:val="6"/>
        </w:numPr>
        <w:ind w:left="1440"/>
        <w:rPr>
          <w:rFonts w:ascii="Times New Roman" w:hAnsi="Times New Roman"/>
          <w:color w:val="000000"/>
          <w:sz w:val="22"/>
          <w:szCs w:val="22"/>
        </w:rPr>
      </w:pPr>
      <w:r w:rsidRPr="000838B7">
        <w:rPr>
          <w:rFonts w:ascii="Times New Roman" w:hAnsi="Times New Roman"/>
          <w:color w:val="000000"/>
          <w:sz w:val="22"/>
          <w:szCs w:val="22"/>
        </w:rPr>
        <w:t>Naming of low power channels and removing discipline specific assignments for those channels</w:t>
      </w:r>
    </w:p>
    <w:p w14:paraId="76FF2ADA" w14:textId="77777777" w:rsidR="000838B7" w:rsidRPr="000838B7" w:rsidRDefault="000838B7" w:rsidP="000838B7">
      <w:pPr>
        <w:numPr>
          <w:ilvl w:val="0"/>
          <w:numId w:val="6"/>
        </w:numPr>
        <w:tabs>
          <w:tab w:val="left" w:pos="720"/>
        </w:tabs>
        <w:rPr>
          <w:rFonts w:ascii="Times New Roman" w:hAnsi="Times New Roman"/>
          <w:color w:val="000000"/>
          <w:sz w:val="22"/>
          <w:szCs w:val="22"/>
        </w:rPr>
      </w:pPr>
      <w:r w:rsidRPr="000838B7">
        <w:rPr>
          <w:rFonts w:ascii="Times New Roman" w:hAnsi="Times New Roman"/>
          <w:color w:val="000000"/>
          <w:sz w:val="22"/>
          <w:szCs w:val="22"/>
        </w:rPr>
        <w:t>New business</w:t>
      </w:r>
    </w:p>
    <w:p w14:paraId="361BF5CA" w14:textId="77777777" w:rsidR="000838B7" w:rsidRPr="000838B7" w:rsidRDefault="000838B7" w:rsidP="000838B7">
      <w:pPr>
        <w:numPr>
          <w:ilvl w:val="0"/>
          <w:numId w:val="6"/>
        </w:numPr>
        <w:tabs>
          <w:tab w:val="left" w:pos="720"/>
        </w:tabs>
        <w:rPr>
          <w:rFonts w:ascii="Times New Roman" w:hAnsi="Times New Roman"/>
          <w:color w:val="000000"/>
          <w:sz w:val="22"/>
          <w:szCs w:val="22"/>
        </w:rPr>
      </w:pPr>
      <w:r w:rsidRPr="000838B7">
        <w:rPr>
          <w:rFonts w:ascii="Times New Roman" w:hAnsi="Times New Roman"/>
          <w:color w:val="000000"/>
          <w:sz w:val="22"/>
          <w:szCs w:val="22"/>
        </w:rPr>
        <w:t>Adjourn 700 MHz meeting</w:t>
      </w:r>
    </w:p>
    <w:p w14:paraId="4BF17396" w14:textId="77777777" w:rsidR="000838B7" w:rsidRPr="000838B7" w:rsidRDefault="000838B7" w:rsidP="000838B7">
      <w:pPr>
        <w:tabs>
          <w:tab w:val="left" w:pos="720"/>
        </w:tabs>
        <w:rPr>
          <w:rFonts w:ascii="Times New Roman" w:hAnsi="Times New Roman"/>
          <w:color w:val="000000"/>
          <w:sz w:val="22"/>
          <w:szCs w:val="22"/>
        </w:rPr>
      </w:pPr>
    </w:p>
    <w:p w14:paraId="08EC0F32" w14:textId="74D60965" w:rsidR="000838B7" w:rsidRPr="000838B7" w:rsidRDefault="00D54821" w:rsidP="000838B7">
      <w:pPr>
        <w:tabs>
          <w:tab w:val="left" w:pos="720"/>
        </w:tabs>
        <w:rPr>
          <w:rFonts w:ascii="Times New Roman" w:hAnsi="Times New Roman"/>
          <w:color w:val="000000"/>
          <w:sz w:val="22"/>
          <w:szCs w:val="22"/>
        </w:rPr>
      </w:pPr>
      <w:r>
        <w:rPr>
          <w:rFonts w:ascii="Times New Roman" w:hAnsi="Times New Roman"/>
          <w:color w:val="000000"/>
          <w:sz w:val="22"/>
          <w:szCs w:val="22"/>
        </w:rPr>
        <w:tab/>
      </w:r>
      <w:r w:rsidR="000838B7" w:rsidRPr="000838B7">
        <w:rPr>
          <w:rFonts w:ascii="Times New Roman" w:hAnsi="Times New Roman"/>
          <w:color w:val="000000"/>
          <w:sz w:val="22"/>
          <w:szCs w:val="22"/>
        </w:rPr>
        <w:t>Both Region 6 RPC meetings are open to the public.  All public safety providers in Region 6 may utilize these frequencies.  It is essential that public safety agencies in all areas of government, including state, municipality, county, and Native American Tribal, be represented in order to ensure that each agency’s future spectrum needs are considered in the allotment process.  Administrators who are not oriented in the communications field should delegate someone with this knowledge to attend, participate, and represent their agency’s needs.</w:t>
      </w:r>
    </w:p>
    <w:p w14:paraId="630FB280" w14:textId="77777777" w:rsidR="000838B7" w:rsidRPr="000838B7" w:rsidRDefault="000838B7" w:rsidP="000838B7">
      <w:pPr>
        <w:tabs>
          <w:tab w:val="left" w:pos="720"/>
        </w:tabs>
        <w:rPr>
          <w:rFonts w:ascii="Times New Roman" w:hAnsi="Times New Roman"/>
          <w:color w:val="000000"/>
          <w:sz w:val="22"/>
          <w:szCs w:val="22"/>
        </w:rPr>
      </w:pPr>
    </w:p>
    <w:p w14:paraId="6C3FC153" w14:textId="5233577C" w:rsidR="000838B7" w:rsidRPr="000838B7" w:rsidRDefault="00D54821" w:rsidP="000838B7">
      <w:pPr>
        <w:tabs>
          <w:tab w:val="left" w:pos="720"/>
        </w:tabs>
        <w:rPr>
          <w:rFonts w:ascii="Times New Roman" w:hAnsi="Times New Roman"/>
          <w:color w:val="000000"/>
          <w:sz w:val="22"/>
          <w:szCs w:val="22"/>
        </w:rPr>
      </w:pPr>
      <w:r>
        <w:rPr>
          <w:rFonts w:ascii="Times New Roman" w:hAnsi="Times New Roman"/>
          <w:color w:val="000000"/>
          <w:sz w:val="22"/>
          <w:szCs w:val="22"/>
        </w:rPr>
        <w:tab/>
      </w:r>
      <w:r w:rsidR="000838B7" w:rsidRPr="000838B7">
        <w:rPr>
          <w:rFonts w:ascii="Times New Roman" w:hAnsi="Times New Roman"/>
          <w:color w:val="000000"/>
          <w:sz w:val="22"/>
          <w:szCs w:val="22"/>
        </w:rPr>
        <w:t>All interested parties wishing to participate in planning for the use of public safety spectrum in the 700 MHz and 800 MHz bands within Region 6 should plan to attend. For further information, please contact John Lemmon:</w:t>
      </w:r>
    </w:p>
    <w:p w14:paraId="436D8877" w14:textId="77777777" w:rsidR="000838B7" w:rsidRPr="000838B7" w:rsidRDefault="000838B7" w:rsidP="000838B7">
      <w:pPr>
        <w:tabs>
          <w:tab w:val="left" w:pos="720"/>
        </w:tabs>
        <w:rPr>
          <w:rFonts w:ascii="Times New Roman" w:hAnsi="Times New Roman"/>
          <w:color w:val="000000"/>
          <w:sz w:val="22"/>
          <w:szCs w:val="22"/>
        </w:rPr>
      </w:pPr>
    </w:p>
    <w:p w14:paraId="5C191798" w14:textId="77777777" w:rsidR="000838B7" w:rsidRPr="000838B7" w:rsidRDefault="000838B7" w:rsidP="00D54821">
      <w:pPr>
        <w:tabs>
          <w:tab w:val="left" w:pos="720"/>
        </w:tabs>
        <w:ind w:left="720"/>
        <w:rPr>
          <w:rFonts w:ascii="Times New Roman" w:hAnsi="Times New Roman"/>
          <w:color w:val="000000"/>
          <w:sz w:val="22"/>
          <w:szCs w:val="22"/>
        </w:rPr>
      </w:pPr>
      <w:r w:rsidRPr="000838B7">
        <w:rPr>
          <w:rFonts w:ascii="Times New Roman" w:hAnsi="Times New Roman"/>
          <w:color w:val="000000"/>
          <w:sz w:val="22"/>
          <w:szCs w:val="22"/>
        </w:rPr>
        <w:t>John Lemmon, Chair</w:t>
      </w:r>
    </w:p>
    <w:p w14:paraId="49AAFE4E" w14:textId="557D73CC" w:rsidR="000838B7" w:rsidRPr="000838B7" w:rsidRDefault="000838B7" w:rsidP="00D54821">
      <w:pPr>
        <w:tabs>
          <w:tab w:val="left" w:pos="720"/>
        </w:tabs>
        <w:ind w:left="720"/>
        <w:rPr>
          <w:rFonts w:ascii="Times New Roman" w:hAnsi="Times New Roman"/>
          <w:color w:val="000000"/>
          <w:sz w:val="22"/>
          <w:szCs w:val="22"/>
        </w:rPr>
      </w:pPr>
      <w:r w:rsidRPr="000838B7">
        <w:rPr>
          <w:rFonts w:ascii="Times New Roman" w:hAnsi="Times New Roman"/>
          <w:color w:val="000000"/>
          <w:sz w:val="22"/>
          <w:szCs w:val="22"/>
        </w:rPr>
        <w:t>Region 6 Regional Planning Comm</w:t>
      </w:r>
      <w:r w:rsidR="00C526A9">
        <w:rPr>
          <w:rFonts w:ascii="Times New Roman" w:hAnsi="Times New Roman"/>
          <w:color w:val="000000"/>
          <w:sz w:val="22"/>
          <w:szCs w:val="22"/>
        </w:rPr>
        <w:t>ittee, 700MHz and 800 MHz</w:t>
      </w:r>
    </w:p>
    <w:p w14:paraId="3FEAD93E" w14:textId="77777777" w:rsidR="000838B7" w:rsidRPr="000838B7" w:rsidRDefault="000838B7" w:rsidP="00D54821">
      <w:pPr>
        <w:tabs>
          <w:tab w:val="left" w:pos="720"/>
        </w:tabs>
        <w:ind w:left="720"/>
        <w:rPr>
          <w:rFonts w:ascii="Times New Roman" w:hAnsi="Times New Roman"/>
          <w:color w:val="000000"/>
          <w:sz w:val="22"/>
          <w:szCs w:val="22"/>
        </w:rPr>
      </w:pPr>
      <w:r w:rsidRPr="000838B7">
        <w:rPr>
          <w:rFonts w:ascii="Times New Roman" w:hAnsi="Times New Roman"/>
          <w:color w:val="000000"/>
          <w:sz w:val="22"/>
          <w:szCs w:val="22"/>
        </w:rPr>
        <w:t>Senior Telecommunications Engineer</w:t>
      </w:r>
    </w:p>
    <w:p w14:paraId="2F9CF05F" w14:textId="77777777" w:rsidR="000838B7" w:rsidRPr="000838B7" w:rsidRDefault="000838B7" w:rsidP="00D54821">
      <w:pPr>
        <w:tabs>
          <w:tab w:val="left" w:pos="720"/>
        </w:tabs>
        <w:ind w:left="720"/>
        <w:rPr>
          <w:rFonts w:ascii="Times New Roman" w:hAnsi="Times New Roman"/>
          <w:color w:val="000000"/>
          <w:sz w:val="22"/>
          <w:szCs w:val="22"/>
        </w:rPr>
      </w:pPr>
      <w:r w:rsidRPr="000838B7">
        <w:rPr>
          <w:rFonts w:ascii="Times New Roman" w:hAnsi="Times New Roman"/>
          <w:color w:val="000000"/>
          <w:sz w:val="22"/>
          <w:szCs w:val="22"/>
        </w:rPr>
        <w:t>State of California Governor’s Office of Emergency Services</w:t>
      </w:r>
    </w:p>
    <w:p w14:paraId="32BE45FA" w14:textId="77777777" w:rsidR="000838B7" w:rsidRPr="000838B7" w:rsidRDefault="000838B7" w:rsidP="00D54821">
      <w:pPr>
        <w:tabs>
          <w:tab w:val="left" w:pos="720"/>
        </w:tabs>
        <w:ind w:left="720"/>
        <w:rPr>
          <w:rFonts w:ascii="Times New Roman" w:hAnsi="Times New Roman"/>
          <w:color w:val="000000"/>
          <w:sz w:val="22"/>
          <w:szCs w:val="22"/>
        </w:rPr>
      </w:pPr>
      <w:r w:rsidRPr="000838B7">
        <w:rPr>
          <w:rFonts w:ascii="Times New Roman" w:hAnsi="Times New Roman"/>
          <w:color w:val="000000"/>
          <w:sz w:val="22"/>
          <w:szCs w:val="22"/>
        </w:rPr>
        <w:t>Public Safety Communications Office</w:t>
      </w:r>
    </w:p>
    <w:p w14:paraId="488F5D03" w14:textId="77777777" w:rsidR="000838B7" w:rsidRPr="000838B7" w:rsidRDefault="000838B7" w:rsidP="00D54821">
      <w:pPr>
        <w:tabs>
          <w:tab w:val="left" w:pos="720"/>
        </w:tabs>
        <w:ind w:left="720"/>
        <w:rPr>
          <w:rFonts w:ascii="Times New Roman" w:hAnsi="Times New Roman"/>
          <w:color w:val="000000"/>
          <w:sz w:val="22"/>
          <w:szCs w:val="22"/>
        </w:rPr>
      </w:pPr>
      <w:smartTag w:uri="urn:schemas-microsoft-com:office:smarttags" w:element="Street">
        <w:smartTag w:uri="urn:schemas-microsoft-com:office:smarttags" w:element="address">
          <w:r w:rsidRPr="000838B7">
            <w:rPr>
              <w:rFonts w:ascii="Times New Roman" w:hAnsi="Times New Roman"/>
              <w:color w:val="000000"/>
              <w:sz w:val="22"/>
              <w:szCs w:val="22"/>
            </w:rPr>
            <w:t>601 Sequoia Pacific Boulevard</w:t>
          </w:r>
        </w:smartTag>
      </w:smartTag>
    </w:p>
    <w:p w14:paraId="3EF02A16" w14:textId="77777777" w:rsidR="000838B7" w:rsidRPr="000838B7" w:rsidRDefault="000838B7" w:rsidP="00D54821">
      <w:pPr>
        <w:tabs>
          <w:tab w:val="left" w:pos="720"/>
        </w:tabs>
        <w:ind w:left="720"/>
        <w:rPr>
          <w:rFonts w:ascii="Times New Roman" w:hAnsi="Times New Roman"/>
          <w:color w:val="000000"/>
          <w:sz w:val="22"/>
          <w:szCs w:val="22"/>
        </w:rPr>
      </w:pPr>
      <w:smartTag w:uri="urn:schemas-microsoft-com:office:smarttags" w:element="place">
        <w:smartTag w:uri="urn:schemas-microsoft-com:office:smarttags" w:element="City">
          <w:r w:rsidRPr="000838B7">
            <w:rPr>
              <w:rFonts w:ascii="Times New Roman" w:hAnsi="Times New Roman"/>
              <w:color w:val="000000"/>
              <w:sz w:val="22"/>
              <w:szCs w:val="22"/>
            </w:rPr>
            <w:t>Sacramento</w:t>
          </w:r>
        </w:smartTag>
        <w:r w:rsidRPr="000838B7">
          <w:rPr>
            <w:rFonts w:ascii="Times New Roman" w:hAnsi="Times New Roman"/>
            <w:color w:val="000000"/>
            <w:sz w:val="22"/>
            <w:szCs w:val="22"/>
          </w:rPr>
          <w:t xml:space="preserve">, </w:t>
        </w:r>
        <w:smartTag w:uri="urn:schemas-microsoft-com:office:smarttags" w:element="State">
          <w:r w:rsidRPr="000838B7">
            <w:rPr>
              <w:rFonts w:ascii="Times New Roman" w:hAnsi="Times New Roman"/>
              <w:color w:val="000000"/>
              <w:sz w:val="22"/>
              <w:szCs w:val="22"/>
            </w:rPr>
            <w:t>California</w:t>
          </w:r>
        </w:smartTag>
        <w:r w:rsidRPr="000838B7">
          <w:rPr>
            <w:rFonts w:ascii="Times New Roman" w:hAnsi="Times New Roman"/>
            <w:color w:val="000000"/>
            <w:sz w:val="22"/>
            <w:szCs w:val="22"/>
          </w:rPr>
          <w:t xml:space="preserve"> </w:t>
        </w:r>
        <w:smartTag w:uri="urn:schemas-microsoft-com:office:smarttags" w:element="PostalCode">
          <w:r w:rsidRPr="000838B7">
            <w:rPr>
              <w:rFonts w:ascii="Times New Roman" w:hAnsi="Times New Roman"/>
              <w:color w:val="000000"/>
              <w:sz w:val="22"/>
              <w:szCs w:val="22"/>
            </w:rPr>
            <w:t>95811</w:t>
          </w:r>
        </w:smartTag>
      </w:smartTag>
    </w:p>
    <w:p w14:paraId="1E8B5A59" w14:textId="77777777" w:rsidR="000838B7" w:rsidRPr="000838B7" w:rsidRDefault="000838B7" w:rsidP="00D54821">
      <w:pPr>
        <w:tabs>
          <w:tab w:val="left" w:pos="720"/>
        </w:tabs>
        <w:ind w:left="720"/>
        <w:rPr>
          <w:rFonts w:ascii="Times New Roman" w:hAnsi="Times New Roman"/>
          <w:color w:val="000000"/>
          <w:sz w:val="22"/>
          <w:szCs w:val="22"/>
        </w:rPr>
      </w:pPr>
      <w:r w:rsidRPr="000838B7">
        <w:rPr>
          <w:rFonts w:ascii="Times New Roman" w:hAnsi="Times New Roman"/>
          <w:color w:val="000000"/>
          <w:sz w:val="22"/>
          <w:szCs w:val="22"/>
        </w:rPr>
        <w:t>(916) 657-6153</w:t>
      </w:r>
    </w:p>
    <w:p w14:paraId="51A28FCA" w14:textId="17E73F25" w:rsidR="000838B7" w:rsidRPr="00FD0B79" w:rsidRDefault="00A71A8A" w:rsidP="00D54821">
      <w:pPr>
        <w:tabs>
          <w:tab w:val="left" w:pos="720"/>
        </w:tabs>
        <w:ind w:left="720"/>
        <w:rPr>
          <w:rStyle w:val="Hyperlink"/>
          <w:rFonts w:ascii="Times New Roman" w:hAnsi="Times New Roman"/>
          <w:color w:val="auto"/>
          <w:sz w:val="22"/>
          <w:szCs w:val="22"/>
          <w:u w:val="none"/>
        </w:rPr>
      </w:pPr>
      <w:hyperlink r:id="rId14" w:history="1">
        <w:r w:rsidR="000838B7" w:rsidRPr="000838B7">
          <w:rPr>
            <w:rStyle w:val="Hyperlink"/>
            <w:rFonts w:ascii="Times New Roman" w:hAnsi="Times New Roman"/>
            <w:sz w:val="22"/>
            <w:szCs w:val="22"/>
          </w:rPr>
          <w:t>john.lemmon@caloes.ca.gov</w:t>
        </w:r>
      </w:hyperlink>
    </w:p>
    <w:p w14:paraId="78066619" w14:textId="50421FA3" w:rsidR="006818F1" w:rsidRPr="00FD0B79" w:rsidRDefault="006818F1" w:rsidP="00FD0B79">
      <w:pPr>
        <w:tabs>
          <w:tab w:val="left" w:pos="1800"/>
        </w:tabs>
        <w:ind w:left="720"/>
        <w:rPr>
          <w:rStyle w:val="Hyperlink"/>
          <w:rFonts w:ascii="Times New Roman" w:hAnsi="Times New Roman"/>
          <w:color w:val="auto"/>
          <w:sz w:val="22"/>
          <w:szCs w:val="22"/>
          <w:u w:val="none"/>
        </w:rPr>
      </w:pPr>
    </w:p>
    <w:p w14:paraId="5A56D65B" w14:textId="77777777" w:rsidR="00FD0B79" w:rsidRDefault="00FD0B79" w:rsidP="00C35895">
      <w:pPr>
        <w:tabs>
          <w:tab w:val="left" w:pos="1800"/>
        </w:tabs>
        <w:ind w:left="720"/>
        <w:rPr>
          <w:rStyle w:val="Hyperlink"/>
          <w:rFonts w:ascii="Times New Roman" w:hAnsi="Times New Roman"/>
          <w:color w:val="auto"/>
          <w:sz w:val="22"/>
          <w:szCs w:val="22"/>
          <w:u w:val="none"/>
        </w:rPr>
      </w:pPr>
    </w:p>
    <w:p w14:paraId="48E082CD" w14:textId="6806D9CC" w:rsidR="00DA6F81" w:rsidRPr="00DA6F81" w:rsidRDefault="00DA6F81" w:rsidP="00DA6F81">
      <w:pPr>
        <w:jc w:val="center"/>
      </w:pPr>
      <w:r w:rsidRPr="00DA6F81">
        <w:rPr>
          <w:rFonts w:ascii="Times New Roman" w:hAnsi="Times New Roman"/>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9C635" w14:textId="77777777" w:rsidR="00441796" w:rsidRDefault="00441796">
      <w:r>
        <w:separator/>
      </w:r>
    </w:p>
  </w:endnote>
  <w:endnote w:type="continuationSeparator" w:id="0">
    <w:p w14:paraId="2A26804C" w14:textId="77777777" w:rsidR="00441796" w:rsidRDefault="0044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0838B7" w:rsidRDefault="000838B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0838B7" w:rsidRDefault="00083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0838B7" w:rsidRPr="006F63A0" w:rsidRDefault="000838B7"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A71A8A">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0838B7" w:rsidRDefault="000838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2C89A" w14:textId="77777777" w:rsidR="00EF4472" w:rsidRDefault="00EF4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8473D" w14:textId="77777777" w:rsidR="00441796" w:rsidRDefault="00441796">
      <w:r>
        <w:separator/>
      </w:r>
    </w:p>
  </w:footnote>
  <w:footnote w:type="continuationSeparator" w:id="0">
    <w:p w14:paraId="1AD23D88" w14:textId="77777777" w:rsidR="00441796" w:rsidRDefault="00441796">
      <w:r>
        <w:continuationSeparator/>
      </w:r>
    </w:p>
  </w:footnote>
  <w:footnote w:id="1">
    <w:p w14:paraId="5459DFCB" w14:textId="592A437E" w:rsidR="000838B7" w:rsidRPr="00D54821" w:rsidRDefault="000838B7" w:rsidP="000838B7">
      <w:pPr>
        <w:pStyle w:val="FootnoteText"/>
        <w:rPr>
          <w:rFonts w:ascii="Times New Roman" w:hAnsi="Times New Roman"/>
          <w:sz w:val="20"/>
        </w:rPr>
      </w:pPr>
      <w:r w:rsidRPr="00D54821">
        <w:rPr>
          <w:rStyle w:val="FootnoteReference"/>
          <w:rFonts w:ascii="Times New Roman" w:hAnsi="Times New Roman"/>
          <w:sz w:val="20"/>
        </w:rPr>
        <w:footnoteRef/>
      </w:r>
      <w:r w:rsidRPr="00D54821">
        <w:rPr>
          <w:rFonts w:ascii="Times New Roman" w:hAnsi="Times New Roman"/>
          <w:sz w:val="20"/>
        </w:rPr>
        <w:t xml:space="preserve"> </w:t>
      </w:r>
      <w:r w:rsidR="00424DE5">
        <w:rPr>
          <w:rFonts w:ascii="Times New Roman" w:hAnsi="Times New Roman"/>
          <w:sz w:val="20"/>
        </w:rPr>
        <w:t xml:space="preserve">Region 6 (Northern California) </w:t>
      </w:r>
      <w:r w:rsidRPr="00D54821">
        <w:rPr>
          <w:rFonts w:ascii="Times New Roman" w:hAnsi="Times New Roman"/>
          <w:sz w:val="20"/>
        </w:rPr>
        <w:t xml:space="preserve">includes forty-eight (48) </w:t>
      </w:r>
      <w:r w:rsidRPr="00D54821">
        <w:rPr>
          <w:rFonts w:ascii="Times New Roman" w:hAnsi="Times New Roman"/>
          <w:color w:val="000000"/>
          <w:sz w:val="20"/>
        </w:rPr>
        <w:t>counties of California situated north of the northernmost borders of San Luis Obispo, Kern, and San Bernardino counties.</w:t>
      </w:r>
      <w:r w:rsidRPr="00D54821">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E0F78" w14:textId="77777777" w:rsidR="00EF4472" w:rsidRDefault="00EF4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45250" w14:textId="77777777" w:rsidR="00EF4472" w:rsidRDefault="00EF4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500B21EA" w:rsidR="000838B7" w:rsidRPr="00804ED0" w:rsidRDefault="000838B7"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0" locked="0" layoutInCell="0" allowOverlap="1" wp14:anchorId="12F73E3E" wp14:editId="321B7B3C">
          <wp:simplePos x="0" y="0"/>
          <wp:positionH relativeFrom="column">
            <wp:posOffset>443865</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0838B7" w:rsidRDefault="000838B7"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B32E7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0838B7" w:rsidRPr="00B530AC" w:rsidRDefault="000838B7" w:rsidP="0076498C">
                          <w:pPr>
                            <w:rPr>
                              <w:rFonts w:ascii="Arial" w:hAnsi="Arial"/>
                              <w:b/>
                              <w:sz w:val="22"/>
                              <w:szCs w:val="22"/>
                            </w:rPr>
                          </w:pPr>
                          <w:r w:rsidRPr="00B530AC">
                            <w:rPr>
                              <w:rFonts w:ascii="Arial" w:hAnsi="Arial"/>
                              <w:b/>
                              <w:sz w:val="22"/>
                              <w:szCs w:val="22"/>
                            </w:rPr>
                            <w:t>Federal Communications Commission</w:t>
                          </w:r>
                        </w:p>
                        <w:p w14:paraId="53614E39" w14:textId="77777777" w:rsidR="000838B7" w:rsidRPr="00B530AC" w:rsidRDefault="000838B7"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0838B7" w:rsidRPr="00B530AC" w:rsidRDefault="000838B7"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0838B7" w:rsidRPr="00B530AC" w:rsidRDefault="000838B7" w:rsidP="0076498C">
                    <w:pPr>
                      <w:rPr>
                        <w:rFonts w:ascii="Arial" w:hAnsi="Arial"/>
                        <w:b/>
                        <w:sz w:val="22"/>
                        <w:szCs w:val="22"/>
                      </w:rPr>
                    </w:pPr>
                    <w:r w:rsidRPr="00B530AC">
                      <w:rPr>
                        <w:rFonts w:ascii="Arial" w:hAnsi="Arial"/>
                        <w:b/>
                        <w:sz w:val="22"/>
                        <w:szCs w:val="22"/>
                      </w:rPr>
                      <w:t>Federal Communications Commission</w:t>
                    </w:r>
                  </w:p>
                  <w:p w14:paraId="53614E39" w14:textId="77777777" w:rsidR="000838B7" w:rsidRPr="00B530AC" w:rsidRDefault="000838B7"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0838B7" w:rsidRPr="00B530AC" w:rsidRDefault="000838B7"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0838B7" w:rsidRDefault="000838B7" w:rsidP="0076498C">
                          <w:pPr>
                            <w:spacing w:before="40"/>
                            <w:jc w:val="right"/>
                            <w:rPr>
                              <w:rFonts w:ascii="Arial" w:hAnsi="Arial"/>
                              <w:b/>
                              <w:sz w:val="16"/>
                            </w:rPr>
                          </w:pPr>
                          <w:r>
                            <w:rPr>
                              <w:rFonts w:ascii="Arial" w:hAnsi="Arial"/>
                              <w:b/>
                              <w:sz w:val="16"/>
                            </w:rPr>
                            <w:t>News Media Information 202 / 418-0500</w:t>
                          </w:r>
                        </w:p>
                        <w:p w14:paraId="72798515" w14:textId="77777777" w:rsidR="000838B7" w:rsidRDefault="000838B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0838B7" w:rsidRDefault="000838B7" w:rsidP="0076498C">
                          <w:pPr>
                            <w:jc w:val="right"/>
                            <w:rPr>
                              <w:rFonts w:ascii="Arial" w:hAnsi="Arial"/>
                              <w:b/>
                              <w:sz w:val="16"/>
                            </w:rPr>
                          </w:pPr>
                          <w:r>
                            <w:rPr>
                              <w:rFonts w:ascii="Arial" w:hAnsi="Arial"/>
                              <w:b/>
                              <w:sz w:val="16"/>
                            </w:rPr>
                            <w:t>TTY: 1-888-835-5322</w:t>
                          </w:r>
                        </w:p>
                        <w:p w14:paraId="29BAF433" w14:textId="77777777" w:rsidR="000838B7" w:rsidRDefault="000838B7"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0838B7" w:rsidRDefault="000838B7" w:rsidP="0076498C">
                    <w:pPr>
                      <w:spacing w:before="40"/>
                      <w:jc w:val="right"/>
                      <w:rPr>
                        <w:rFonts w:ascii="Arial" w:hAnsi="Arial"/>
                        <w:b/>
                        <w:sz w:val="16"/>
                      </w:rPr>
                    </w:pPr>
                    <w:r>
                      <w:rPr>
                        <w:rFonts w:ascii="Arial" w:hAnsi="Arial"/>
                        <w:b/>
                        <w:sz w:val="16"/>
                      </w:rPr>
                      <w:t>News Media Information 202 / 418-0500</w:t>
                    </w:r>
                  </w:p>
                  <w:p w14:paraId="72798515" w14:textId="77777777" w:rsidR="000838B7" w:rsidRDefault="000838B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0838B7" w:rsidRDefault="000838B7" w:rsidP="0076498C">
                    <w:pPr>
                      <w:jc w:val="right"/>
                      <w:rPr>
                        <w:rFonts w:ascii="Arial" w:hAnsi="Arial"/>
                        <w:b/>
                        <w:sz w:val="16"/>
                      </w:rPr>
                    </w:pPr>
                    <w:r>
                      <w:rPr>
                        <w:rFonts w:ascii="Arial" w:hAnsi="Arial"/>
                        <w:b/>
                        <w:sz w:val="16"/>
                      </w:rPr>
                      <w:t>TTY: 1-888-835-5322</w:t>
                    </w:r>
                  </w:p>
                  <w:p w14:paraId="29BAF433" w14:textId="77777777" w:rsidR="000838B7" w:rsidRDefault="000838B7" w:rsidP="0076498C">
                    <w:pPr>
                      <w:jc w:val="right"/>
                    </w:pPr>
                  </w:p>
                </w:txbxContent>
              </v:textbox>
            </v:shape>
          </w:pict>
        </mc:Fallback>
      </mc:AlternateContent>
    </w:r>
  </w:p>
  <w:p w14:paraId="4246DF2A" w14:textId="77777777" w:rsidR="000838B7" w:rsidRDefault="00083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F42529"/>
    <w:multiLevelType w:val="hybridMultilevel"/>
    <w:tmpl w:val="E376A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5DE485B"/>
    <w:multiLevelType w:val="hybridMultilevel"/>
    <w:tmpl w:val="43D21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38B7"/>
    <w:rsid w:val="00084D13"/>
    <w:rsid w:val="000861B5"/>
    <w:rsid w:val="000934C2"/>
    <w:rsid w:val="000951BF"/>
    <w:rsid w:val="000B0F7B"/>
    <w:rsid w:val="000B2568"/>
    <w:rsid w:val="000C12B4"/>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203049"/>
    <w:rsid w:val="00206DFD"/>
    <w:rsid w:val="00211A5D"/>
    <w:rsid w:val="00212D5C"/>
    <w:rsid w:val="002249E4"/>
    <w:rsid w:val="0025323E"/>
    <w:rsid w:val="002735B6"/>
    <w:rsid w:val="00275656"/>
    <w:rsid w:val="00277763"/>
    <w:rsid w:val="002876D4"/>
    <w:rsid w:val="002C1A46"/>
    <w:rsid w:val="002E512D"/>
    <w:rsid w:val="002F19B4"/>
    <w:rsid w:val="00311CEF"/>
    <w:rsid w:val="00312EE6"/>
    <w:rsid w:val="00313A8A"/>
    <w:rsid w:val="00315305"/>
    <w:rsid w:val="00315CC3"/>
    <w:rsid w:val="00316326"/>
    <w:rsid w:val="00324C79"/>
    <w:rsid w:val="00330EC0"/>
    <w:rsid w:val="00333861"/>
    <w:rsid w:val="003362A0"/>
    <w:rsid w:val="00337666"/>
    <w:rsid w:val="00341E66"/>
    <w:rsid w:val="0035121E"/>
    <w:rsid w:val="00352B56"/>
    <w:rsid w:val="00355F00"/>
    <w:rsid w:val="0038100D"/>
    <w:rsid w:val="00395A16"/>
    <w:rsid w:val="00396649"/>
    <w:rsid w:val="003A713F"/>
    <w:rsid w:val="003B051A"/>
    <w:rsid w:val="003C175A"/>
    <w:rsid w:val="003D26F4"/>
    <w:rsid w:val="003D45CF"/>
    <w:rsid w:val="003E331A"/>
    <w:rsid w:val="004150A3"/>
    <w:rsid w:val="00424DE5"/>
    <w:rsid w:val="00432C01"/>
    <w:rsid w:val="00441796"/>
    <w:rsid w:val="00441F46"/>
    <w:rsid w:val="00447E7F"/>
    <w:rsid w:val="00454CCE"/>
    <w:rsid w:val="00465A8A"/>
    <w:rsid w:val="00465D3D"/>
    <w:rsid w:val="00482826"/>
    <w:rsid w:val="004A6BCC"/>
    <w:rsid w:val="004A6F86"/>
    <w:rsid w:val="004B619A"/>
    <w:rsid w:val="004B67EA"/>
    <w:rsid w:val="004C7ECE"/>
    <w:rsid w:val="004D3DBD"/>
    <w:rsid w:val="004D76B0"/>
    <w:rsid w:val="004E1950"/>
    <w:rsid w:val="0050015E"/>
    <w:rsid w:val="00514934"/>
    <w:rsid w:val="00517B76"/>
    <w:rsid w:val="005211C9"/>
    <w:rsid w:val="00533CC9"/>
    <w:rsid w:val="0054005D"/>
    <w:rsid w:val="005419E3"/>
    <w:rsid w:val="00543AF9"/>
    <w:rsid w:val="00556C20"/>
    <w:rsid w:val="00566BD7"/>
    <w:rsid w:val="005708A8"/>
    <w:rsid w:val="005721A5"/>
    <w:rsid w:val="00577827"/>
    <w:rsid w:val="00597711"/>
    <w:rsid w:val="005A2FEB"/>
    <w:rsid w:val="005A6866"/>
    <w:rsid w:val="005B2487"/>
    <w:rsid w:val="005C2359"/>
    <w:rsid w:val="005D304D"/>
    <w:rsid w:val="005D6FF4"/>
    <w:rsid w:val="005F452D"/>
    <w:rsid w:val="00622831"/>
    <w:rsid w:val="006248D2"/>
    <w:rsid w:val="006419B8"/>
    <w:rsid w:val="00647649"/>
    <w:rsid w:val="00652F38"/>
    <w:rsid w:val="00655A4F"/>
    <w:rsid w:val="0067451F"/>
    <w:rsid w:val="006818F1"/>
    <w:rsid w:val="00683C51"/>
    <w:rsid w:val="00694D11"/>
    <w:rsid w:val="0069696D"/>
    <w:rsid w:val="00696BE3"/>
    <w:rsid w:val="006B5CBC"/>
    <w:rsid w:val="006B6420"/>
    <w:rsid w:val="006C122D"/>
    <w:rsid w:val="006F486B"/>
    <w:rsid w:val="006F687C"/>
    <w:rsid w:val="00701A97"/>
    <w:rsid w:val="00701BF6"/>
    <w:rsid w:val="00715B52"/>
    <w:rsid w:val="00732441"/>
    <w:rsid w:val="00737F11"/>
    <w:rsid w:val="007509C6"/>
    <w:rsid w:val="00751524"/>
    <w:rsid w:val="007632ED"/>
    <w:rsid w:val="0076498C"/>
    <w:rsid w:val="00782647"/>
    <w:rsid w:val="007B2B97"/>
    <w:rsid w:val="007C32B8"/>
    <w:rsid w:val="007C574A"/>
    <w:rsid w:val="007E264B"/>
    <w:rsid w:val="00801D78"/>
    <w:rsid w:val="0081016B"/>
    <w:rsid w:val="008207E2"/>
    <w:rsid w:val="00821873"/>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4C49"/>
    <w:rsid w:val="009247E2"/>
    <w:rsid w:val="009278FF"/>
    <w:rsid w:val="00961500"/>
    <w:rsid w:val="00971333"/>
    <w:rsid w:val="00982B81"/>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36FEB"/>
    <w:rsid w:val="00A5391C"/>
    <w:rsid w:val="00A5548B"/>
    <w:rsid w:val="00A70619"/>
    <w:rsid w:val="00A71A8A"/>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505DB"/>
    <w:rsid w:val="00B50A3D"/>
    <w:rsid w:val="00B530AC"/>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26A9"/>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50084"/>
    <w:rsid w:val="00D54821"/>
    <w:rsid w:val="00D54CDC"/>
    <w:rsid w:val="00D9182D"/>
    <w:rsid w:val="00DA6F81"/>
    <w:rsid w:val="00DB4B04"/>
    <w:rsid w:val="00DC7691"/>
    <w:rsid w:val="00DD541F"/>
    <w:rsid w:val="00DD5C21"/>
    <w:rsid w:val="00DD613F"/>
    <w:rsid w:val="00DE725F"/>
    <w:rsid w:val="00DF526B"/>
    <w:rsid w:val="00E03031"/>
    <w:rsid w:val="00E06A0D"/>
    <w:rsid w:val="00E126DA"/>
    <w:rsid w:val="00E17F24"/>
    <w:rsid w:val="00E20B3A"/>
    <w:rsid w:val="00E24DFC"/>
    <w:rsid w:val="00E451BF"/>
    <w:rsid w:val="00E45DC3"/>
    <w:rsid w:val="00E538D6"/>
    <w:rsid w:val="00E550DA"/>
    <w:rsid w:val="00E56BD4"/>
    <w:rsid w:val="00E705D5"/>
    <w:rsid w:val="00E7325A"/>
    <w:rsid w:val="00E800F0"/>
    <w:rsid w:val="00E8690A"/>
    <w:rsid w:val="00EB2215"/>
    <w:rsid w:val="00EB7345"/>
    <w:rsid w:val="00EE01BD"/>
    <w:rsid w:val="00EE44B6"/>
    <w:rsid w:val="00EE76EC"/>
    <w:rsid w:val="00EF4472"/>
    <w:rsid w:val="00EF6206"/>
    <w:rsid w:val="00F01166"/>
    <w:rsid w:val="00F06CB1"/>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ohn.lemmon@caloes.c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2445</Characters>
  <Application>Microsoft Office Word</Application>
  <DocSecurity>0</DocSecurity>
  <Lines>77</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2852</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2016-03-07T17:56:00Z</dcterms:created>
  <dcterms:modified xsi:type="dcterms:W3CDTF">2016-03-07T17:56:00Z</dcterms:modified>
  <cp:category> </cp:category>
  <cp:contentStatus> </cp:contentStatus>
</cp:coreProperties>
</file>