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C6119" w14:textId="77777777" w:rsidR="004C2EE3" w:rsidRDefault="004C2EE3" w:rsidP="00CB0033">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505E9DA" w14:textId="77777777" w:rsidR="00921803" w:rsidRDefault="00921803" w:rsidP="00CB0033">
      <w:pPr>
        <w:pStyle w:val="StyleBoldCentered"/>
        <w:widowControl/>
      </w:pPr>
      <w:r>
        <w:t>F</w:t>
      </w:r>
      <w:r>
        <w:rPr>
          <w:caps w:val="0"/>
        </w:rPr>
        <w:t>ederal Communications Commission</w:t>
      </w:r>
    </w:p>
    <w:p w14:paraId="5EE92E01" w14:textId="77777777" w:rsidR="004C2EE3" w:rsidRDefault="00810B6F" w:rsidP="00CB0033">
      <w:pPr>
        <w:pStyle w:val="StyleBoldCentered"/>
        <w:widowControl/>
      </w:pPr>
      <w:r>
        <w:rPr>
          <w:caps w:val="0"/>
        </w:rPr>
        <w:t>Washington, D.C. 20554</w:t>
      </w:r>
    </w:p>
    <w:p w14:paraId="5D3A1F25" w14:textId="77777777" w:rsidR="004C2EE3" w:rsidRDefault="004C2EE3" w:rsidP="00CB0033">
      <w:pPr>
        <w:widowControl/>
      </w:pPr>
    </w:p>
    <w:tbl>
      <w:tblPr>
        <w:tblW w:w="0" w:type="auto"/>
        <w:tblLayout w:type="fixed"/>
        <w:tblLook w:val="0000" w:firstRow="0" w:lastRow="0" w:firstColumn="0" w:lastColumn="0" w:noHBand="0" w:noVBand="0"/>
      </w:tblPr>
      <w:tblGrid>
        <w:gridCol w:w="4698"/>
        <w:gridCol w:w="630"/>
        <w:gridCol w:w="4248"/>
      </w:tblGrid>
      <w:tr w:rsidR="004C2EE3" w14:paraId="3E3E8552" w14:textId="77777777">
        <w:tc>
          <w:tcPr>
            <w:tcW w:w="4698" w:type="dxa"/>
          </w:tcPr>
          <w:p w14:paraId="19C9B086" w14:textId="77777777" w:rsidR="004C2EE3" w:rsidRDefault="004C2EE3" w:rsidP="00CB0033">
            <w:pPr>
              <w:widowControl/>
              <w:tabs>
                <w:tab w:val="center" w:pos="4680"/>
              </w:tabs>
              <w:suppressAutoHyphens/>
              <w:ind w:left="-108"/>
              <w:rPr>
                <w:spacing w:val="-2"/>
              </w:rPr>
            </w:pPr>
            <w:r>
              <w:rPr>
                <w:spacing w:val="-2"/>
              </w:rPr>
              <w:t>In the Matter of</w:t>
            </w:r>
          </w:p>
          <w:p w14:paraId="6985D59A" w14:textId="77777777" w:rsidR="004C2EE3" w:rsidRDefault="004C2EE3" w:rsidP="00CB0033">
            <w:pPr>
              <w:widowControl/>
              <w:tabs>
                <w:tab w:val="center" w:pos="4680"/>
              </w:tabs>
              <w:suppressAutoHyphens/>
              <w:ind w:left="-108"/>
              <w:rPr>
                <w:spacing w:val="-2"/>
              </w:rPr>
            </w:pPr>
          </w:p>
          <w:p w14:paraId="4E605561" w14:textId="77777777" w:rsidR="001E1D6C" w:rsidRPr="001E1D6C" w:rsidRDefault="001E1D6C" w:rsidP="00CB0033">
            <w:pPr>
              <w:widowControl/>
              <w:tabs>
                <w:tab w:val="center" w:pos="4680"/>
              </w:tabs>
              <w:suppressAutoHyphens/>
              <w:ind w:left="-108"/>
              <w:rPr>
                <w:color w:val="000000"/>
                <w:spacing w:val="-2"/>
                <w:szCs w:val="22"/>
              </w:rPr>
            </w:pPr>
            <w:r w:rsidRPr="001E1D6C">
              <w:rPr>
                <w:color w:val="000000"/>
                <w:spacing w:val="-2"/>
                <w:szCs w:val="22"/>
              </w:rPr>
              <w:t>Expanding the Economic and Innovation</w:t>
            </w:r>
          </w:p>
          <w:p w14:paraId="60B83B4F" w14:textId="77777777" w:rsidR="001E1D6C" w:rsidRPr="001E1D6C" w:rsidRDefault="001E1D6C" w:rsidP="00CB0033">
            <w:pPr>
              <w:widowControl/>
              <w:tabs>
                <w:tab w:val="center" w:pos="4680"/>
              </w:tabs>
              <w:suppressAutoHyphens/>
              <w:ind w:left="-108"/>
              <w:rPr>
                <w:color w:val="000000"/>
                <w:spacing w:val="-2"/>
                <w:szCs w:val="22"/>
              </w:rPr>
            </w:pPr>
            <w:r w:rsidRPr="001E1D6C">
              <w:rPr>
                <w:color w:val="000000"/>
                <w:spacing w:val="-2"/>
                <w:szCs w:val="22"/>
              </w:rPr>
              <w:t>Opportunities of Spectrum Through Incentive</w:t>
            </w:r>
          </w:p>
          <w:p w14:paraId="16C83412" w14:textId="77777777" w:rsidR="004C2EE3" w:rsidRPr="007115F7" w:rsidRDefault="001E1D6C" w:rsidP="00CB0033">
            <w:pPr>
              <w:widowControl/>
              <w:tabs>
                <w:tab w:val="center" w:pos="4680"/>
              </w:tabs>
              <w:suppressAutoHyphens/>
              <w:ind w:left="-108"/>
              <w:rPr>
                <w:spacing w:val="-2"/>
              </w:rPr>
            </w:pPr>
            <w:r w:rsidRPr="001E1D6C">
              <w:rPr>
                <w:color w:val="000000"/>
                <w:spacing w:val="-2"/>
                <w:szCs w:val="22"/>
              </w:rPr>
              <w:t>Auctions</w:t>
            </w:r>
          </w:p>
        </w:tc>
        <w:tc>
          <w:tcPr>
            <w:tcW w:w="630" w:type="dxa"/>
          </w:tcPr>
          <w:p w14:paraId="19825F5F" w14:textId="77777777" w:rsidR="004C2EE3" w:rsidRDefault="004C2EE3" w:rsidP="00CB0033">
            <w:pPr>
              <w:widowControl/>
              <w:tabs>
                <w:tab w:val="center" w:pos="4680"/>
              </w:tabs>
              <w:suppressAutoHyphens/>
              <w:rPr>
                <w:b/>
                <w:spacing w:val="-2"/>
              </w:rPr>
            </w:pPr>
            <w:r>
              <w:rPr>
                <w:b/>
                <w:spacing w:val="-2"/>
              </w:rPr>
              <w:t>)</w:t>
            </w:r>
          </w:p>
          <w:p w14:paraId="39918845" w14:textId="77777777" w:rsidR="004C2EE3" w:rsidRDefault="004C2EE3" w:rsidP="00CB0033">
            <w:pPr>
              <w:widowControl/>
              <w:tabs>
                <w:tab w:val="center" w:pos="4680"/>
              </w:tabs>
              <w:suppressAutoHyphens/>
              <w:rPr>
                <w:b/>
                <w:spacing w:val="-2"/>
              </w:rPr>
            </w:pPr>
            <w:r>
              <w:rPr>
                <w:b/>
                <w:spacing w:val="-2"/>
              </w:rPr>
              <w:t>)</w:t>
            </w:r>
          </w:p>
          <w:p w14:paraId="1F2580DB" w14:textId="77777777" w:rsidR="004C2EE3" w:rsidRDefault="004C2EE3" w:rsidP="00CB0033">
            <w:pPr>
              <w:widowControl/>
              <w:tabs>
                <w:tab w:val="center" w:pos="4680"/>
              </w:tabs>
              <w:suppressAutoHyphens/>
              <w:rPr>
                <w:b/>
                <w:spacing w:val="-2"/>
              </w:rPr>
            </w:pPr>
            <w:r>
              <w:rPr>
                <w:b/>
                <w:spacing w:val="-2"/>
              </w:rPr>
              <w:t>)</w:t>
            </w:r>
          </w:p>
          <w:p w14:paraId="7CCD1777" w14:textId="77777777" w:rsidR="004C2EE3" w:rsidRDefault="004C2EE3" w:rsidP="00CB0033">
            <w:pPr>
              <w:widowControl/>
              <w:tabs>
                <w:tab w:val="center" w:pos="4680"/>
              </w:tabs>
              <w:suppressAutoHyphens/>
              <w:rPr>
                <w:b/>
                <w:spacing w:val="-2"/>
              </w:rPr>
            </w:pPr>
            <w:r>
              <w:rPr>
                <w:b/>
                <w:spacing w:val="-2"/>
              </w:rPr>
              <w:t>)</w:t>
            </w:r>
          </w:p>
          <w:p w14:paraId="630A1C20" w14:textId="77777777" w:rsidR="004C2EE3" w:rsidRPr="001E1D6C" w:rsidRDefault="004C2EE3" w:rsidP="00CB0033">
            <w:pPr>
              <w:widowControl/>
              <w:tabs>
                <w:tab w:val="center" w:pos="4680"/>
              </w:tabs>
              <w:suppressAutoHyphens/>
              <w:rPr>
                <w:b/>
                <w:spacing w:val="-2"/>
              </w:rPr>
            </w:pPr>
            <w:r>
              <w:rPr>
                <w:b/>
                <w:spacing w:val="-2"/>
              </w:rPr>
              <w:t>)</w:t>
            </w:r>
          </w:p>
        </w:tc>
        <w:tc>
          <w:tcPr>
            <w:tcW w:w="4248" w:type="dxa"/>
          </w:tcPr>
          <w:p w14:paraId="15E5E70C" w14:textId="77777777" w:rsidR="004C2EE3" w:rsidRDefault="004C2EE3" w:rsidP="00CB0033">
            <w:pPr>
              <w:widowControl/>
              <w:tabs>
                <w:tab w:val="center" w:pos="4680"/>
              </w:tabs>
              <w:suppressAutoHyphens/>
              <w:rPr>
                <w:spacing w:val="-2"/>
              </w:rPr>
            </w:pPr>
          </w:p>
          <w:p w14:paraId="2FDD6EA8" w14:textId="77777777" w:rsidR="004C2EE3" w:rsidRDefault="004C2EE3" w:rsidP="00CB0033">
            <w:pPr>
              <w:pStyle w:val="TOAHeading"/>
              <w:widowControl/>
              <w:tabs>
                <w:tab w:val="clear" w:pos="9360"/>
                <w:tab w:val="center" w:pos="4680"/>
              </w:tabs>
              <w:rPr>
                <w:spacing w:val="-2"/>
              </w:rPr>
            </w:pPr>
          </w:p>
          <w:p w14:paraId="5CEAFED1" w14:textId="77777777" w:rsidR="004C2EE3" w:rsidRDefault="001E1D6C" w:rsidP="00CB0033">
            <w:pPr>
              <w:widowControl/>
              <w:tabs>
                <w:tab w:val="center" w:pos="4680"/>
              </w:tabs>
              <w:suppressAutoHyphens/>
              <w:rPr>
                <w:spacing w:val="-2"/>
              </w:rPr>
            </w:pPr>
            <w:r w:rsidRPr="001E1D6C">
              <w:rPr>
                <w:color w:val="000000"/>
                <w:spacing w:val="-2"/>
                <w:szCs w:val="22"/>
              </w:rPr>
              <w:t>GN Docket No. 12-268</w:t>
            </w:r>
          </w:p>
        </w:tc>
      </w:tr>
    </w:tbl>
    <w:p w14:paraId="7F8D7C1E" w14:textId="77777777" w:rsidR="004C2EE3" w:rsidRDefault="004C2EE3" w:rsidP="00CB0033">
      <w:pPr>
        <w:widowControl/>
      </w:pPr>
    </w:p>
    <w:p w14:paraId="71DF893A" w14:textId="77777777" w:rsidR="00841AB1" w:rsidRDefault="001E1D6C" w:rsidP="00CB0033">
      <w:pPr>
        <w:pStyle w:val="StyleBoldCentered"/>
        <w:widowControl/>
      </w:pPr>
      <w:r>
        <w:t>order denying stay motion</w:t>
      </w:r>
    </w:p>
    <w:p w14:paraId="27A05981" w14:textId="77777777" w:rsidR="004C2EE3" w:rsidRDefault="004C2EE3" w:rsidP="00CB0033">
      <w:pPr>
        <w:widowControl/>
        <w:tabs>
          <w:tab w:val="left" w:pos="-720"/>
        </w:tabs>
        <w:suppressAutoHyphens/>
        <w:spacing w:line="227" w:lineRule="auto"/>
        <w:rPr>
          <w:spacing w:val="-2"/>
        </w:rPr>
      </w:pPr>
    </w:p>
    <w:p w14:paraId="4D965ED6" w14:textId="7DD79CBC" w:rsidR="004C2EE3" w:rsidRDefault="004C2EE3" w:rsidP="00CB0033">
      <w:pPr>
        <w:widowControl/>
        <w:tabs>
          <w:tab w:val="left" w:pos="720"/>
          <w:tab w:val="right" w:pos="9360"/>
        </w:tabs>
        <w:suppressAutoHyphens/>
        <w:spacing w:line="227" w:lineRule="auto"/>
        <w:rPr>
          <w:spacing w:val="-2"/>
        </w:rPr>
      </w:pPr>
      <w:r>
        <w:rPr>
          <w:b/>
          <w:spacing w:val="-2"/>
        </w:rPr>
        <w:t xml:space="preserve">Adopted:  </w:t>
      </w:r>
      <w:r w:rsidR="00817F9C">
        <w:rPr>
          <w:b/>
          <w:spacing w:val="-2"/>
        </w:rPr>
        <w:t>March 10</w:t>
      </w:r>
      <w:r w:rsidR="001E1D6C">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17F9C">
        <w:rPr>
          <w:b/>
          <w:spacing w:val="-2"/>
        </w:rPr>
        <w:t>March 10</w:t>
      </w:r>
      <w:r w:rsidR="001E1D6C">
        <w:rPr>
          <w:b/>
          <w:spacing w:val="-2"/>
        </w:rPr>
        <w:t>, 2016</w:t>
      </w:r>
    </w:p>
    <w:p w14:paraId="1CC121B1" w14:textId="77777777" w:rsidR="00822CE0" w:rsidRDefault="00822CE0" w:rsidP="00CB0033">
      <w:pPr>
        <w:widowControl/>
      </w:pPr>
    </w:p>
    <w:p w14:paraId="383656FF" w14:textId="77777777" w:rsidR="004C2EE3" w:rsidRDefault="004C2EE3" w:rsidP="00CB0033">
      <w:pPr>
        <w:widowControl/>
        <w:rPr>
          <w:spacing w:val="-2"/>
        </w:rPr>
      </w:pPr>
      <w:r>
        <w:t xml:space="preserve">By </w:t>
      </w:r>
      <w:r w:rsidR="004E4A22">
        <w:t>the</w:t>
      </w:r>
      <w:r w:rsidR="002A2D2E">
        <w:t xml:space="preserve"> </w:t>
      </w:r>
      <w:r w:rsidR="001E1D6C">
        <w:rPr>
          <w:spacing w:val="-2"/>
        </w:rPr>
        <w:t>Chief, Media Bureau</w:t>
      </w:r>
      <w:r>
        <w:rPr>
          <w:spacing w:val="-2"/>
        </w:rPr>
        <w:t>:</w:t>
      </w:r>
    </w:p>
    <w:p w14:paraId="17B44A5C" w14:textId="77777777" w:rsidR="00822CE0" w:rsidRDefault="00822CE0" w:rsidP="00CB0033">
      <w:pPr>
        <w:widowControl/>
        <w:rPr>
          <w:spacing w:val="-2"/>
        </w:rPr>
      </w:pPr>
    </w:p>
    <w:p w14:paraId="4E3B7CAD" w14:textId="77777777" w:rsidR="001E1D6C" w:rsidRPr="001E1D6C" w:rsidRDefault="001E1D6C" w:rsidP="00CB0033">
      <w:pPr>
        <w:pStyle w:val="Heading1"/>
        <w:widowControl/>
        <w:rPr>
          <w:rFonts w:ascii="Times New Roman" w:hAnsi="Times New Roman"/>
          <w:color w:val="000000"/>
          <w:szCs w:val="22"/>
        </w:rPr>
      </w:pPr>
      <w:r w:rsidRPr="001E1D6C">
        <w:rPr>
          <w:rFonts w:ascii="Times New Roman" w:hAnsi="Times New Roman"/>
          <w:color w:val="000000"/>
          <w:szCs w:val="22"/>
        </w:rPr>
        <w:t>Introduction</w:t>
      </w:r>
    </w:p>
    <w:p w14:paraId="5B2AD8FB" w14:textId="770BDDB3" w:rsidR="001E1D6C" w:rsidRPr="002A010D" w:rsidRDefault="001E1D6C" w:rsidP="00CB0033">
      <w:pPr>
        <w:pStyle w:val="ParaNum"/>
        <w:widowControl/>
        <w:tabs>
          <w:tab w:val="num" w:pos="360"/>
        </w:tabs>
        <w:rPr>
          <w:color w:val="000000"/>
          <w:szCs w:val="22"/>
        </w:rPr>
      </w:pPr>
      <w:r w:rsidRPr="002A010D">
        <w:rPr>
          <w:color w:val="000000"/>
          <w:szCs w:val="22"/>
        </w:rPr>
        <w:t xml:space="preserve">On </w:t>
      </w:r>
      <w:r w:rsidR="00AC2038" w:rsidRPr="002A010D">
        <w:rPr>
          <w:color w:val="000000"/>
          <w:szCs w:val="22"/>
        </w:rPr>
        <w:t>March 1</w:t>
      </w:r>
      <w:r w:rsidRPr="002A010D">
        <w:rPr>
          <w:color w:val="000000"/>
          <w:szCs w:val="22"/>
        </w:rPr>
        <w:t xml:space="preserve">, 2016, </w:t>
      </w:r>
      <w:r w:rsidR="00AC2038" w:rsidRPr="002A010D">
        <w:rPr>
          <w:color w:val="231F20"/>
          <w:szCs w:val="22"/>
        </w:rPr>
        <w:t>Free Access &amp; Broadcast Telemedia, LLC (Free Access), Word of God Fellowship, Inc. (WOGF)</w:t>
      </w:r>
      <w:r w:rsidR="00DF6E49" w:rsidRPr="002A010D">
        <w:rPr>
          <w:color w:val="231F20"/>
          <w:szCs w:val="22"/>
        </w:rPr>
        <w:t>,</w:t>
      </w:r>
      <w:r w:rsidR="00AC2038" w:rsidRPr="002A010D">
        <w:rPr>
          <w:color w:val="231F20"/>
          <w:szCs w:val="22"/>
        </w:rPr>
        <w:t xml:space="preserve"> and Mako Communications, LLC (Mako) (collectively, Movants)</w:t>
      </w:r>
      <w:r w:rsidR="00573273" w:rsidRPr="002A010D">
        <w:rPr>
          <w:color w:val="231F20"/>
          <w:szCs w:val="22"/>
        </w:rPr>
        <w:t xml:space="preserve">, licensees of or investors in </w:t>
      </w:r>
      <w:r w:rsidR="00573273" w:rsidRPr="002A010D">
        <w:rPr>
          <w:color w:val="000000"/>
          <w:szCs w:val="22"/>
        </w:rPr>
        <w:t>low power television (LPTV) stations,</w:t>
      </w:r>
      <w:r w:rsidR="00FC0F30" w:rsidRPr="002A010D">
        <w:rPr>
          <w:color w:val="000000"/>
          <w:szCs w:val="22"/>
        </w:rPr>
        <w:t xml:space="preserve"> </w:t>
      </w:r>
      <w:r w:rsidRPr="002A010D">
        <w:rPr>
          <w:color w:val="000000"/>
          <w:szCs w:val="22"/>
        </w:rPr>
        <w:t xml:space="preserve">filed a </w:t>
      </w:r>
      <w:r w:rsidR="00DF6E49" w:rsidRPr="002A010D">
        <w:rPr>
          <w:color w:val="000000"/>
          <w:szCs w:val="22"/>
        </w:rPr>
        <w:t xml:space="preserve">request to </w:t>
      </w:r>
      <w:r w:rsidR="00DF6E49" w:rsidRPr="002A010D">
        <w:rPr>
          <w:color w:val="231F20"/>
          <w:szCs w:val="22"/>
        </w:rPr>
        <w:t xml:space="preserve">stay the </w:t>
      </w:r>
      <w:r w:rsidR="00DF6E49" w:rsidRPr="002A010D">
        <w:rPr>
          <w:i/>
          <w:color w:val="231F20"/>
          <w:szCs w:val="22"/>
        </w:rPr>
        <w:t>Incentive Auction R&amp;O</w:t>
      </w:r>
      <w:r w:rsidR="004661F9" w:rsidRPr="002A010D">
        <w:rPr>
          <w:rStyle w:val="FootnoteReference"/>
          <w:sz w:val="22"/>
          <w:szCs w:val="22"/>
        </w:rPr>
        <w:footnoteReference w:id="2"/>
      </w:r>
      <w:r w:rsidR="00DF6E49" w:rsidRPr="002A010D">
        <w:rPr>
          <w:color w:val="231F20"/>
          <w:szCs w:val="22"/>
        </w:rPr>
        <w:t xml:space="preserve"> and the </w:t>
      </w:r>
      <w:r w:rsidR="00DF6E49" w:rsidRPr="002A010D">
        <w:rPr>
          <w:i/>
          <w:color w:val="231F20"/>
          <w:szCs w:val="22"/>
        </w:rPr>
        <w:t>2015</w:t>
      </w:r>
      <w:r w:rsidR="00DF6E49" w:rsidRPr="002A010D">
        <w:rPr>
          <w:color w:val="231F20"/>
          <w:szCs w:val="22"/>
        </w:rPr>
        <w:t xml:space="preserve"> </w:t>
      </w:r>
      <w:r w:rsidR="00DF6E49" w:rsidRPr="002A010D">
        <w:rPr>
          <w:i/>
          <w:iCs/>
          <w:color w:val="231F20"/>
          <w:szCs w:val="22"/>
        </w:rPr>
        <w:t>Reconsideration</w:t>
      </w:r>
      <w:r w:rsidR="00DF6E49" w:rsidRPr="002A010D">
        <w:rPr>
          <w:color w:val="231F20"/>
          <w:szCs w:val="22"/>
        </w:rPr>
        <w:t xml:space="preserve"> </w:t>
      </w:r>
      <w:r w:rsidR="00DF6E49" w:rsidRPr="002A010D">
        <w:rPr>
          <w:i/>
          <w:color w:val="231F20"/>
          <w:szCs w:val="22"/>
        </w:rPr>
        <w:t>Order</w:t>
      </w:r>
      <w:r w:rsidR="004661F9" w:rsidRPr="00974F4C">
        <w:rPr>
          <w:rStyle w:val="FootnoteReference"/>
          <w:sz w:val="22"/>
          <w:szCs w:val="22"/>
        </w:rPr>
        <w:footnoteReference w:id="3"/>
      </w:r>
      <w:r w:rsidR="00DF6E49" w:rsidRPr="002A010D">
        <w:rPr>
          <w:color w:val="231F20"/>
          <w:szCs w:val="22"/>
        </w:rPr>
        <w:t xml:space="preserve"> </w:t>
      </w:r>
      <w:r w:rsidR="00DF6E49" w:rsidRPr="002A010D">
        <w:rPr>
          <w:snapToGrid/>
          <w:kern w:val="0"/>
          <w:szCs w:val="22"/>
        </w:rPr>
        <w:t xml:space="preserve">pending resolution of </w:t>
      </w:r>
      <w:r w:rsidR="00DF6E49" w:rsidRPr="002A010D">
        <w:rPr>
          <w:szCs w:val="22"/>
        </w:rPr>
        <w:t xml:space="preserve">their </w:t>
      </w:r>
      <w:r w:rsidR="00DF6E49" w:rsidRPr="002A010D">
        <w:rPr>
          <w:color w:val="000000"/>
          <w:szCs w:val="22"/>
        </w:rPr>
        <w:t>Petitions for Review of those Orders</w:t>
      </w:r>
      <w:r w:rsidR="00974F4C" w:rsidRPr="00974F4C">
        <w:rPr>
          <w:color w:val="000000"/>
        </w:rPr>
        <w:t xml:space="preserve"> </w:t>
      </w:r>
      <w:r w:rsidR="00974F4C">
        <w:rPr>
          <w:color w:val="000000"/>
        </w:rPr>
        <w:t xml:space="preserve">by </w:t>
      </w:r>
      <w:r w:rsidR="00974F4C" w:rsidRPr="004661F9">
        <w:rPr>
          <w:color w:val="000000"/>
        </w:rPr>
        <w:t xml:space="preserve">the United States Court of Appeals </w:t>
      </w:r>
      <w:r w:rsidR="00974F4C" w:rsidRPr="004661F9">
        <w:t>for the District of Columbia Circuit (D.C. Circuit</w:t>
      </w:r>
      <w:r w:rsidR="00636BCC">
        <w:t xml:space="preserve"> or Court</w:t>
      </w:r>
      <w:r w:rsidR="00974F4C" w:rsidRPr="004661F9">
        <w:t>)</w:t>
      </w:r>
      <w:r w:rsidR="00DF6E49" w:rsidRPr="002A010D">
        <w:rPr>
          <w:color w:val="000000"/>
          <w:szCs w:val="22"/>
        </w:rPr>
        <w:t>.</w:t>
      </w:r>
      <w:r w:rsidR="00DF6E49" w:rsidRPr="002A010D">
        <w:rPr>
          <w:rStyle w:val="FootnoteReference"/>
          <w:snapToGrid/>
          <w:kern w:val="0"/>
          <w:sz w:val="22"/>
          <w:szCs w:val="22"/>
        </w:rPr>
        <w:footnoteReference w:id="4"/>
      </w:r>
      <w:r w:rsidR="00DF6E49" w:rsidRPr="002A010D">
        <w:rPr>
          <w:color w:val="000000"/>
          <w:szCs w:val="22"/>
        </w:rPr>
        <w:t xml:space="preserve">  </w:t>
      </w:r>
      <w:r w:rsidR="00AC48A8" w:rsidRPr="002A010D">
        <w:rPr>
          <w:color w:val="000000"/>
          <w:szCs w:val="22"/>
        </w:rPr>
        <w:t>Although Movants filed the</w:t>
      </w:r>
      <w:r w:rsidR="00974F4C">
        <w:rPr>
          <w:color w:val="000000"/>
          <w:szCs w:val="22"/>
        </w:rPr>
        <w:t xml:space="preserve">ir </w:t>
      </w:r>
      <w:r w:rsidR="00AC48A8" w:rsidRPr="002A010D">
        <w:rPr>
          <w:color w:val="000000"/>
          <w:szCs w:val="22"/>
        </w:rPr>
        <w:t xml:space="preserve">Petitions for Review </w:t>
      </w:r>
      <w:r w:rsidR="00D73897">
        <w:rPr>
          <w:color w:val="000000"/>
          <w:szCs w:val="22"/>
        </w:rPr>
        <w:t xml:space="preserve">between </w:t>
      </w:r>
      <w:r w:rsidR="00974F4C">
        <w:rPr>
          <w:color w:val="000000"/>
          <w:szCs w:val="22"/>
        </w:rPr>
        <w:t xml:space="preserve">five </w:t>
      </w:r>
      <w:r w:rsidR="00D73897">
        <w:rPr>
          <w:color w:val="000000"/>
          <w:szCs w:val="22"/>
        </w:rPr>
        <w:t xml:space="preserve">and </w:t>
      </w:r>
      <w:r w:rsidR="00974F4C">
        <w:rPr>
          <w:color w:val="000000"/>
          <w:szCs w:val="22"/>
        </w:rPr>
        <w:t xml:space="preserve">seven </w:t>
      </w:r>
      <w:r w:rsidR="00AC48A8" w:rsidRPr="002A010D">
        <w:rPr>
          <w:color w:val="000000"/>
          <w:szCs w:val="22"/>
        </w:rPr>
        <w:t>months ago, they have</w:t>
      </w:r>
      <w:r w:rsidR="00D73897">
        <w:rPr>
          <w:color w:val="000000"/>
          <w:szCs w:val="22"/>
        </w:rPr>
        <w:t xml:space="preserve"> asked for</w:t>
      </w:r>
      <w:r w:rsidR="00AC48A8" w:rsidRPr="002A010D">
        <w:rPr>
          <w:color w:val="000000"/>
          <w:szCs w:val="22"/>
        </w:rPr>
        <w:t xml:space="preserve"> a stay just four weeks before the scheduled commencement of the incentive auction</w:t>
      </w:r>
      <w:r w:rsidR="00D73897">
        <w:rPr>
          <w:color w:val="000000"/>
          <w:szCs w:val="22"/>
        </w:rPr>
        <w:t xml:space="preserve"> on March 29, 2016</w:t>
      </w:r>
      <w:r w:rsidR="00AC48A8" w:rsidRPr="002A010D">
        <w:rPr>
          <w:color w:val="000000"/>
          <w:szCs w:val="22"/>
        </w:rPr>
        <w:t xml:space="preserve">.  </w:t>
      </w:r>
      <w:r w:rsidRPr="002A010D">
        <w:rPr>
          <w:color w:val="000000"/>
          <w:szCs w:val="22"/>
        </w:rPr>
        <w:t>For the reasons discussed below, we deny the Stay Motion.</w:t>
      </w:r>
    </w:p>
    <w:p w14:paraId="15D2F0C0" w14:textId="77777777" w:rsidR="001E1D6C" w:rsidRPr="002A010D" w:rsidRDefault="001E1D6C" w:rsidP="00CB0033">
      <w:pPr>
        <w:pStyle w:val="Heading1"/>
        <w:widowControl/>
        <w:rPr>
          <w:rFonts w:ascii="Times New Roman" w:hAnsi="Times New Roman"/>
          <w:color w:val="000000"/>
          <w:szCs w:val="22"/>
        </w:rPr>
      </w:pPr>
      <w:r w:rsidRPr="002A010D">
        <w:rPr>
          <w:rFonts w:ascii="Times New Roman" w:hAnsi="Times New Roman"/>
          <w:color w:val="000000"/>
          <w:szCs w:val="22"/>
        </w:rPr>
        <w:t>Background</w:t>
      </w:r>
    </w:p>
    <w:p w14:paraId="586AA7E0" w14:textId="554EB2F2" w:rsidR="00511229" w:rsidRPr="00A56AB0" w:rsidRDefault="001E1D6C" w:rsidP="00CB0033">
      <w:pPr>
        <w:pStyle w:val="ParaNum"/>
        <w:widowControl/>
        <w:tabs>
          <w:tab w:val="num" w:pos="360"/>
        </w:tabs>
        <w:rPr>
          <w:color w:val="000000"/>
          <w:szCs w:val="22"/>
        </w:rPr>
      </w:pPr>
      <w:r w:rsidRPr="002A010D">
        <w:rPr>
          <w:color w:val="000000"/>
          <w:szCs w:val="22"/>
        </w:rPr>
        <w:t xml:space="preserve">In the </w:t>
      </w:r>
      <w:r w:rsidRPr="002A010D">
        <w:rPr>
          <w:i/>
          <w:color w:val="000000"/>
          <w:szCs w:val="22"/>
        </w:rPr>
        <w:t>Incentive Auction R&amp;O</w:t>
      </w:r>
      <w:r w:rsidRPr="002A010D">
        <w:rPr>
          <w:color w:val="000000"/>
          <w:szCs w:val="22"/>
        </w:rPr>
        <w:t>, the Commission</w:t>
      </w:r>
      <w:r w:rsidRPr="002A010D">
        <w:rPr>
          <w:i/>
          <w:color w:val="000000"/>
          <w:szCs w:val="22"/>
        </w:rPr>
        <w:t xml:space="preserve"> </w:t>
      </w:r>
      <w:r w:rsidRPr="002A010D">
        <w:rPr>
          <w:color w:val="000000"/>
          <w:szCs w:val="22"/>
        </w:rPr>
        <w:t>established the framework for the broadcast television spectrum incentive auction.</w:t>
      </w:r>
      <w:r w:rsidRPr="002A010D">
        <w:rPr>
          <w:rStyle w:val="FootnoteReference"/>
          <w:sz w:val="22"/>
          <w:szCs w:val="22"/>
        </w:rPr>
        <w:footnoteReference w:id="5"/>
      </w:r>
      <w:r w:rsidRPr="002A010D">
        <w:rPr>
          <w:color w:val="000000"/>
          <w:szCs w:val="22"/>
        </w:rPr>
        <w:t xml:space="preserve">  </w:t>
      </w:r>
      <w:r w:rsidR="00701764" w:rsidRPr="00E71024">
        <w:rPr>
          <w:szCs w:val="22"/>
        </w:rPr>
        <w:t>The Commission declined to extend protection to LPTV stations</w:t>
      </w:r>
      <w:r w:rsidR="001B55E6">
        <w:rPr>
          <w:szCs w:val="22"/>
        </w:rPr>
        <w:t xml:space="preserve"> in the repacking process called for by the Spectrum Act</w:t>
      </w:r>
      <w:r w:rsidR="00701764" w:rsidRPr="00E71024">
        <w:rPr>
          <w:szCs w:val="22"/>
        </w:rPr>
        <w:t>,</w:t>
      </w:r>
      <w:r w:rsidR="001B55E6">
        <w:rPr>
          <w:rStyle w:val="FootnoteReference"/>
          <w:szCs w:val="22"/>
        </w:rPr>
        <w:footnoteReference w:id="6"/>
      </w:r>
      <w:r w:rsidR="00701764" w:rsidRPr="00E71024">
        <w:rPr>
          <w:szCs w:val="22"/>
        </w:rPr>
        <w:t xml:space="preserve"> explaining that protection</w:t>
      </w:r>
      <w:r w:rsidR="001B55E6">
        <w:rPr>
          <w:szCs w:val="22"/>
        </w:rPr>
        <w:t xml:space="preserve"> </w:t>
      </w:r>
      <w:r w:rsidR="00701764" w:rsidRPr="00E71024">
        <w:rPr>
          <w:szCs w:val="22"/>
        </w:rPr>
        <w:t>is not mandated by section 1452(b)(2)</w:t>
      </w:r>
      <w:r w:rsidR="001B55E6">
        <w:rPr>
          <w:szCs w:val="22"/>
        </w:rPr>
        <w:t>, which</w:t>
      </w:r>
      <w:r w:rsidR="00701764" w:rsidRPr="00E71024">
        <w:rPr>
          <w:szCs w:val="22"/>
        </w:rPr>
        <w:t xml:space="preserve"> </w:t>
      </w:r>
      <w:r w:rsidR="00CE3200">
        <w:rPr>
          <w:szCs w:val="22"/>
        </w:rPr>
        <w:t xml:space="preserve">requires </w:t>
      </w:r>
      <w:r w:rsidR="00701764" w:rsidRPr="00E71024">
        <w:rPr>
          <w:szCs w:val="22"/>
        </w:rPr>
        <w:t>protection of full-power and Class A television licensees</w:t>
      </w:r>
      <w:r w:rsidR="001B55E6">
        <w:rPr>
          <w:szCs w:val="22"/>
        </w:rPr>
        <w:t xml:space="preserve"> only.</w:t>
      </w:r>
      <w:r w:rsidR="00701764" w:rsidRPr="00E71024">
        <w:rPr>
          <w:rStyle w:val="FootnoteReference"/>
          <w:sz w:val="22"/>
          <w:szCs w:val="22"/>
        </w:rPr>
        <w:footnoteReference w:id="7"/>
      </w:r>
      <w:r w:rsidR="00701764" w:rsidRPr="00E71024">
        <w:rPr>
          <w:szCs w:val="22"/>
        </w:rPr>
        <w:t xml:space="preserve"> </w:t>
      </w:r>
      <w:r w:rsidR="001B55E6">
        <w:rPr>
          <w:szCs w:val="22"/>
        </w:rPr>
        <w:t xml:space="preserve"> The Commission interpreted section</w:t>
      </w:r>
      <w:r w:rsidR="00701764" w:rsidRPr="00E71024">
        <w:rPr>
          <w:szCs w:val="22"/>
        </w:rPr>
        <w:t xml:space="preserve"> 1452(b)(5), which provides that “nothing in [section 1452(b)] shall be construed to alter the spectrum usage rights of [LPTV] stations,”</w:t>
      </w:r>
      <w:r w:rsidR="00701764" w:rsidRPr="00E71024">
        <w:rPr>
          <w:rStyle w:val="FootnoteReference"/>
          <w:sz w:val="22"/>
          <w:szCs w:val="22"/>
        </w:rPr>
        <w:footnoteReference w:id="8"/>
      </w:r>
      <w:r w:rsidR="00701764" w:rsidRPr="00E71024">
        <w:rPr>
          <w:szCs w:val="22"/>
        </w:rPr>
        <w:t xml:space="preserve"> </w:t>
      </w:r>
      <w:r w:rsidR="001B55E6">
        <w:rPr>
          <w:szCs w:val="22"/>
        </w:rPr>
        <w:t xml:space="preserve">to </w:t>
      </w:r>
      <w:r w:rsidR="00701764" w:rsidRPr="00E71024">
        <w:rPr>
          <w:szCs w:val="22"/>
        </w:rPr>
        <w:t>clarif</w:t>
      </w:r>
      <w:r w:rsidR="001B55E6">
        <w:rPr>
          <w:szCs w:val="22"/>
        </w:rPr>
        <w:t>y</w:t>
      </w:r>
      <w:r w:rsidR="00701764" w:rsidRPr="00E71024">
        <w:rPr>
          <w:szCs w:val="22"/>
        </w:rPr>
        <w:t xml:space="preserve"> the meaning and </w:t>
      </w:r>
      <w:r w:rsidR="00701764" w:rsidRPr="00E71024">
        <w:rPr>
          <w:szCs w:val="22"/>
        </w:rPr>
        <w:lastRenderedPageBreak/>
        <w:t xml:space="preserve">scope of section 1452, </w:t>
      </w:r>
      <w:r w:rsidR="001B55E6">
        <w:rPr>
          <w:szCs w:val="22"/>
        </w:rPr>
        <w:t>without</w:t>
      </w:r>
      <w:r w:rsidR="00701764" w:rsidRPr="00E71024">
        <w:rPr>
          <w:szCs w:val="22"/>
        </w:rPr>
        <w:t xml:space="preserve"> limit</w:t>
      </w:r>
      <w:r w:rsidR="001B55E6">
        <w:rPr>
          <w:szCs w:val="22"/>
        </w:rPr>
        <w:t>ing</w:t>
      </w:r>
      <w:r w:rsidR="00701764" w:rsidRPr="00E71024">
        <w:rPr>
          <w:szCs w:val="22"/>
        </w:rPr>
        <w:t xml:space="preserve"> the Commission’s spectrum management authority.</w:t>
      </w:r>
      <w:r w:rsidR="00701764" w:rsidRPr="00E71024">
        <w:rPr>
          <w:rStyle w:val="FootnoteReference"/>
          <w:sz w:val="22"/>
          <w:szCs w:val="22"/>
        </w:rPr>
        <w:footnoteReference w:id="9"/>
      </w:r>
      <w:r w:rsidR="00701764" w:rsidRPr="00E71024">
        <w:rPr>
          <w:szCs w:val="22"/>
        </w:rPr>
        <w:t xml:space="preserve">  </w:t>
      </w:r>
      <w:r w:rsidR="00CE3200">
        <w:rPr>
          <w:szCs w:val="22"/>
        </w:rPr>
        <w:t xml:space="preserve">In addition, </w:t>
      </w:r>
      <w:r w:rsidR="00701764" w:rsidRPr="00E71024">
        <w:rPr>
          <w:szCs w:val="22"/>
        </w:rPr>
        <w:t xml:space="preserve">the Commission </w:t>
      </w:r>
      <w:r w:rsidR="001B55E6">
        <w:rPr>
          <w:szCs w:val="22"/>
        </w:rPr>
        <w:t>explained that</w:t>
      </w:r>
      <w:r w:rsidR="00701764" w:rsidRPr="00E71024">
        <w:rPr>
          <w:szCs w:val="22"/>
        </w:rPr>
        <w:t xml:space="preserve"> not protect</w:t>
      </w:r>
      <w:r w:rsidR="001B55E6">
        <w:rPr>
          <w:szCs w:val="22"/>
        </w:rPr>
        <w:t>ing</w:t>
      </w:r>
      <w:r w:rsidR="00701764" w:rsidRPr="00E71024">
        <w:rPr>
          <w:szCs w:val="22"/>
        </w:rPr>
        <w:t xml:space="preserve"> LPTV stations </w:t>
      </w:r>
      <w:r w:rsidR="001B55E6">
        <w:rPr>
          <w:szCs w:val="22"/>
        </w:rPr>
        <w:t xml:space="preserve">in the repacking process </w:t>
      </w:r>
      <w:r w:rsidR="00701764" w:rsidRPr="00E71024">
        <w:rPr>
          <w:szCs w:val="22"/>
        </w:rPr>
        <w:t>d</w:t>
      </w:r>
      <w:r w:rsidR="00CE3200">
        <w:rPr>
          <w:szCs w:val="22"/>
        </w:rPr>
        <w:t xml:space="preserve">id </w:t>
      </w:r>
      <w:r w:rsidR="00701764" w:rsidRPr="00E71024">
        <w:rPr>
          <w:szCs w:val="22"/>
        </w:rPr>
        <w:t xml:space="preserve">not “alter” their spectrum usage rights because, as secondary services, they are subject to </w:t>
      </w:r>
      <w:r w:rsidR="00701764" w:rsidRPr="003961F2">
        <w:rPr>
          <w:szCs w:val="22"/>
        </w:rPr>
        <w:t>displacement</w:t>
      </w:r>
      <w:r w:rsidR="00701764" w:rsidRPr="00E71024">
        <w:rPr>
          <w:szCs w:val="22"/>
        </w:rPr>
        <w:t xml:space="preserve"> by primary services</w:t>
      </w:r>
      <w:r w:rsidR="00701764" w:rsidRPr="003961F2">
        <w:rPr>
          <w:szCs w:val="22"/>
        </w:rPr>
        <w:t>.</w:t>
      </w:r>
      <w:r w:rsidR="00701764" w:rsidRPr="00E71024">
        <w:rPr>
          <w:szCs w:val="22"/>
          <w:vertAlign w:val="superscript"/>
        </w:rPr>
        <w:footnoteReference w:id="10"/>
      </w:r>
      <w:r w:rsidR="00701764" w:rsidRPr="00E71024">
        <w:rPr>
          <w:szCs w:val="22"/>
        </w:rPr>
        <w:t xml:space="preserve">  Moreover, the Commission explained that there a</w:t>
      </w:r>
      <w:r w:rsidR="00701764" w:rsidRPr="003961F2">
        <w:rPr>
          <w:szCs w:val="22"/>
        </w:rPr>
        <w:t>re more than 5,500 licensed LPTV and TV translator stations, and almost 4,500 of these stations are licensed on UHF channels</w:t>
      </w:r>
      <w:r w:rsidR="00701764" w:rsidRPr="00E71024">
        <w:rPr>
          <w:szCs w:val="22"/>
        </w:rPr>
        <w:t>, and that “p</w:t>
      </w:r>
      <w:r w:rsidR="00701764" w:rsidRPr="003961F2">
        <w:rPr>
          <w:szCs w:val="22"/>
        </w:rPr>
        <w:t xml:space="preserve">rotecting them would increase the number of constraints on the repacking process significantly, and severely limit our recovery of spectrum to carry out the forward auction, thereby frustrating the purposes of the Spectrum </w:t>
      </w:r>
      <w:r w:rsidR="00701764" w:rsidRPr="00A56AB0">
        <w:rPr>
          <w:szCs w:val="22"/>
        </w:rPr>
        <w:t>Act.”</w:t>
      </w:r>
      <w:r w:rsidR="00701764" w:rsidRPr="00A56AB0">
        <w:rPr>
          <w:rStyle w:val="FootnoteReference"/>
          <w:sz w:val="22"/>
          <w:szCs w:val="22"/>
        </w:rPr>
        <w:footnoteReference w:id="11"/>
      </w:r>
      <w:r w:rsidR="00701764" w:rsidRPr="00A56AB0">
        <w:rPr>
          <w:szCs w:val="22"/>
        </w:rPr>
        <w:t xml:space="preserve">  The Commission affirmed these conclusions in the </w:t>
      </w:r>
      <w:r w:rsidR="00701764" w:rsidRPr="00A56AB0">
        <w:rPr>
          <w:i/>
          <w:szCs w:val="22"/>
        </w:rPr>
        <w:t>2015 Reconsideration Order</w:t>
      </w:r>
      <w:r w:rsidR="00701764" w:rsidRPr="00A56AB0">
        <w:rPr>
          <w:szCs w:val="22"/>
        </w:rPr>
        <w:t>.</w:t>
      </w:r>
      <w:r w:rsidR="00701764" w:rsidRPr="00A56AB0">
        <w:rPr>
          <w:rStyle w:val="FootnoteReference"/>
          <w:sz w:val="22"/>
          <w:szCs w:val="22"/>
        </w:rPr>
        <w:footnoteReference w:id="12"/>
      </w:r>
      <w:r w:rsidR="00511229" w:rsidRPr="00A56AB0">
        <w:rPr>
          <w:szCs w:val="22"/>
        </w:rPr>
        <w:t xml:space="preserve">  </w:t>
      </w:r>
    </w:p>
    <w:p w14:paraId="0EB72A13" w14:textId="3775A659" w:rsidR="001E1D6C" w:rsidRPr="00A56AB0" w:rsidRDefault="005B4AA6" w:rsidP="00CB0033">
      <w:pPr>
        <w:pStyle w:val="ParaNum"/>
        <w:widowControl/>
        <w:tabs>
          <w:tab w:val="num" w:pos="360"/>
        </w:tabs>
        <w:rPr>
          <w:color w:val="000000"/>
          <w:szCs w:val="22"/>
        </w:rPr>
      </w:pPr>
      <w:r w:rsidRPr="007711B1">
        <w:rPr>
          <w:szCs w:val="22"/>
        </w:rPr>
        <w:t xml:space="preserve">Mako filed </w:t>
      </w:r>
      <w:r w:rsidRPr="009D6CEA">
        <w:rPr>
          <w:color w:val="231F20"/>
          <w:szCs w:val="22"/>
        </w:rPr>
        <w:t xml:space="preserve">a </w:t>
      </w:r>
      <w:r w:rsidRPr="009D6CEA">
        <w:rPr>
          <w:color w:val="000000"/>
          <w:szCs w:val="22"/>
        </w:rPr>
        <w:t xml:space="preserve">Petition for Review of the </w:t>
      </w:r>
      <w:r w:rsidRPr="009D6CEA">
        <w:rPr>
          <w:i/>
          <w:color w:val="000000"/>
          <w:szCs w:val="22"/>
        </w:rPr>
        <w:t xml:space="preserve">2015 Reconsideration Order </w:t>
      </w:r>
      <w:r w:rsidRPr="009D6CEA">
        <w:rPr>
          <w:szCs w:val="22"/>
        </w:rPr>
        <w:t>on August 6, 2015,</w:t>
      </w:r>
      <w:r w:rsidRPr="00972615">
        <w:rPr>
          <w:rStyle w:val="FootnoteReference"/>
          <w:sz w:val="22"/>
          <w:szCs w:val="22"/>
        </w:rPr>
        <w:footnoteReference w:id="13"/>
      </w:r>
      <w:r w:rsidRPr="00A56AB0">
        <w:rPr>
          <w:szCs w:val="22"/>
        </w:rPr>
        <w:t xml:space="preserve"> the same day the Commission announc</w:t>
      </w:r>
      <w:r w:rsidR="009D394D">
        <w:rPr>
          <w:szCs w:val="22"/>
        </w:rPr>
        <w:t>ed</w:t>
      </w:r>
      <w:r w:rsidRPr="00A56AB0">
        <w:rPr>
          <w:szCs w:val="22"/>
        </w:rPr>
        <w:t xml:space="preserve"> the incentive auction’s March 29, 2016 commencement date.</w:t>
      </w:r>
      <w:r w:rsidRPr="00972615">
        <w:rPr>
          <w:rStyle w:val="FootnoteReference"/>
          <w:sz w:val="22"/>
          <w:szCs w:val="22"/>
        </w:rPr>
        <w:footnoteReference w:id="14"/>
      </w:r>
      <w:r w:rsidRPr="00A56AB0">
        <w:rPr>
          <w:szCs w:val="22"/>
        </w:rPr>
        <w:t xml:space="preserve">  </w:t>
      </w:r>
      <w:r w:rsidRPr="00A56AB0">
        <w:rPr>
          <w:color w:val="231F20"/>
          <w:szCs w:val="22"/>
        </w:rPr>
        <w:t xml:space="preserve">Free Access and WOGF filed a </w:t>
      </w:r>
      <w:r w:rsidRPr="00A56AB0">
        <w:rPr>
          <w:color w:val="000000"/>
          <w:szCs w:val="22"/>
        </w:rPr>
        <w:t xml:space="preserve">Petition for Review </w:t>
      </w:r>
      <w:r w:rsidRPr="007711B1">
        <w:rPr>
          <w:color w:val="000000"/>
          <w:szCs w:val="22"/>
        </w:rPr>
        <w:t xml:space="preserve">of the </w:t>
      </w:r>
      <w:r w:rsidRPr="007711B1">
        <w:rPr>
          <w:i/>
          <w:color w:val="000000"/>
          <w:szCs w:val="22"/>
        </w:rPr>
        <w:t xml:space="preserve">2015 Reconsideration Order </w:t>
      </w:r>
      <w:r w:rsidRPr="007711B1">
        <w:rPr>
          <w:color w:val="000000"/>
          <w:szCs w:val="22"/>
        </w:rPr>
        <w:t xml:space="preserve">and the </w:t>
      </w:r>
      <w:r w:rsidRPr="007711B1">
        <w:rPr>
          <w:i/>
          <w:color w:val="000000"/>
          <w:szCs w:val="22"/>
        </w:rPr>
        <w:t xml:space="preserve">Incentive Auction R&amp;O </w:t>
      </w:r>
      <w:r w:rsidRPr="007711B1">
        <w:rPr>
          <w:color w:val="231F20"/>
          <w:szCs w:val="22"/>
        </w:rPr>
        <w:t>on</w:t>
      </w:r>
      <w:r w:rsidRPr="007711B1">
        <w:rPr>
          <w:szCs w:val="22"/>
        </w:rPr>
        <w:t xml:space="preserve"> October 5, 2015</w:t>
      </w:r>
      <w:r w:rsidRPr="007711B1">
        <w:rPr>
          <w:color w:val="231F20"/>
          <w:szCs w:val="22"/>
        </w:rPr>
        <w:t>.</w:t>
      </w:r>
      <w:r w:rsidRPr="00972615">
        <w:rPr>
          <w:rStyle w:val="FootnoteReference"/>
          <w:sz w:val="22"/>
          <w:szCs w:val="22"/>
        </w:rPr>
        <w:footnoteReference w:id="15"/>
      </w:r>
      <w:r w:rsidRPr="00A56AB0">
        <w:rPr>
          <w:szCs w:val="22"/>
        </w:rPr>
        <w:t xml:space="preserve">  </w:t>
      </w:r>
      <w:r w:rsidR="00A56AB0" w:rsidRPr="00A56AB0">
        <w:rPr>
          <w:szCs w:val="22"/>
        </w:rPr>
        <w:t xml:space="preserve">Briefing in </w:t>
      </w:r>
      <w:r w:rsidR="007711B1">
        <w:rPr>
          <w:szCs w:val="22"/>
        </w:rPr>
        <w:t>both cases will be complete as of</w:t>
      </w:r>
      <w:r w:rsidR="00A56AB0" w:rsidRPr="00A56AB0">
        <w:rPr>
          <w:szCs w:val="22"/>
        </w:rPr>
        <w:t xml:space="preserve"> </w:t>
      </w:r>
      <w:r w:rsidR="00DF6731">
        <w:rPr>
          <w:szCs w:val="22"/>
        </w:rPr>
        <w:t>March 21</w:t>
      </w:r>
      <w:r w:rsidR="007711B1">
        <w:rPr>
          <w:szCs w:val="22"/>
        </w:rPr>
        <w:t xml:space="preserve">, </w:t>
      </w:r>
      <w:r w:rsidR="009D394D">
        <w:rPr>
          <w:szCs w:val="22"/>
        </w:rPr>
        <w:t xml:space="preserve">2016, </w:t>
      </w:r>
      <w:r w:rsidR="007711B1">
        <w:rPr>
          <w:szCs w:val="22"/>
        </w:rPr>
        <w:t xml:space="preserve">and oral argument is scheduled to take place </w:t>
      </w:r>
      <w:r w:rsidR="00205788">
        <w:rPr>
          <w:szCs w:val="22"/>
        </w:rPr>
        <w:t>on</w:t>
      </w:r>
      <w:r w:rsidR="007711B1">
        <w:rPr>
          <w:szCs w:val="22"/>
        </w:rPr>
        <w:t xml:space="preserve"> May </w:t>
      </w:r>
      <w:r w:rsidR="00205788">
        <w:rPr>
          <w:szCs w:val="22"/>
        </w:rPr>
        <w:t xml:space="preserve">5, </w:t>
      </w:r>
      <w:r w:rsidR="007711B1">
        <w:rPr>
          <w:szCs w:val="22"/>
        </w:rPr>
        <w:t>2016</w:t>
      </w:r>
      <w:r w:rsidR="00A56AB0" w:rsidRPr="00A56AB0">
        <w:rPr>
          <w:szCs w:val="22"/>
        </w:rPr>
        <w:t>.</w:t>
      </w:r>
      <w:r w:rsidR="007711B1">
        <w:rPr>
          <w:rStyle w:val="FootnoteReference"/>
          <w:szCs w:val="22"/>
        </w:rPr>
        <w:footnoteReference w:id="16"/>
      </w:r>
      <w:r w:rsidR="00A56AB0" w:rsidRPr="00A56AB0">
        <w:rPr>
          <w:szCs w:val="22"/>
        </w:rPr>
        <w:t xml:space="preserve">  </w:t>
      </w:r>
      <w:r w:rsidR="007711B1">
        <w:rPr>
          <w:szCs w:val="22"/>
        </w:rPr>
        <w:t xml:space="preserve"> </w:t>
      </w:r>
      <w:r w:rsidR="001E1D6C" w:rsidRPr="00A56AB0">
        <w:rPr>
          <w:color w:val="000000"/>
          <w:szCs w:val="22"/>
        </w:rPr>
        <w:t xml:space="preserve">  </w:t>
      </w:r>
    </w:p>
    <w:p w14:paraId="23D5CB62" w14:textId="77777777" w:rsidR="001E1D6C" w:rsidRPr="001E1D6C" w:rsidRDefault="001E1D6C" w:rsidP="00CB0033">
      <w:pPr>
        <w:pStyle w:val="Heading1"/>
        <w:widowControl/>
        <w:rPr>
          <w:rFonts w:ascii="Times New Roman" w:hAnsi="Times New Roman"/>
          <w:color w:val="000000"/>
          <w:szCs w:val="22"/>
        </w:rPr>
      </w:pPr>
      <w:r w:rsidRPr="001E1D6C">
        <w:rPr>
          <w:rFonts w:ascii="Times New Roman" w:hAnsi="Times New Roman"/>
          <w:color w:val="000000"/>
          <w:szCs w:val="22"/>
        </w:rPr>
        <w:t>Discussion</w:t>
      </w:r>
    </w:p>
    <w:p w14:paraId="5BE83615" w14:textId="4CE36651" w:rsidR="001E1D6C" w:rsidRPr="001E1D6C" w:rsidRDefault="001E1D6C" w:rsidP="00CB0033">
      <w:pPr>
        <w:pStyle w:val="ParaNum"/>
        <w:widowControl/>
        <w:tabs>
          <w:tab w:val="num" w:pos="360"/>
        </w:tabs>
        <w:rPr>
          <w:color w:val="000000"/>
          <w:szCs w:val="22"/>
        </w:rPr>
      </w:pPr>
      <w:r w:rsidRPr="001E1D6C">
        <w:rPr>
          <w:color w:val="000000"/>
          <w:szCs w:val="22"/>
        </w:rPr>
        <w:t>In determining whether to stay the effectiveness of one of its Orders, the Commission applies the traditional four-factor test employed by the D.C. Circuit.</w:t>
      </w:r>
      <w:r w:rsidRPr="001E1D6C">
        <w:rPr>
          <w:color w:val="000000"/>
          <w:szCs w:val="22"/>
          <w:vertAlign w:val="superscript"/>
        </w:rPr>
        <w:footnoteReference w:id="17"/>
      </w:r>
      <w:r w:rsidRPr="001E1D6C">
        <w:rPr>
          <w:color w:val="000000"/>
          <w:szCs w:val="22"/>
        </w:rPr>
        <w:t xml:space="preserve">  To qualify for the extraordinary remedy of a stay, a movant must show that: (1) it is likely to prevail on the merits; (2) it will suffer irreparable harm absent the grant of preliminary relief; (3) other interested parties will not be harmed if the stay is granted; and (4) the public interest would favor grant of the stay.  For the reasons described below, we conclude that </w:t>
      </w:r>
      <w:r w:rsidR="00FC0F30">
        <w:rPr>
          <w:color w:val="000000"/>
          <w:szCs w:val="22"/>
        </w:rPr>
        <w:t>Movants</w:t>
      </w:r>
      <w:r w:rsidR="00AD0626">
        <w:rPr>
          <w:color w:val="000000"/>
          <w:szCs w:val="22"/>
        </w:rPr>
        <w:t xml:space="preserve"> </w:t>
      </w:r>
      <w:r w:rsidRPr="001E1D6C">
        <w:rPr>
          <w:color w:val="000000"/>
          <w:szCs w:val="22"/>
        </w:rPr>
        <w:t>h</w:t>
      </w:r>
      <w:r w:rsidR="00FC0F30">
        <w:rPr>
          <w:color w:val="000000"/>
          <w:szCs w:val="22"/>
        </w:rPr>
        <w:t>ave</w:t>
      </w:r>
      <w:r w:rsidRPr="001E1D6C">
        <w:rPr>
          <w:color w:val="000000"/>
          <w:szCs w:val="22"/>
        </w:rPr>
        <w:t xml:space="preserve"> failed to meet the test for this extraordinary equitable relief.</w:t>
      </w:r>
    </w:p>
    <w:p w14:paraId="766FA868" w14:textId="524F1FC6" w:rsidR="001E1D6C" w:rsidRPr="001E1D6C" w:rsidRDefault="00FC0F30" w:rsidP="00CB0033">
      <w:pPr>
        <w:pStyle w:val="Heading2"/>
        <w:widowControl/>
        <w:tabs>
          <w:tab w:val="clear" w:pos="1440"/>
          <w:tab w:val="num" w:pos="2160"/>
        </w:tabs>
        <w:rPr>
          <w:color w:val="000000"/>
          <w:szCs w:val="22"/>
        </w:rPr>
      </w:pPr>
      <w:r>
        <w:rPr>
          <w:color w:val="000000"/>
          <w:szCs w:val="22"/>
        </w:rPr>
        <w:t>Movants Are</w:t>
      </w:r>
      <w:r w:rsidR="001E1D6C" w:rsidRPr="001E1D6C">
        <w:rPr>
          <w:color w:val="000000"/>
          <w:szCs w:val="22"/>
        </w:rPr>
        <w:t xml:space="preserve"> Unlikely to Prevail on the Merits</w:t>
      </w:r>
    </w:p>
    <w:p w14:paraId="495D8D77" w14:textId="614105C3" w:rsidR="00AA7F9C" w:rsidRPr="008C4DB3" w:rsidRDefault="00354B8E" w:rsidP="008C4DB3">
      <w:pPr>
        <w:pStyle w:val="ParaNum"/>
        <w:widowControl/>
        <w:tabs>
          <w:tab w:val="num" w:pos="360"/>
        </w:tabs>
        <w:rPr>
          <w:color w:val="000000"/>
          <w:szCs w:val="22"/>
        </w:rPr>
      </w:pPr>
      <w:r>
        <w:rPr>
          <w:color w:val="000000"/>
          <w:szCs w:val="22"/>
        </w:rPr>
        <w:t xml:space="preserve">Movants </w:t>
      </w:r>
      <w:r w:rsidR="001E1D6C" w:rsidRPr="00F443C9">
        <w:rPr>
          <w:color w:val="000000"/>
          <w:szCs w:val="22"/>
        </w:rPr>
        <w:t>ha</w:t>
      </w:r>
      <w:r>
        <w:rPr>
          <w:color w:val="000000"/>
          <w:szCs w:val="22"/>
        </w:rPr>
        <w:t xml:space="preserve">ve </w:t>
      </w:r>
      <w:r w:rsidR="001E1D6C" w:rsidRPr="00F443C9">
        <w:rPr>
          <w:color w:val="000000"/>
          <w:szCs w:val="22"/>
        </w:rPr>
        <w:t xml:space="preserve">failed to demonstrate that </w:t>
      </w:r>
      <w:r>
        <w:rPr>
          <w:color w:val="000000"/>
          <w:szCs w:val="22"/>
        </w:rPr>
        <w:t>they are</w:t>
      </w:r>
      <w:r w:rsidR="001E1D6C" w:rsidRPr="00F443C9">
        <w:rPr>
          <w:color w:val="000000"/>
          <w:szCs w:val="22"/>
        </w:rPr>
        <w:t xml:space="preserve"> likely to succeed on the merits.</w:t>
      </w:r>
      <w:r w:rsidR="008C4DB3">
        <w:rPr>
          <w:color w:val="000000"/>
          <w:szCs w:val="22"/>
        </w:rPr>
        <w:t xml:space="preserve">  </w:t>
      </w:r>
      <w:r w:rsidR="008C4DB3">
        <w:t>T</w:t>
      </w:r>
      <w:r w:rsidR="008C4DB3" w:rsidRPr="00717C8F">
        <w:t>he Commission’s interpretation of the Spec</w:t>
      </w:r>
      <w:r w:rsidR="008C4DB3">
        <w:t xml:space="preserve">trum Act is consistent with the </w:t>
      </w:r>
      <w:r w:rsidR="008C4DB3" w:rsidRPr="00717C8F">
        <w:t>statute’s language, structure</w:t>
      </w:r>
      <w:r w:rsidR="00972615">
        <w:t>,</w:t>
      </w:r>
      <w:r w:rsidR="008C4DB3" w:rsidRPr="00717C8F">
        <w:t xml:space="preserve"> and purpose. </w:t>
      </w:r>
      <w:r w:rsidR="008C4DB3">
        <w:t xml:space="preserve"> </w:t>
      </w:r>
      <w:r w:rsidR="008C4DB3" w:rsidRPr="00717C8F">
        <w:t>Section 1452(b)(5) looks only to</w:t>
      </w:r>
      <w:r w:rsidR="008C4DB3">
        <w:t xml:space="preserve"> </w:t>
      </w:r>
      <w:r w:rsidR="008C4DB3" w:rsidRPr="00717C8F">
        <w:t>the existing rights of LPTV stations; it does not grant such stations additional</w:t>
      </w:r>
      <w:r w:rsidR="008C4DB3">
        <w:t xml:space="preserve"> </w:t>
      </w:r>
      <w:r w:rsidR="008C4DB3" w:rsidRPr="00717C8F">
        <w:t>rights in the repacking</w:t>
      </w:r>
      <w:r w:rsidR="008C4DB3">
        <w:t xml:space="preserve"> process</w:t>
      </w:r>
      <w:r w:rsidR="008C4DB3" w:rsidRPr="00717C8F">
        <w:t xml:space="preserve">. </w:t>
      </w:r>
      <w:r w:rsidR="008C4DB3">
        <w:t xml:space="preserve"> </w:t>
      </w:r>
      <w:r w:rsidR="008C4DB3" w:rsidRPr="00717C8F">
        <w:t>The rights of LPTV stations have</w:t>
      </w:r>
      <w:r w:rsidR="008C4DB3">
        <w:t xml:space="preserve"> </w:t>
      </w:r>
      <w:r w:rsidR="008C4DB3" w:rsidRPr="00717C8F">
        <w:t>always been secondary to those of licensed primary users of the spectrum.</w:t>
      </w:r>
      <w:r w:rsidR="008C4DB3">
        <w:t xml:space="preserve">  </w:t>
      </w:r>
      <w:r w:rsidR="008C4DB3" w:rsidRPr="00717C8F">
        <w:t>Their rights are therefore not altered by their potential displacement to</w:t>
      </w:r>
      <w:r w:rsidR="008C4DB3">
        <w:t xml:space="preserve"> </w:t>
      </w:r>
      <w:r w:rsidR="008C4DB3" w:rsidRPr="00717C8F">
        <w:t xml:space="preserve">accommodate new users in the repurposed spectrum. </w:t>
      </w:r>
      <w:r w:rsidR="008C4DB3">
        <w:t xml:space="preserve"> </w:t>
      </w:r>
      <w:r w:rsidR="008C4DB3" w:rsidRPr="00717C8F">
        <w:t>In addition, the</w:t>
      </w:r>
      <w:r w:rsidR="008C4DB3">
        <w:rPr>
          <w:color w:val="000000"/>
          <w:szCs w:val="22"/>
        </w:rPr>
        <w:t xml:space="preserve"> </w:t>
      </w:r>
      <w:r w:rsidR="008C4DB3" w:rsidRPr="00717C8F">
        <w:t>Spectrum Act’s overarching goal of repurposing spectrum for uses other than</w:t>
      </w:r>
      <w:r w:rsidR="008C4DB3">
        <w:t xml:space="preserve"> </w:t>
      </w:r>
      <w:r w:rsidR="008C4DB3" w:rsidRPr="00717C8F">
        <w:t xml:space="preserve">broadcast television would </w:t>
      </w:r>
      <w:r w:rsidR="008C4DB3" w:rsidRPr="00717C8F">
        <w:lastRenderedPageBreak/>
        <w:t>be substantially impaired if LPTV stations could</w:t>
      </w:r>
      <w:r w:rsidR="008C4DB3">
        <w:t xml:space="preserve"> </w:t>
      </w:r>
      <w:r w:rsidR="008C4DB3" w:rsidRPr="00717C8F">
        <w:t>not be displaced where necessary to accommodate new uses for spectrum</w:t>
      </w:r>
      <w:r w:rsidR="008C4DB3">
        <w:t xml:space="preserve"> </w:t>
      </w:r>
      <w:r w:rsidR="008C4DB3" w:rsidRPr="00717C8F">
        <w:t>vacated by full-power and Class A broadcasters.</w:t>
      </w:r>
      <w:r w:rsidR="008C4DB3">
        <w:rPr>
          <w:color w:val="000000"/>
          <w:szCs w:val="22"/>
        </w:rPr>
        <w:t xml:space="preserve">  </w:t>
      </w:r>
      <w:r w:rsidR="00AA7F9C" w:rsidRPr="008C4DB3">
        <w:rPr>
          <w:color w:val="000000"/>
          <w:szCs w:val="22"/>
        </w:rPr>
        <w:t xml:space="preserve">The Commission has fully explained in the </w:t>
      </w:r>
      <w:r w:rsidR="00AA7F9C" w:rsidRPr="008C4DB3">
        <w:rPr>
          <w:i/>
          <w:color w:val="231F20"/>
          <w:szCs w:val="22"/>
        </w:rPr>
        <w:t>Incentive Auction R&amp;O</w:t>
      </w:r>
      <w:r w:rsidR="00AA7F9C" w:rsidRPr="008C4DB3">
        <w:rPr>
          <w:color w:val="231F20"/>
          <w:szCs w:val="22"/>
        </w:rPr>
        <w:t xml:space="preserve"> and the </w:t>
      </w:r>
      <w:r w:rsidR="00AA7F9C" w:rsidRPr="008C4DB3">
        <w:rPr>
          <w:i/>
          <w:color w:val="231F20"/>
          <w:szCs w:val="22"/>
        </w:rPr>
        <w:t>2015</w:t>
      </w:r>
      <w:r w:rsidR="00AA7F9C" w:rsidRPr="008C4DB3">
        <w:rPr>
          <w:color w:val="231F20"/>
          <w:szCs w:val="22"/>
        </w:rPr>
        <w:t xml:space="preserve"> </w:t>
      </w:r>
      <w:r w:rsidR="00AA7F9C" w:rsidRPr="008C4DB3">
        <w:rPr>
          <w:i/>
          <w:iCs/>
          <w:color w:val="231F20"/>
          <w:szCs w:val="22"/>
        </w:rPr>
        <w:t>Reconsideration</w:t>
      </w:r>
      <w:r w:rsidR="00AA7F9C" w:rsidRPr="00940DA3">
        <w:rPr>
          <w:color w:val="231F20"/>
          <w:szCs w:val="22"/>
        </w:rPr>
        <w:t xml:space="preserve"> </w:t>
      </w:r>
      <w:r w:rsidR="00AA7F9C" w:rsidRPr="00940DA3">
        <w:rPr>
          <w:i/>
          <w:color w:val="231F20"/>
          <w:szCs w:val="22"/>
        </w:rPr>
        <w:t>Order</w:t>
      </w:r>
      <w:r w:rsidR="00654EF4" w:rsidRPr="00940DA3">
        <w:rPr>
          <w:color w:val="000000"/>
          <w:szCs w:val="22"/>
        </w:rPr>
        <w:t xml:space="preserve"> </w:t>
      </w:r>
      <w:r w:rsidR="00AA7F9C" w:rsidRPr="00940DA3">
        <w:rPr>
          <w:color w:val="000000"/>
          <w:szCs w:val="22"/>
        </w:rPr>
        <w:t>its decision not to protect LPTV stations in the repacking process.</w:t>
      </w:r>
      <w:r w:rsidR="005C16B1">
        <w:rPr>
          <w:rStyle w:val="FootnoteReference"/>
          <w:szCs w:val="22"/>
        </w:rPr>
        <w:footnoteReference w:id="18"/>
      </w:r>
      <w:r w:rsidR="00AA7F9C" w:rsidRPr="008C4DB3">
        <w:rPr>
          <w:color w:val="000000"/>
          <w:szCs w:val="22"/>
        </w:rPr>
        <w:t xml:space="preserve">  Moreover, the Commission </w:t>
      </w:r>
      <w:r w:rsidR="00940DA3">
        <w:rPr>
          <w:color w:val="000000"/>
          <w:szCs w:val="22"/>
        </w:rPr>
        <w:t xml:space="preserve">has filed Briefs with the D.C. Circuit that fully </w:t>
      </w:r>
      <w:r w:rsidR="00AA7F9C" w:rsidRPr="008C4DB3">
        <w:rPr>
          <w:color w:val="000000"/>
          <w:szCs w:val="22"/>
        </w:rPr>
        <w:t xml:space="preserve">respond to and refute </w:t>
      </w:r>
      <w:r w:rsidR="00073C55" w:rsidRPr="008C4DB3">
        <w:rPr>
          <w:color w:val="000000"/>
          <w:szCs w:val="22"/>
        </w:rPr>
        <w:t xml:space="preserve">the </w:t>
      </w:r>
      <w:r w:rsidR="005C16B1" w:rsidRPr="008C4DB3">
        <w:rPr>
          <w:color w:val="000000"/>
          <w:szCs w:val="22"/>
        </w:rPr>
        <w:t xml:space="preserve">arguments </w:t>
      </w:r>
      <w:r w:rsidR="00073C55" w:rsidRPr="008C4DB3">
        <w:rPr>
          <w:color w:val="000000"/>
          <w:szCs w:val="22"/>
        </w:rPr>
        <w:t>made by Movants</w:t>
      </w:r>
      <w:r w:rsidR="00CE3200" w:rsidRPr="008C4DB3">
        <w:rPr>
          <w:color w:val="000000"/>
          <w:szCs w:val="22"/>
        </w:rPr>
        <w:t xml:space="preserve"> in their Stay Motion</w:t>
      </w:r>
      <w:r w:rsidR="005C16B1" w:rsidRPr="00940DA3">
        <w:rPr>
          <w:color w:val="000000"/>
          <w:szCs w:val="22"/>
        </w:rPr>
        <w:t>.</w:t>
      </w:r>
      <w:r w:rsidR="00073C55" w:rsidRPr="00BA54B4">
        <w:rPr>
          <w:rStyle w:val="FootnoteReference"/>
          <w:sz w:val="22"/>
          <w:szCs w:val="22"/>
        </w:rPr>
        <w:footnoteReference w:id="19"/>
      </w:r>
      <w:r w:rsidR="00940DA3">
        <w:rPr>
          <w:color w:val="000000"/>
          <w:szCs w:val="22"/>
        </w:rPr>
        <w:t xml:space="preserve">  </w:t>
      </w:r>
      <w:r w:rsidR="000A7E93">
        <w:rPr>
          <w:color w:val="000000"/>
          <w:szCs w:val="22"/>
        </w:rPr>
        <w:t>Accordingly, we conclude that the Movants</w:t>
      </w:r>
      <w:r w:rsidR="00940DA3">
        <w:rPr>
          <w:color w:val="000000"/>
          <w:szCs w:val="22"/>
        </w:rPr>
        <w:t xml:space="preserve"> have not demonstrated that they are likely to succeed on the merits.</w:t>
      </w:r>
      <w:r w:rsidR="00073C55" w:rsidRPr="008C4DB3">
        <w:rPr>
          <w:color w:val="000000"/>
          <w:szCs w:val="22"/>
        </w:rPr>
        <w:t xml:space="preserve"> </w:t>
      </w:r>
    </w:p>
    <w:p w14:paraId="6A65534B" w14:textId="48CAB339" w:rsidR="001E1D6C" w:rsidRPr="00BA54B4" w:rsidRDefault="00354B8E" w:rsidP="00CB0033">
      <w:pPr>
        <w:pStyle w:val="Heading2"/>
        <w:widowControl/>
        <w:tabs>
          <w:tab w:val="clear" w:pos="1440"/>
          <w:tab w:val="num" w:pos="2160"/>
        </w:tabs>
        <w:rPr>
          <w:color w:val="000000"/>
          <w:szCs w:val="22"/>
        </w:rPr>
      </w:pPr>
      <w:r w:rsidRPr="00BA54B4">
        <w:rPr>
          <w:color w:val="000000"/>
          <w:szCs w:val="22"/>
        </w:rPr>
        <w:t>Movants W</w:t>
      </w:r>
      <w:r w:rsidR="001E1D6C" w:rsidRPr="00BA54B4">
        <w:rPr>
          <w:color w:val="000000"/>
          <w:szCs w:val="22"/>
        </w:rPr>
        <w:t>ill Not Suffer Irreparable Injury</w:t>
      </w:r>
    </w:p>
    <w:p w14:paraId="692E7A5D" w14:textId="6B7029DB" w:rsidR="00073C55" w:rsidRPr="00F07823" w:rsidRDefault="00354B8E" w:rsidP="00CB0033">
      <w:pPr>
        <w:pStyle w:val="ParaNum"/>
        <w:widowControl/>
        <w:tabs>
          <w:tab w:val="num" w:pos="360"/>
        </w:tabs>
        <w:rPr>
          <w:color w:val="000000"/>
          <w:szCs w:val="22"/>
        </w:rPr>
      </w:pPr>
      <w:r w:rsidRPr="00BA54B4">
        <w:rPr>
          <w:color w:val="000000"/>
          <w:szCs w:val="22"/>
        </w:rPr>
        <w:t xml:space="preserve">Movants </w:t>
      </w:r>
      <w:r w:rsidR="001E1D6C" w:rsidRPr="00BA54B4">
        <w:rPr>
          <w:color w:val="000000"/>
          <w:szCs w:val="22"/>
        </w:rPr>
        <w:t>also ha</w:t>
      </w:r>
      <w:r w:rsidRPr="00BA54B4">
        <w:rPr>
          <w:color w:val="000000"/>
          <w:szCs w:val="22"/>
        </w:rPr>
        <w:t xml:space="preserve">ve </w:t>
      </w:r>
      <w:r w:rsidR="001E1D6C" w:rsidRPr="00BA54B4">
        <w:rPr>
          <w:color w:val="000000"/>
          <w:szCs w:val="22"/>
        </w:rPr>
        <w:t xml:space="preserve">failed to show that </w:t>
      </w:r>
      <w:r w:rsidRPr="00BA54B4">
        <w:rPr>
          <w:color w:val="000000"/>
          <w:szCs w:val="22"/>
        </w:rPr>
        <w:t>they</w:t>
      </w:r>
      <w:r w:rsidR="001E1D6C" w:rsidRPr="00BA54B4">
        <w:rPr>
          <w:color w:val="000000"/>
          <w:szCs w:val="22"/>
        </w:rPr>
        <w:t xml:space="preserve"> will suffer irreparable injury absent a grant of the Stay Petition.</w:t>
      </w:r>
      <w:r w:rsidR="001E1D6C" w:rsidRPr="00BA54B4">
        <w:rPr>
          <w:rStyle w:val="FootnoteReference"/>
          <w:color w:val="000000"/>
          <w:sz w:val="22"/>
          <w:szCs w:val="22"/>
        </w:rPr>
        <w:footnoteReference w:id="20"/>
      </w:r>
      <w:r w:rsidR="001E1D6C" w:rsidRPr="00BA54B4">
        <w:rPr>
          <w:color w:val="000000"/>
          <w:szCs w:val="22"/>
        </w:rPr>
        <w:t xml:space="preserve">  </w:t>
      </w:r>
      <w:r w:rsidR="008632C4">
        <w:rPr>
          <w:color w:val="000000"/>
          <w:szCs w:val="22"/>
        </w:rPr>
        <w:t xml:space="preserve">As an initial matter, </w:t>
      </w:r>
      <w:r w:rsidR="00073C55" w:rsidRPr="00BA54B4">
        <w:rPr>
          <w:color w:val="000000"/>
          <w:szCs w:val="22"/>
        </w:rPr>
        <w:t>Movants’ claims of irreparable</w:t>
      </w:r>
      <w:r w:rsidR="00073C55">
        <w:rPr>
          <w:color w:val="000000"/>
          <w:szCs w:val="22"/>
        </w:rPr>
        <w:t xml:space="preserve"> injury are </w:t>
      </w:r>
      <w:r w:rsidR="00BC5EA9">
        <w:rPr>
          <w:color w:val="000000"/>
          <w:szCs w:val="22"/>
        </w:rPr>
        <w:t xml:space="preserve">undermined </w:t>
      </w:r>
      <w:r w:rsidR="00073C55">
        <w:rPr>
          <w:color w:val="000000"/>
          <w:szCs w:val="22"/>
        </w:rPr>
        <w:t xml:space="preserve">by their tardiness in seeking a stay.  </w:t>
      </w:r>
      <w:r w:rsidR="009D6CEA">
        <w:rPr>
          <w:color w:val="000000"/>
          <w:szCs w:val="22"/>
        </w:rPr>
        <w:t>T</w:t>
      </w:r>
      <w:r w:rsidR="00DB2C87">
        <w:t xml:space="preserve">he Commission announced </w:t>
      </w:r>
      <w:r w:rsidR="00A55841">
        <w:rPr>
          <w:szCs w:val="22"/>
        </w:rPr>
        <w:t>on August 6, 2015</w:t>
      </w:r>
      <w:r w:rsidR="009D394D">
        <w:t xml:space="preserve"> </w:t>
      </w:r>
      <w:r w:rsidR="008632C4">
        <w:t xml:space="preserve">that the auction would commence on </w:t>
      </w:r>
      <w:r w:rsidR="00DB2C87" w:rsidRPr="00F07823">
        <w:rPr>
          <w:szCs w:val="22"/>
        </w:rPr>
        <w:t>March 29, 2016.</w:t>
      </w:r>
      <w:r w:rsidR="008632C4" w:rsidRPr="00F07823">
        <w:rPr>
          <w:rStyle w:val="FootnoteReference"/>
          <w:sz w:val="22"/>
          <w:szCs w:val="22"/>
        </w:rPr>
        <w:footnoteReference w:id="21"/>
      </w:r>
      <w:r w:rsidR="008632C4" w:rsidRPr="00F07823">
        <w:rPr>
          <w:szCs w:val="22"/>
        </w:rPr>
        <w:t xml:space="preserve">  </w:t>
      </w:r>
      <w:r w:rsidR="00A55841">
        <w:rPr>
          <w:color w:val="000000"/>
          <w:szCs w:val="22"/>
        </w:rPr>
        <w:t>Nevertheless</w:t>
      </w:r>
      <w:r w:rsidR="00DB2C87" w:rsidRPr="00F07823">
        <w:rPr>
          <w:color w:val="000000"/>
          <w:szCs w:val="22"/>
        </w:rPr>
        <w:t xml:space="preserve">, Movants </w:t>
      </w:r>
      <w:r w:rsidR="00A55841">
        <w:rPr>
          <w:color w:val="000000"/>
          <w:szCs w:val="22"/>
        </w:rPr>
        <w:t>waited to</w:t>
      </w:r>
      <w:r w:rsidR="00DB2C87" w:rsidRPr="00F07823">
        <w:rPr>
          <w:color w:val="000000"/>
          <w:szCs w:val="22"/>
        </w:rPr>
        <w:t xml:space="preserve"> file their Stay Motion until</w:t>
      </w:r>
      <w:r w:rsidR="008632C4" w:rsidRPr="00F07823">
        <w:rPr>
          <w:color w:val="000000"/>
          <w:szCs w:val="22"/>
        </w:rPr>
        <w:t xml:space="preserve"> March 1, 2016, </w:t>
      </w:r>
      <w:r w:rsidR="00113829" w:rsidRPr="00F07823">
        <w:rPr>
          <w:color w:val="000000"/>
          <w:szCs w:val="22"/>
        </w:rPr>
        <w:t xml:space="preserve">seven months (in the case of Mako) or </w:t>
      </w:r>
      <w:r w:rsidR="00DB2C87" w:rsidRPr="00F07823">
        <w:rPr>
          <w:color w:val="000000"/>
          <w:szCs w:val="22"/>
        </w:rPr>
        <w:t>five months (in the case of Free Access/WOGF) after filing their Petition</w:t>
      </w:r>
      <w:r w:rsidR="00DF6731">
        <w:rPr>
          <w:color w:val="000000"/>
          <w:szCs w:val="22"/>
        </w:rPr>
        <w:t>s</w:t>
      </w:r>
      <w:r w:rsidR="00DB2C87" w:rsidRPr="00F07823">
        <w:rPr>
          <w:color w:val="000000"/>
          <w:szCs w:val="22"/>
        </w:rPr>
        <w:t xml:space="preserve"> for Review</w:t>
      </w:r>
      <w:r w:rsidR="008632C4" w:rsidRPr="00F07823">
        <w:rPr>
          <w:color w:val="000000"/>
          <w:szCs w:val="22"/>
        </w:rPr>
        <w:t xml:space="preserve">, and </w:t>
      </w:r>
      <w:r w:rsidR="00DB2C87" w:rsidRPr="00F07823">
        <w:rPr>
          <w:color w:val="000000"/>
          <w:szCs w:val="22"/>
        </w:rPr>
        <w:t xml:space="preserve">just four weeks before the </w:t>
      </w:r>
      <w:r w:rsidR="00BA54B4" w:rsidRPr="00F07823">
        <w:rPr>
          <w:szCs w:val="22"/>
        </w:rPr>
        <w:t xml:space="preserve">incentive auction </w:t>
      </w:r>
      <w:r w:rsidR="008632C4" w:rsidRPr="00F07823">
        <w:rPr>
          <w:szCs w:val="22"/>
        </w:rPr>
        <w:t>is</w:t>
      </w:r>
      <w:r w:rsidR="00BA54B4" w:rsidRPr="00F07823">
        <w:rPr>
          <w:szCs w:val="22"/>
        </w:rPr>
        <w:t xml:space="preserve"> scheduled to begin</w:t>
      </w:r>
      <w:r w:rsidR="008632C4" w:rsidRPr="00F07823">
        <w:rPr>
          <w:szCs w:val="22"/>
        </w:rPr>
        <w:t xml:space="preserve">.  </w:t>
      </w:r>
      <w:r w:rsidR="00DF6731">
        <w:rPr>
          <w:szCs w:val="22"/>
        </w:rPr>
        <w:t xml:space="preserve">Moreover, Movants waited over three weeks after the Court denied their motion to expedite oral argument </w:t>
      </w:r>
      <w:r w:rsidR="00F07823" w:rsidRPr="00F07823">
        <w:rPr>
          <w:szCs w:val="22"/>
        </w:rPr>
        <w:t>to file the Stay Motion.</w:t>
      </w:r>
      <w:r w:rsidR="00DF6731" w:rsidRPr="00F07823">
        <w:rPr>
          <w:rStyle w:val="FootnoteReference"/>
          <w:sz w:val="22"/>
          <w:szCs w:val="22"/>
        </w:rPr>
        <w:footnoteReference w:id="22"/>
      </w:r>
      <w:r w:rsidR="00DF6731">
        <w:rPr>
          <w:szCs w:val="22"/>
        </w:rPr>
        <w:t xml:space="preserve">  </w:t>
      </w:r>
      <w:r w:rsidR="00AC48A8">
        <w:rPr>
          <w:szCs w:val="22"/>
        </w:rPr>
        <w:t>Movants offer no explanation for their tardiness.</w:t>
      </w:r>
      <w:r w:rsidR="008632C4" w:rsidRPr="00F07823">
        <w:rPr>
          <w:szCs w:val="22"/>
        </w:rPr>
        <w:t xml:space="preserve"> </w:t>
      </w:r>
      <w:r w:rsidR="00BA54B4" w:rsidRPr="00F07823">
        <w:rPr>
          <w:szCs w:val="22"/>
        </w:rPr>
        <w:t xml:space="preserve">   </w:t>
      </w:r>
      <w:r w:rsidR="00073C55" w:rsidRPr="00F07823">
        <w:rPr>
          <w:color w:val="000000"/>
          <w:szCs w:val="22"/>
        </w:rPr>
        <w:t xml:space="preserve">   </w:t>
      </w:r>
    </w:p>
    <w:p w14:paraId="39AC02EF" w14:textId="506733C6" w:rsidR="00741138" w:rsidRDefault="00DF6731" w:rsidP="00CB0033">
      <w:pPr>
        <w:pStyle w:val="ParaNum"/>
        <w:widowControl/>
        <w:tabs>
          <w:tab w:val="num" w:pos="360"/>
        </w:tabs>
        <w:rPr>
          <w:color w:val="000000"/>
          <w:szCs w:val="22"/>
        </w:rPr>
      </w:pPr>
      <w:r>
        <w:rPr>
          <w:color w:val="000000"/>
          <w:szCs w:val="22"/>
        </w:rPr>
        <w:t>Movants have not demonstrated that the alleged injury they will suffer is either certain or irreparable.</w:t>
      </w:r>
      <w:r w:rsidR="001E1D6C" w:rsidRPr="00701764">
        <w:rPr>
          <w:color w:val="000000"/>
          <w:szCs w:val="22"/>
        </w:rPr>
        <w:t xml:space="preserve">  </w:t>
      </w:r>
      <w:r w:rsidR="00931144" w:rsidRPr="00701764">
        <w:rPr>
          <w:color w:val="000000"/>
          <w:szCs w:val="22"/>
        </w:rPr>
        <w:t>Movants</w:t>
      </w:r>
      <w:r w:rsidR="00866064">
        <w:rPr>
          <w:color w:val="000000"/>
          <w:szCs w:val="22"/>
        </w:rPr>
        <w:t>’</w:t>
      </w:r>
      <w:r w:rsidR="00931144" w:rsidRPr="00701764">
        <w:rPr>
          <w:color w:val="000000"/>
          <w:szCs w:val="22"/>
        </w:rPr>
        <w:t xml:space="preserve"> </w:t>
      </w:r>
      <w:r w:rsidR="001E1D6C" w:rsidRPr="00701764">
        <w:rPr>
          <w:color w:val="000000"/>
          <w:szCs w:val="22"/>
        </w:rPr>
        <w:t xml:space="preserve">claim that </w:t>
      </w:r>
      <w:r w:rsidR="00701764">
        <w:rPr>
          <w:color w:val="000000"/>
          <w:szCs w:val="22"/>
        </w:rPr>
        <w:t xml:space="preserve">the auction </w:t>
      </w:r>
      <w:r w:rsidR="00701764" w:rsidRPr="00701764">
        <w:rPr>
          <w:color w:val="231F20"/>
          <w:szCs w:val="22"/>
        </w:rPr>
        <w:t>“will eliminate the channels currently used by countless LPTV stations [and] forc[e] many if not most larger-market LPTV licensees to shut down</w:t>
      </w:r>
      <w:r w:rsidR="00701764">
        <w:rPr>
          <w:color w:val="231F20"/>
          <w:szCs w:val="22"/>
        </w:rPr>
        <w:t>”</w:t>
      </w:r>
      <w:r w:rsidR="00866064">
        <w:rPr>
          <w:color w:val="231F20"/>
          <w:szCs w:val="22"/>
        </w:rPr>
        <w:t xml:space="preserve"> is speculative.</w:t>
      </w:r>
      <w:r w:rsidR="001E1D6C" w:rsidRPr="00701764">
        <w:rPr>
          <w:rStyle w:val="FootnoteReference"/>
          <w:color w:val="000000"/>
          <w:sz w:val="22"/>
          <w:szCs w:val="22"/>
        </w:rPr>
        <w:footnoteReference w:id="23"/>
      </w:r>
      <w:r w:rsidR="001E1D6C" w:rsidRPr="00701764">
        <w:rPr>
          <w:szCs w:val="22"/>
        </w:rPr>
        <w:t xml:space="preserve"> </w:t>
      </w:r>
      <w:r w:rsidR="00866064">
        <w:rPr>
          <w:szCs w:val="22"/>
        </w:rPr>
        <w:t xml:space="preserve"> T</w:t>
      </w:r>
      <w:r w:rsidR="00E41636">
        <w:rPr>
          <w:color w:val="000000"/>
          <w:szCs w:val="22"/>
        </w:rPr>
        <w:t>he likelihood that individual LPTV station</w:t>
      </w:r>
      <w:r w:rsidR="00866064">
        <w:rPr>
          <w:color w:val="000000"/>
          <w:szCs w:val="22"/>
        </w:rPr>
        <w:t>s in which Movants have interests</w:t>
      </w:r>
      <w:r w:rsidR="00E41636">
        <w:rPr>
          <w:color w:val="000000"/>
          <w:szCs w:val="22"/>
        </w:rPr>
        <w:t xml:space="preserve"> will be </w:t>
      </w:r>
      <w:r w:rsidR="001E1D6C" w:rsidRPr="00701764">
        <w:rPr>
          <w:color w:val="000000"/>
          <w:szCs w:val="22"/>
        </w:rPr>
        <w:lastRenderedPageBreak/>
        <w:t>displace</w:t>
      </w:r>
      <w:r w:rsidR="00E41636">
        <w:rPr>
          <w:color w:val="000000"/>
          <w:szCs w:val="22"/>
        </w:rPr>
        <w:t>d</w:t>
      </w:r>
      <w:r w:rsidR="001E1D6C" w:rsidRPr="00701764">
        <w:rPr>
          <w:color w:val="000000"/>
          <w:szCs w:val="22"/>
        </w:rPr>
        <w:t xml:space="preserve"> depends on </w:t>
      </w:r>
      <w:r w:rsidR="00BC5EA9">
        <w:rPr>
          <w:color w:val="000000"/>
          <w:szCs w:val="22"/>
        </w:rPr>
        <w:t xml:space="preserve">several </w:t>
      </w:r>
      <w:r w:rsidR="001E1D6C" w:rsidRPr="00701764">
        <w:rPr>
          <w:color w:val="000000"/>
          <w:szCs w:val="22"/>
        </w:rPr>
        <w:t>factors</w:t>
      </w:r>
      <w:r w:rsidR="00BC5EA9">
        <w:rPr>
          <w:color w:val="000000"/>
          <w:szCs w:val="22"/>
        </w:rPr>
        <w:t>,</w:t>
      </w:r>
      <w:r w:rsidR="001E1D6C" w:rsidRPr="00701764">
        <w:rPr>
          <w:color w:val="000000"/>
          <w:szCs w:val="22"/>
        </w:rPr>
        <w:t xml:space="preserve"> such as </w:t>
      </w:r>
      <w:r w:rsidR="001E1D6C" w:rsidRPr="00701764">
        <w:rPr>
          <w:snapToGrid/>
          <w:color w:val="000000"/>
          <w:szCs w:val="22"/>
        </w:rPr>
        <w:t>broadcaster participation levels in the reverse auction, the amount of spectrum that the auction clears, the individual channel reassignments made to repacked broadcasters, and whether auction closing conditions are satisfied</w:t>
      </w:r>
      <w:r w:rsidR="001E1D6C" w:rsidRPr="00701764">
        <w:rPr>
          <w:color w:val="000000"/>
          <w:szCs w:val="22"/>
        </w:rPr>
        <w:t>.</w:t>
      </w:r>
      <w:r w:rsidR="001E1D6C" w:rsidRPr="00701764">
        <w:rPr>
          <w:rStyle w:val="FootnoteReference"/>
          <w:color w:val="000000"/>
          <w:sz w:val="22"/>
          <w:szCs w:val="22"/>
        </w:rPr>
        <w:footnoteReference w:id="24"/>
      </w:r>
      <w:r w:rsidR="001E1D6C" w:rsidRPr="00701764">
        <w:rPr>
          <w:color w:val="000000"/>
          <w:szCs w:val="22"/>
        </w:rPr>
        <w:t xml:space="preserve">  </w:t>
      </w:r>
      <w:r w:rsidR="0003387D" w:rsidRPr="001E1D6C">
        <w:rPr>
          <w:color w:val="000000"/>
          <w:szCs w:val="22"/>
        </w:rPr>
        <w:t>I</w:t>
      </w:r>
      <w:r w:rsidR="0003387D">
        <w:rPr>
          <w:color w:val="000000"/>
          <w:szCs w:val="22"/>
        </w:rPr>
        <w:t>f</w:t>
      </w:r>
      <w:r w:rsidR="0003387D" w:rsidRPr="001E1D6C">
        <w:rPr>
          <w:color w:val="000000"/>
          <w:szCs w:val="22"/>
        </w:rPr>
        <w:t xml:space="preserve"> </w:t>
      </w:r>
      <w:r w:rsidR="0003387D">
        <w:rPr>
          <w:color w:val="000000"/>
          <w:szCs w:val="22"/>
        </w:rPr>
        <w:t>an LPTV station</w:t>
      </w:r>
      <w:r w:rsidR="0003387D" w:rsidRPr="001E1D6C">
        <w:rPr>
          <w:color w:val="000000"/>
          <w:szCs w:val="22"/>
        </w:rPr>
        <w:t xml:space="preserve"> is displaced, it will be able to </w:t>
      </w:r>
      <w:r w:rsidR="0003387D">
        <w:rPr>
          <w:color w:val="000000"/>
          <w:szCs w:val="22"/>
        </w:rPr>
        <w:t>seek</w:t>
      </w:r>
      <w:r w:rsidR="0003387D" w:rsidRPr="001E1D6C">
        <w:rPr>
          <w:color w:val="000000"/>
          <w:szCs w:val="22"/>
        </w:rPr>
        <w:t xml:space="preserve"> a replacement channel.</w:t>
      </w:r>
      <w:r w:rsidR="0003387D" w:rsidRPr="001E1D6C">
        <w:rPr>
          <w:rStyle w:val="FootnoteReference"/>
          <w:color w:val="000000"/>
          <w:sz w:val="22"/>
          <w:szCs w:val="22"/>
        </w:rPr>
        <w:footnoteReference w:id="25"/>
      </w:r>
      <w:r w:rsidR="0003387D">
        <w:rPr>
          <w:color w:val="000000"/>
          <w:szCs w:val="22"/>
        </w:rPr>
        <w:t xml:space="preserve">  The Commission </w:t>
      </w:r>
      <w:r w:rsidR="0003387D" w:rsidRPr="001E1D6C">
        <w:rPr>
          <w:color w:val="000000"/>
          <w:szCs w:val="22"/>
        </w:rPr>
        <w:t xml:space="preserve">has </w:t>
      </w:r>
      <w:r w:rsidR="0003387D">
        <w:rPr>
          <w:color w:val="000000"/>
          <w:szCs w:val="22"/>
        </w:rPr>
        <w:t>adopted a number of measures to facilitate displaced LPTV</w:t>
      </w:r>
      <w:r w:rsidR="0003387D" w:rsidRPr="001E1D6C">
        <w:rPr>
          <w:color w:val="000000"/>
          <w:szCs w:val="22"/>
        </w:rPr>
        <w:t xml:space="preserve"> </w:t>
      </w:r>
      <w:r w:rsidR="0003387D">
        <w:rPr>
          <w:color w:val="000000"/>
          <w:szCs w:val="22"/>
        </w:rPr>
        <w:t>stations’ efforts to find replacement channels</w:t>
      </w:r>
      <w:r w:rsidR="0003387D" w:rsidRPr="001E1D6C">
        <w:rPr>
          <w:color w:val="000000"/>
          <w:szCs w:val="22"/>
        </w:rPr>
        <w:t>.</w:t>
      </w:r>
      <w:r w:rsidR="0003387D">
        <w:rPr>
          <w:rStyle w:val="FootnoteReference"/>
          <w:szCs w:val="22"/>
        </w:rPr>
        <w:footnoteReference w:id="26"/>
      </w:r>
      <w:r w:rsidR="007C4159">
        <w:rPr>
          <w:color w:val="000000"/>
          <w:szCs w:val="22"/>
        </w:rPr>
        <w:t xml:space="preserve">   </w:t>
      </w:r>
      <w:r w:rsidR="0003387D">
        <w:rPr>
          <w:color w:val="000000"/>
          <w:szCs w:val="22"/>
        </w:rPr>
        <w:t xml:space="preserve"> </w:t>
      </w:r>
      <w:r w:rsidR="005E00A9">
        <w:rPr>
          <w:color w:val="000000"/>
          <w:szCs w:val="22"/>
        </w:rPr>
        <w:t xml:space="preserve">  </w:t>
      </w:r>
    </w:p>
    <w:p w14:paraId="4C395F6E" w14:textId="7EAFF25B" w:rsidR="00087AE9" w:rsidRPr="00A7026C" w:rsidRDefault="00741138" w:rsidP="00CB0033">
      <w:pPr>
        <w:pStyle w:val="ParaNum"/>
        <w:widowControl/>
        <w:tabs>
          <w:tab w:val="num" w:pos="360"/>
        </w:tabs>
        <w:rPr>
          <w:color w:val="000000"/>
          <w:szCs w:val="22"/>
        </w:rPr>
      </w:pPr>
      <w:r>
        <w:rPr>
          <w:color w:val="000000"/>
          <w:szCs w:val="22"/>
        </w:rPr>
        <w:t>In addition</w:t>
      </w:r>
      <w:r w:rsidR="005E00A9">
        <w:rPr>
          <w:color w:val="000000"/>
          <w:szCs w:val="22"/>
        </w:rPr>
        <w:t xml:space="preserve">, </w:t>
      </w:r>
      <w:r w:rsidR="00996415">
        <w:rPr>
          <w:color w:val="000000"/>
          <w:szCs w:val="22"/>
        </w:rPr>
        <w:t>Movants have not demonstrated that the alleged injury is irreparable.</w:t>
      </w:r>
      <w:r w:rsidR="00CE014A">
        <w:rPr>
          <w:color w:val="000000"/>
          <w:szCs w:val="22"/>
        </w:rPr>
        <w:t xml:space="preserve">  Allowing the auction to go forward on March 29 will not defeat the power of the Court to grant adequate relief at a later date.</w:t>
      </w:r>
      <w:r w:rsidR="00CE014A" w:rsidRPr="001E1D6C">
        <w:rPr>
          <w:rStyle w:val="FootnoteReference"/>
          <w:color w:val="000000"/>
          <w:sz w:val="22"/>
          <w:szCs w:val="22"/>
        </w:rPr>
        <w:footnoteReference w:id="27"/>
      </w:r>
      <w:r w:rsidR="00996415">
        <w:rPr>
          <w:color w:val="000000"/>
          <w:szCs w:val="22"/>
        </w:rPr>
        <w:t xml:space="preserve">  </w:t>
      </w:r>
      <w:r w:rsidR="0007224D">
        <w:rPr>
          <w:color w:val="000000"/>
          <w:szCs w:val="22"/>
        </w:rPr>
        <w:t>T</w:t>
      </w:r>
      <w:r w:rsidR="008B1672">
        <w:rPr>
          <w:color w:val="000000"/>
          <w:szCs w:val="22"/>
        </w:rPr>
        <w:t>he repacking process will not become effective until after the auction is complete</w:t>
      </w:r>
      <w:r w:rsidR="00CE014A">
        <w:rPr>
          <w:color w:val="000000"/>
          <w:szCs w:val="22"/>
        </w:rPr>
        <w:t>, which may take months</w:t>
      </w:r>
      <w:r w:rsidR="008B1672">
        <w:rPr>
          <w:color w:val="000000"/>
          <w:szCs w:val="22"/>
        </w:rPr>
        <w:t>.</w:t>
      </w:r>
      <w:r w:rsidR="008B1672">
        <w:rPr>
          <w:rStyle w:val="FootnoteReference"/>
          <w:szCs w:val="22"/>
        </w:rPr>
        <w:footnoteReference w:id="28"/>
      </w:r>
      <w:r w:rsidR="008B1672">
        <w:rPr>
          <w:color w:val="000000"/>
          <w:szCs w:val="22"/>
        </w:rPr>
        <w:t xml:space="preserve">  The subsequent transition process will take </w:t>
      </w:r>
      <w:r w:rsidR="00CE014A">
        <w:rPr>
          <w:color w:val="000000"/>
          <w:szCs w:val="22"/>
        </w:rPr>
        <w:t xml:space="preserve">an additional </w:t>
      </w:r>
      <w:r w:rsidR="008B1672">
        <w:rPr>
          <w:color w:val="000000"/>
          <w:szCs w:val="22"/>
        </w:rPr>
        <w:t>39 months,</w:t>
      </w:r>
      <w:r w:rsidR="00CE014A">
        <w:rPr>
          <w:rStyle w:val="FootnoteReference"/>
          <w:szCs w:val="22"/>
        </w:rPr>
        <w:footnoteReference w:id="29"/>
      </w:r>
      <w:r w:rsidR="008B1672">
        <w:rPr>
          <w:color w:val="000000"/>
          <w:szCs w:val="22"/>
        </w:rPr>
        <w:t xml:space="preserve"> </w:t>
      </w:r>
      <w:r w:rsidR="006419D8" w:rsidRPr="00B05510">
        <w:rPr>
          <w:color w:val="000000" w:themeColor="text1"/>
          <w:szCs w:val="22"/>
        </w:rPr>
        <w:t>and during that period displaced LPTV stations will not be required to cease operations on their current channels until notified by a primary licensee that it is ready to use the spectrum</w:t>
      </w:r>
      <w:r w:rsidR="008B1672">
        <w:rPr>
          <w:color w:val="000000" w:themeColor="text1"/>
          <w:szCs w:val="22"/>
        </w:rPr>
        <w:t>.</w:t>
      </w:r>
      <w:r w:rsidR="008B1672">
        <w:rPr>
          <w:rStyle w:val="FootnoteReference"/>
          <w:szCs w:val="22"/>
        </w:rPr>
        <w:footnoteReference w:id="30"/>
      </w:r>
      <w:r w:rsidR="00CE014A">
        <w:rPr>
          <w:color w:val="000000" w:themeColor="text1"/>
          <w:szCs w:val="22"/>
        </w:rPr>
        <w:t xml:space="preserve">  </w:t>
      </w:r>
      <w:r w:rsidR="0007224D">
        <w:rPr>
          <w:color w:val="000000" w:themeColor="text1"/>
          <w:szCs w:val="22"/>
        </w:rPr>
        <w:t>Thus</w:t>
      </w:r>
      <w:r w:rsidR="00CE014A">
        <w:rPr>
          <w:color w:val="000000" w:themeColor="text1"/>
          <w:szCs w:val="22"/>
        </w:rPr>
        <w:t xml:space="preserve">, the repacking </w:t>
      </w:r>
      <w:r w:rsidR="00AD071D">
        <w:rPr>
          <w:color w:val="000000" w:themeColor="text1"/>
          <w:szCs w:val="22"/>
        </w:rPr>
        <w:t xml:space="preserve">will not be implemented until long after </w:t>
      </w:r>
      <w:r w:rsidR="00CE014A">
        <w:rPr>
          <w:color w:val="000000" w:themeColor="text1"/>
          <w:szCs w:val="22"/>
        </w:rPr>
        <w:t>the Court hears oral argument in May</w:t>
      </w:r>
      <w:r w:rsidR="000E6956">
        <w:rPr>
          <w:color w:val="000000" w:themeColor="text1"/>
          <w:szCs w:val="22"/>
        </w:rPr>
        <w:t>.</w:t>
      </w:r>
      <w:r w:rsidR="00CE014A">
        <w:rPr>
          <w:rStyle w:val="FootnoteReference"/>
          <w:szCs w:val="22"/>
        </w:rPr>
        <w:t xml:space="preserve"> </w:t>
      </w:r>
      <w:r w:rsidR="00CE014A">
        <w:rPr>
          <w:color w:val="000000"/>
          <w:szCs w:val="22"/>
        </w:rPr>
        <w:t xml:space="preserve">  </w:t>
      </w:r>
    </w:p>
    <w:p w14:paraId="626C9B7E" w14:textId="77777777" w:rsidR="001E1D6C" w:rsidRPr="00A7026C" w:rsidRDefault="001E1D6C" w:rsidP="00CB0033">
      <w:pPr>
        <w:pStyle w:val="Heading2"/>
        <w:widowControl/>
        <w:tabs>
          <w:tab w:val="clear" w:pos="1440"/>
          <w:tab w:val="num" w:pos="2160"/>
        </w:tabs>
        <w:rPr>
          <w:color w:val="000000"/>
          <w:szCs w:val="22"/>
        </w:rPr>
      </w:pPr>
      <w:r w:rsidRPr="00A7026C">
        <w:rPr>
          <w:color w:val="000000"/>
          <w:szCs w:val="22"/>
        </w:rPr>
        <w:t>The Requested Stay Will Result in Harm to Others and is Contrary to the Public Interest</w:t>
      </w:r>
    </w:p>
    <w:p w14:paraId="7650CC97" w14:textId="573CA2B9" w:rsidR="00485BF8" w:rsidRPr="006F70B0" w:rsidRDefault="001765CA" w:rsidP="00701764">
      <w:pPr>
        <w:pStyle w:val="ParaNum"/>
        <w:widowControl/>
        <w:tabs>
          <w:tab w:val="num" w:pos="360"/>
        </w:tabs>
        <w:rPr>
          <w:color w:val="000000"/>
          <w:szCs w:val="22"/>
        </w:rPr>
      </w:pPr>
      <w:r w:rsidRPr="00A7026C">
        <w:rPr>
          <w:color w:val="000000"/>
          <w:szCs w:val="22"/>
        </w:rPr>
        <w:t>Movants have f</w:t>
      </w:r>
      <w:r w:rsidR="001E1D6C" w:rsidRPr="00A7026C">
        <w:rPr>
          <w:color w:val="000000"/>
          <w:szCs w:val="22"/>
        </w:rPr>
        <w:t xml:space="preserve">ailed to demonstrate that </w:t>
      </w:r>
      <w:r w:rsidR="00E64311" w:rsidRPr="00A7026C">
        <w:rPr>
          <w:color w:val="000000"/>
          <w:szCs w:val="22"/>
        </w:rPr>
        <w:t>their re</w:t>
      </w:r>
      <w:r w:rsidR="00E64311" w:rsidRPr="00A7026C">
        <w:rPr>
          <w:snapToGrid/>
          <w:kern w:val="0"/>
          <w:szCs w:val="22"/>
        </w:rPr>
        <w:t xml:space="preserve">quest to stay </w:t>
      </w:r>
      <w:r w:rsidR="00E64311" w:rsidRPr="00A7026C">
        <w:rPr>
          <w:color w:val="231F20"/>
          <w:szCs w:val="22"/>
        </w:rPr>
        <w:t xml:space="preserve">implementation of the </w:t>
      </w:r>
      <w:r w:rsidR="00E64311" w:rsidRPr="00A7026C">
        <w:rPr>
          <w:i/>
          <w:color w:val="231F20"/>
          <w:szCs w:val="22"/>
        </w:rPr>
        <w:t>Incentive Auction R&amp;O</w:t>
      </w:r>
      <w:r w:rsidR="00E64311" w:rsidRPr="00A7026C">
        <w:rPr>
          <w:color w:val="231F20"/>
          <w:szCs w:val="22"/>
        </w:rPr>
        <w:t xml:space="preserve"> and the </w:t>
      </w:r>
      <w:r w:rsidR="00E64311" w:rsidRPr="00A7026C">
        <w:rPr>
          <w:i/>
          <w:color w:val="231F20"/>
          <w:szCs w:val="22"/>
        </w:rPr>
        <w:t>2015</w:t>
      </w:r>
      <w:r w:rsidR="00E64311" w:rsidRPr="006F70B0">
        <w:rPr>
          <w:color w:val="231F20"/>
          <w:szCs w:val="22"/>
        </w:rPr>
        <w:t xml:space="preserve"> </w:t>
      </w:r>
      <w:r w:rsidR="00E64311" w:rsidRPr="006F70B0">
        <w:rPr>
          <w:i/>
          <w:iCs/>
          <w:color w:val="231F20"/>
          <w:szCs w:val="22"/>
        </w:rPr>
        <w:t>Reconsideration</w:t>
      </w:r>
      <w:r w:rsidR="00E64311" w:rsidRPr="006F70B0">
        <w:rPr>
          <w:color w:val="231F20"/>
          <w:szCs w:val="22"/>
        </w:rPr>
        <w:t xml:space="preserve"> </w:t>
      </w:r>
      <w:r w:rsidR="00E64311" w:rsidRPr="006F70B0">
        <w:rPr>
          <w:i/>
          <w:color w:val="231F20"/>
          <w:szCs w:val="22"/>
        </w:rPr>
        <w:t>Order</w:t>
      </w:r>
      <w:r w:rsidR="00E64311">
        <w:rPr>
          <w:i/>
          <w:color w:val="231F20"/>
          <w:szCs w:val="22"/>
        </w:rPr>
        <w:t xml:space="preserve"> </w:t>
      </w:r>
      <w:r w:rsidR="001E1D6C" w:rsidRPr="006F70B0">
        <w:rPr>
          <w:color w:val="000000"/>
          <w:szCs w:val="22"/>
        </w:rPr>
        <w:t>will not harm third parties and will serve the public interest.</w:t>
      </w:r>
      <w:r w:rsidR="00F336D3" w:rsidRPr="006F70B0">
        <w:rPr>
          <w:color w:val="000000"/>
          <w:szCs w:val="22"/>
        </w:rPr>
        <w:t xml:space="preserve">  </w:t>
      </w:r>
      <w:r w:rsidR="00E64311">
        <w:rPr>
          <w:color w:val="000000"/>
          <w:szCs w:val="22"/>
        </w:rPr>
        <w:t xml:space="preserve">In fact, their requested stay, which </w:t>
      </w:r>
      <w:r w:rsidR="006F70B0" w:rsidRPr="006F70B0">
        <w:rPr>
          <w:color w:val="231F20"/>
          <w:szCs w:val="22"/>
        </w:rPr>
        <w:t xml:space="preserve">would have the effect of staying the auction </w:t>
      </w:r>
      <w:r w:rsidR="006F70B0" w:rsidRPr="006F70B0">
        <w:rPr>
          <w:snapToGrid/>
          <w:kern w:val="0"/>
          <w:szCs w:val="22"/>
        </w:rPr>
        <w:t>pending judicial review</w:t>
      </w:r>
      <w:r w:rsidR="00E64311">
        <w:rPr>
          <w:snapToGrid/>
          <w:kern w:val="0"/>
          <w:szCs w:val="22"/>
        </w:rPr>
        <w:t>,</w:t>
      </w:r>
      <w:r w:rsidR="006F70B0" w:rsidRPr="006F70B0">
        <w:rPr>
          <w:snapToGrid/>
          <w:kern w:val="0"/>
          <w:szCs w:val="22"/>
        </w:rPr>
        <w:t xml:space="preserve"> </w:t>
      </w:r>
      <w:r w:rsidR="006F70B0" w:rsidRPr="006F70B0">
        <w:rPr>
          <w:color w:val="000000"/>
          <w:szCs w:val="22"/>
        </w:rPr>
        <w:t>would disserve the public interest.</w:t>
      </w:r>
      <w:r w:rsidR="006F70B0">
        <w:rPr>
          <w:rStyle w:val="FootnoteReference"/>
          <w:szCs w:val="22"/>
        </w:rPr>
        <w:footnoteReference w:id="31"/>
      </w:r>
      <w:r w:rsidR="006F70B0">
        <w:rPr>
          <w:color w:val="000000"/>
          <w:szCs w:val="22"/>
        </w:rPr>
        <w:t xml:space="preserve">  A</w:t>
      </w:r>
      <w:r w:rsidR="001E1D6C" w:rsidRPr="006F70B0">
        <w:rPr>
          <w:color w:val="000000"/>
          <w:szCs w:val="22"/>
        </w:rPr>
        <w:t xml:space="preserve">s the Commission explained in the </w:t>
      </w:r>
      <w:r w:rsidR="001E1D6C" w:rsidRPr="006F70B0">
        <w:rPr>
          <w:i/>
          <w:color w:val="000000"/>
          <w:szCs w:val="22"/>
        </w:rPr>
        <w:t xml:space="preserve">Incentive </w:t>
      </w:r>
      <w:r w:rsidR="001E1D6C" w:rsidRPr="006F70B0">
        <w:rPr>
          <w:i/>
          <w:color w:val="000000"/>
          <w:szCs w:val="22"/>
        </w:rPr>
        <w:lastRenderedPageBreak/>
        <w:t>Auction NPRM</w:t>
      </w:r>
      <w:r w:rsidR="001E1D6C" w:rsidRPr="006F70B0">
        <w:rPr>
          <w:color w:val="000000"/>
          <w:szCs w:val="22"/>
        </w:rPr>
        <w:t>, “</w:t>
      </w:r>
      <w:r w:rsidR="001E1D6C" w:rsidRPr="005C1CFC">
        <w:t xml:space="preserve">[o]ur country faces a major challenge to ensure that the speed, capacity, and accessibility of our wireless networks keeps </w:t>
      </w:r>
      <w:r w:rsidR="001E1D6C" w:rsidRPr="006F70B0">
        <w:rPr>
          <w:szCs w:val="22"/>
        </w:rPr>
        <w:t>pace with these demands in the years ahead, so the networks can support the critical economic, public safety, health care, and other activities that increasingly rely on them.  Meeting this challenge is essential to continuing U.S. leadership in technological innovation, growing our economy, and maintaining our global competitiveness.”</w:t>
      </w:r>
      <w:r w:rsidR="001E1D6C" w:rsidRPr="00760E1A">
        <w:rPr>
          <w:rStyle w:val="FootnoteReference"/>
          <w:sz w:val="22"/>
          <w:szCs w:val="22"/>
        </w:rPr>
        <w:footnoteReference w:id="32"/>
      </w:r>
      <w:r w:rsidR="001E1D6C" w:rsidRPr="006F70B0">
        <w:rPr>
          <w:szCs w:val="22"/>
        </w:rPr>
        <w:t xml:space="preserve">  The Commission has accordingly devoted considerable time and resources since the enactment of the Spectrum Act to preparing for the</w:t>
      </w:r>
      <w:r w:rsidR="00DC7D4E" w:rsidRPr="006F70B0">
        <w:rPr>
          <w:szCs w:val="22"/>
        </w:rPr>
        <w:t xml:space="preserve"> reverse auction, as well as the forward auction to sell repurposed broadcast spectrum to new, flexible-use licensees for providing mobile broadband services</w:t>
      </w:r>
      <w:r w:rsidR="001E1D6C" w:rsidRPr="006F70B0">
        <w:rPr>
          <w:szCs w:val="22"/>
        </w:rPr>
        <w:t>—an unprecedented proceeding involving numerous complex and highly technical issues, representing the culmination of four years of work by the Commission and dozens of members of its staff, with significant ramifications for the nation’s economy and consumers.</w:t>
      </w:r>
      <w:r w:rsidR="001E1D6C" w:rsidRPr="00760E1A">
        <w:rPr>
          <w:rStyle w:val="FootnoteReference"/>
          <w:sz w:val="22"/>
          <w:szCs w:val="22"/>
        </w:rPr>
        <w:footnoteReference w:id="33"/>
      </w:r>
      <w:r w:rsidR="001E1D6C" w:rsidRPr="006F70B0">
        <w:rPr>
          <w:szCs w:val="22"/>
        </w:rPr>
        <w:t xml:space="preserve">  </w:t>
      </w:r>
      <w:r w:rsidR="0092541F">
        <w:rPr>
          <w:szCs w:val="22"/>
        </w:rPr>
        <w:t>A</w:t>
      </w:r>
      <w:r w:rsidR="0092541F" w:rsidRPr="00760E1A">
        <w:rPr>
          <w:szCs w:val="22"/>
        </w:rPr>
        <w:t xml:space="preserve"> delay would</w:t>
      </w:r>
      <w:r w:rsidR="0092541F">
        <w:rPr>
          <w:szCs w:val="22"/>
        </w:rPr>
        <w:t xml:space="preserve"> </w:t>
      </w:r>
      <w:r w:rsidR="0092541F" w:rsidRPr="00760E1A">
        <w:rPr>
          <w:szCs w:val="22"/>
        </w:rPr>
        <w:t xml:space="preserve">disserve </w:t>
      </w:r>
      <w:r w:rsidR="0092541F">
        <w:rPr>
          <w:szCs w:val="22"/>
        </w:rPr>
        <w:t xml:space="preserve">consumers as well as </w:t>
      </w:r>
      <w:r w:rsidR="0092541F" w:rsidRPr="00760E1A">
        <w:rPr>
          <w:szCs w:val="22"/>
        </w:rPr>
        <w:t xml:space="preserve">eligible entities </w:t>
      </w:r>
      <w:r w:rsidR="0092541F" w:rsidRPr="00F336D3">
        <w:rPr>
          <w:szCs w:val="22"/>
        </w:rPr>
        <w:t>w</w:t>
      </w:r>
      <w:r w:rsidR="0092541F" w:rsidRPr="00F336D3">
        <w:rPr>
          <w:color w:val="000000"/>
          <w:szCs w:val="22"/>
        </w:rPr>
        <w:t>ho have made extensive preparations for the auction based on the current schedule</w:t>
      </w:r>
      <w:r w:rsidR="0092541F" w:rsidRPr="00F336D3">
        <w:rPr>
          <w:szCs w:val="22"/>
        </w:rPr>
        <w:t>, including securing financing and deferring other business plans.</w:t>
      </w:r>
      <w:r w:rsidR="0092541F" w:rsidRPr="00760E1A">
        <w:rPr>
          <w:rStyle w:val="FootnoteReference"/>
          <w:sz w:val="22"/>
          <w:szCs w:val="22"/>
        </w:rPr>
        <w:footnoteReference w:id="34"/>
      </w:r>
    </w:p>
    <w:p w14:paraId="7B960C42" w14:textId="68915C77" w:rsidR="001E1D6C" w:rsidRPr="00322A12" w:rsidRDefault="0092541F" w:rsidP="00701764">
      <w:pPr>
        <w:pStyle w:val="ParaNum"/>
        <w:widowControl/>
        <w:tabs>
          <w:tab w:val="num" w:pos="360"/>
        </w:tabs>
        <w:rPr>
          <w:color w:val="000000"/>
          <w:szCs w:val="22"/>
        </w:rPr>
      </w:pPr>
      <w:r>
        <w:rPr>
          <w:szCs w:val="22"/>
        </w:rPr>
        <w:t xml:space="preserve">Movants </w:t>
      </w:r>
      <w:r w:rsidR="00602298">
        <w:rPr>
          <w:szCs w:val="22"/>
        </w:rPr>
        <w:t xml:space="preserve">also </w:t>
      </w:r>
      <w:r w:rsidRPr="00F336D3">
        <w:rPr>
          <w:szCs w:val="22"/>
        </w:rPr>
        <w:t>understate the de</w:t>
      </w:r>
      <w:r>
        <w:rPr>
          <w:szCs w:val="22"/>
        </w:rPr>
        <w:t>lay and disruption entailed by the</w:t>
      </w:r>
      <w:r w:rsidRPr="00F336D3">
        <w:rPr>
          <w:szCs w:val="22"/>
        </w:rPr>
        <w:t xml:space="preserve"> stay</w:t>
      </w:r>
      <w:r>
        <w:rPr>
          <w:szCs w:val="22"/>
        </w:rPr>
        <w:t xml:space="preserve"> they request</w:t>
      </w:r>
      <w:r w:rsidRPr="00F336D3">
        <w:rPr>
          <w:szCs w:val="22"/>
        </w:rPr>
        <w:t>.</w:t>
      </w:r>
      <w:r>
        <w:rPr>
          <w:rStyle w:val="FootnoteReference"/>
          <w:szCs w:val="22"/>
        </w:rPr>
        <w:footnoteReference w:id="35"/>
      </w:r>
      <w:r>
        <w:rPr>
          <w:szCs w:val="22"/>
        </w:rPr>
        <w:t xml:space="preserve">  </w:t>
      </w:r>
      <w:r w:rsidR="001E1D6C" w:rsidRPr="00F336D3">
        <w:rPr>
          <w:szCs w:val="22"/>
        </w:rPr>
        <w:t xml:space="preserve">The beginning of the auction is now only </w:t>
      </w:r>
      <w:r w:rsidR="00F336D3">
        <w:rPr>
          <w:szCs w:val="22"/>
        </w:rPr>
        <w:t>three</w:t>
      </w:r>
      <w:r w:rsidR="004A1BA4" w:rsidRPr="00F336D3">
        <w:rPr>
          <w:szCs w:val="22"/>
        </w:rPr>
        <w:t xml:space="preserve"> </w:t>
      </w:r>
      <w:r w:rsidR="001E1D6C" w:rsidRPr="00F336D3">
        <w:rPr>
          <w:szCs w:val="22"/>
        </w:rPr>
        <w:t>weeks away.</w:t>
      </w:r>
      <w:r w:rsidR="004A1BA4" w:rsidRPr="00F336D3">
        <w:rPr>
          <w:szCs w:val="22"/>
        </w:rPr>
        <w:t xml:space="preserve">  </w:t>
      </w:r>
      <w:r w:rsidR="00316FB0" w:rsidRPr="00F336D3">
        <w:rPr>
          <w:szCs w:val="22"/>
        </w:rPr>
        <w:t xml:space="preserve">The Court </w:t>
      </w:r>
      <w:r w:rsidR="00485BF8">
        <w:rPr>
          <w:szCs w:val="22"/>
        </w:rPr>
        <w:t xml:space="preserve">has scheduled oral argument in May and </w:t>
      </w:r>
      <w:r w:rsidR="00316FB0" w:rsidRPr="00F336D3">
        <w:rPr>
          <w:szCs w:val="22"/>
        </w:rPr>
        <w:t xml:space="preserve">will need time </w:t>
      </w:r>
      <w:r w:rsidR="00485BF8">
        <w:rPr>
          <w:szCs w:val="22"/>
        </w:rPr>
        <w:t xml:space="preserve">after that </w:t>
      </w:r>
      <w:r w:rsidR="00316FB0" w:rsidRPr="00F336D3">
        <w:rPr>
          <w:szCs w:val="22"/>
        </w:rPr>
        <w:t>to reach a decision</w:t>
      </w:r>
      <w:r w:rsidR="00485BF8">
        <w:rPr>
          <w:szCs w:val="22"/>
        </w:rPr>
        <w:t>.</w:t>
      </w:r>
      <w:r w:rsidR="00316FB0" w:rsidRPr="00F336D3">
        <w:rPr>
          <w:szCs w:val="22"/>
        </w:rPr>
        <w:t xml:space="preserve"> </w:t>
      </w:r>
      <w:r w:rsidR="000E6956">
        <w:rPr>
          <w:szCs w:val="22"/>
        </w:rPr>
        <w:t xml:space="preserve">In addition </w:t>
      </w:r>
      <w:r w:rsidR="00A46244">
        <w:rPr>
          <w:szCs w:val="22"/>
        </w:rPr>
        <w:t xml:space="preserve">to </w:t>
      </w:r>
      <w:r w:rsidR="000E6956">
        <w:rPr>
          <w:szCs w:val="22"/>
        </w:rPr>
        <w:t>the harms described above,</w:t>
      </w:r>
      <w:r w:rsidR="00316FB0" w:rsidRPr="00F336D3">
        <w:rPr>
          <w:szCs w:val="22"/>
        </w:rPr>
        <w:t xml:space="preserve"> a stay would extend</w:t>
      </w:r>
      <w:r w:rsidR="0030221B" w:rsidRPr="00F336D3">
        <w:rPr>
          <w:bCs/>
          <w:szCs w:val="22"/>
        </w:rPr>
        <w:t xml:space="preserve"> </w:t>
      </w:r>
      <w:r w:rsidR="00316FB0" w:rsidRPr="00F336D3">
        <w:rPr>
          <w:bCs/>
          <w:szCs w:val="22"/>
        </w:rPr>
        <w:t xml:space="preserve">the </w:t>
      </w:r>
      <w:r w:rsidR="0030221B" w:rsidRPr="00F336D3">
        <w:rPr>
          <w:bCs/>
          <w:szCs w:val="22"/>
        </w:rPr>
        <w:t xml:space="preserve">quiet period </w:t>
      </w:r>
      <w:r w:rsidR="00316FB0" w:rsidRPr="00F336D3">
        <w:rPr>
          <w:bCs/>
          <w:szCs w:val="22"/>
        </w:rPr>
        <w:t>that is now in effect for</w:t>
      </w:r>
      <w:r w:rsidR="0030221B" w:rsidRPr="00F336D3">
        <w:rPr>
          <w:bCs/>
          <w:szCs w:val="22"/>
        </w:rPr>
        <w:t xml:space="preserve"> both the reverse and forward auctions</w:t>
      </w:r>
      <w:r w:rsidR="00316FB0" w:rsidRPr="00F336D3">
        <w:rPr>
          <w:bCs/>
          <w:szCs w:val="22"/>
        </w:rPr>
        <w:t>,</w:t>
      </w:r>
      <w:r w:rsidR="0030221B" w:rsidRPr="00A612C9">
        <w:rPr>
          <w:rStyle w:val="FootnoteReference"/>
          <w:color w:val="212121"/>
          <w:sz w:val="22"/>
          <w:szCs w:val="22"/>
        </w:rPr>
        <w:footnoteReference w:id="36"/>
      </w:r>
      <w:r w:rsidR="0030221B" w:rsidRPr="00F336D3">
        <w:rPr>
          <w:rStyle w:val="apple-converted-space"/>
          <w:color w:val="212121"/>
          <w:szCs w:val="22"/>
        </w:rPr>
        <w:t> </w:t>
      </w:r>
      <w:r w:rsidR="00316FB0" w:rsidRPr="00F336D3">
        <w:rPr>
          <w:rStyle w:val="apple-converted-space"/>
          <w:color w:val="212121"/>
          <w:szCs w:val="22"/>
        </w:rPr>
        <w:t>which</w:t>
      </w:r>
      <w:r w:rsidR="0030221B" w:rsidRPr="00F336D3">
        <w:rPr>
          <w:rStyle w:val="apple-converted-space"/>
          <w:color w:val="212121"/>
          <w:szCs w:val="22"/>
        </w:rPr>
        <w:t xml:space="preserve"> limits the types of discussions that would otherwise take place </w:t>
      </w:r>
      <w:r w:rsidR="00316FB0" w:rsidRPr="00F336D3">
        <w:rPr>
          <w:rStyle w:val="apple-converted-space"/>
          <w:color w:val="212121"/>
          <w:szCs w:val="22"/>
        </w:rPr>
        <w:t xml:space="preserve">between and </w:t>
      </w:r>
      <w:r w:rsidR="0030221B" w:rsidRPr="00F336D3">
        <w:rPr>
          <w:rStyle w:val="apple-converted-space"/>
          <w:color w:val="212121"/>
          <w:szCs w:val="22"/>
        </w:rPr>
        <w:t xml:space="preserve">among </w:t>
      </w:r>
      <w:r w:rsidR="00316FB0" w:rsidRPr="00F336D3">
        <w:rPr>
          <w:rStyle w:val="apple-converted-space"/>
          <w:color w:val="212121"/>
          <w:szCs w:val="22"/>
        </w:rPr>
        <w:t>broadcasters and prospective forward auction bidders</w:t>
      </w:r>
      <w:r w:rsidR="0030221B" w:rsidRPr="00F336D3">
        <w:rPr>
          <w:rStyle w:val="apple-converted-space"/>
          <w:color w:val="212121"/>
          <w:szCs w:val="22"/>
        </w:rPr>
        <w:t>.</w:t>
      </w:r>
      <w:r w:rsidR="0030221B" w:rsidRPr="00A612C9">
        <w:rPr>
          <w:rStyle w:val="FootnoteReference"/>
          <w:color w:val="212121"/>
          <w:sz w:val="22"/>
          <w:szCs w:val="22"/>
        </w:rPr>
        <w:footnoteReference w:id="37"/>
      </w:r>
      <w:r w:rsidR="0030221B" w:rsidRPr="00F336D3">
        <w:rPr>
          <w:rStyle w:val="apple-converted-space"/>
          <w:color w:val="212121"/>
        </w:rPr>
        <w:t xml:space="preserve">  </w:t>
      </w:r>
      <w:r w:rsidR="001E1D6C" w:rsidRPr="00F336D3">
        <w:rPr>
          <w:szCs w:val="22"/>
        </w:rPr>
        <w:t xml:space="preserve">Moreover, delaying the auction until all reviews and appeals are final would not be justified by rule or precedent and would be inconsistent with Congress’s goals in enacting the </w:t>
      </w:r>
      <w:r w:rsidR="001E1D6C" w:rsidRPr="00322A12">
        <w:rPr>
          <w:szCs w:val="22"/>
        </w:rPr>
        <w:t>Spectrum Act.</w:t>
      </w:r>
      <w:r w:rsidR="001E1D6C" w:rsidRPr="00322A12">
        <w:rPr>
          <w:rStyle w:val="FootnoteReference"/>
          <w:sz w:val="22"/>
          <w:szCs w:val="22"/>
        </w:rPr>
        <w:footnoteReference w:id="38"/>
      </w:r>
      <w:r w:rsidR="00BE42C3" w:rsidRPr="00322A12">
        <w:rPr>
          <w:color w:val="000000"/>
          <w:szCs w:val="22"/>
        </w:rPr>
        <w:t xml:space="preserve">  </w:t>
      </w:r>
      <w:r w:rsidR="001E1D6C" w:rsidRPr="00322A12">
        <w:rPr>
          <w:color w:val="000000"/>
          <w:szCs w:val="22"/>
        </w:rPr>
        <w:t xml:space="preserve">  </w:t>
      </w:r>
    </w:p>
    <w:p w14:paraId="1AA8E4BE" w14:textId="47C2239A" w:rsidR="005D4DE0" w:rsidRPr="00B2577E" w:rsidRDefault="006F70B0" w:rsidP="00CB0033">
      <w:pPr>
        <w:pStyle w:val="ParaNum"/>
        <w:widowControl/>
        <w:tabs>
          <w:tab w:val="num" w:pos="360"/>
        </w:tabs>
        <w:rPr>
          <w:color w:val="000000"/>
          <w:szCs w:val="22"/>
        </w:rPr>
      </w:pPr>
      <w:r w:rsidRPr="00322A12">
        <w:rPr>
          <w:color w:val="000000"/>
          <w:szCs w:val="22"/>
        </w:rPr>
        <w:t>Movants also suggest</w:t>
      </w:r>
      <w:r w:rsidR="00220B90">
        <w:rPr>
          <w:color w:val="000000"/>
          <w:szCs w:val="22"/>
        </w:rPr>
        <w:t xml:space="preserve"> that </w:t>
      </w:r>
      <w:r w:rsidR="00E64311" w:rsidRPr="00322A12">
        <w:rPr>
          <w:color w:val="000000"/>
          <w:szCs w:val="22"/>
        </w:rPr>
        <w:t xml:space="preserve">the Commission </w:t>
      </w:r>
      <w:r w:rsidR="0092541F">
        <w:rPr>
          <w:color w:val="000000"/>
          <w:szCs w:val="22"/>
        </w:rPr>
        <w:t>easily could</w:t>
      </w:r>
      <w:r w:rsidR="00E64311" w:rsidRPr="00322A12">
        <w:rPr>
          <w:color w:val="000000"/>
          <w:szCs w:val="22"/>
        </w:rPr>
        <w:t xml:space="preserve"> protect LPTV stations </w:t>
      </w:r>
      <w:r w:rsidR="0092541F">
        <w:rPr>
          <w:color w:val="000000"/>
          <w:szCs w:val="22"/>
        </w:rPr>
        <w:t xml:space="preserve">by including them </w:t>
      </w:r>
      <w:r w:rsidR="00E64311" w:rsidRPr="00322A12">
        <w:rPr>
          <w:color w:val="000000"/>
          <w:szCs w:val="22"/>
        </w:rPr>
        <w:t>in the repacking process.</w:t>
      </w:r>
      <w:r w:rsidR="00E64311" w:rsidRPr="00322A12">
        <w:rPr>
          <w:rStyle w:val="FootnoteReference"/>
          <w:sz w:val="22"/>
          <w:szCs w:val="22"/>
        </w:rPr>
        <w:footnoteReference w:id="39"/>
      </w:r>
      <w:r w:rsidR="00E64311" w:rsidRPr="00322A12">
        <w:rPr>
          <w:color w:val="000000"/>
          <w:szCs w:val="22"/>
        </w:rPr>
        <w:t xml:space="preserve">  </w:t>
      </w:r>
      <w:r w:rsidR="00220B90">
        <w:rPr>
          <w:color w:val="000000"/>
          <w:szCs w:val="22"/>
        </w:rPr>
        <w:t xml:space="preserve">As an initial matter, </w:t>
      </w:r>
      <w:r w:rsidR="00220B90">
        <w:t xml:space="preserve">Movants fail to address the Commission’s finding in the </w:t>
      </w:r>
      <w:r w:rsidR="00220B90" w:rsidRPr="00220B90">
        <w:rPr>
          <w:i/>
        </w:rPr>
        <w:t xml:space="preserve">Incentive Auction R&amp;O </w:t>
      </w:r>
      <w:r w:rsidR="00220B90">
        <w:t>that p</w:t>
      </w:r>
      <w:r w:rsidR="00220B90" w:rsidRPr="003961F2">
        <w:t xml:space="preserve">rotecting </w:t>
      </w:r>
      <w:r w:rsidR="00220B90">
        <w:t>LPTV stations “w</w:t>
      </w:r>
      <w:r w:rsidR="00220B90" w:rsidRPr="003961F2">
        <w:t xml:space="preserve">ould increase the number of </w:t>
      </w:r>
      <w:r w:rsidR="00220B90" w:rsidRPr="003961F2">
        <w:lastRenderedPageBreak/>
        <w:t>constraints on the repacking process significantly, and severely limit our recovery of spectrum to carry out the forward auction, thereby frustrating the purposes of the Spectrum Act.</w:t>
      </w:r>
      <w:r w:rsidR="00220B90">
        <w:t>”</w:t>
      </w:r>
      <w:r w:rsidR="00220B90">
        <w:rPr>
          <w:rStyle w:val="FootnoteReference"/>
        </w:rPr>
        <w:footnoteReference w:id="40"/>
      </w:r>
      <w:r w:rsidR="00220B90">
        <w:t xml:space="preserve">  </w:t>
      </w:r>
      <w:r w:rsidR="00B32B2E">
        <w:t>Moreover</w:t>
      </w:r>
      <w:r w:rsidR="00220B90">
        <w:t>, Movants’ assertion that it</w:t>
      </w:r>
      <w:r w:rsidR="00220B90" w:rsidRPr="00322A12">
        <w:rPr>
          <w:color w:val="000000"/>
          <w:szCs w:val="22"/>
        </w:rPr>
        <w:t xml:space="preserve"> would be “simple, indeed trivial” for the Commission to </w:t>
      </w:r>
      <w:r w:rsidR="0092541F">
        <w:rPr>
          <w:color w:val="000000"/>
          <w:szCs w:val="22"/>
        </w:rPr>
        <w:t>include</w:t>
      </w:r>
      <w:r w:rsidR="00220B90" w:rsidRPr="00322A12">
        <w:rPr>
          <w:color w:val="000000"/>
          <w:szCs w:val="22"/>
        </w:rPr>
        <w:t xml:space="preserve"> LPTV stations in the repacking proces</w:t>
      </w:r>
      <w:r w:rsidR="00220B90">
        <w:rPr>
          <w:color w:val="000000"/>
          <w:szCs w:val="22"/>
        </w:rPr>
        <w:t xml:space="preserve">s </w:t>
      </w:r>
      <w:r w:rsidR="00F336D3" w:rsidRPr="00322A12">
        <w:rPr>
          <w:color w:val="000000"/>
          <w:szCs w:val="22"/>
        </w:rPr>
        <w:t>reflects a fundamental m</w:t>
      </w:r>
      <w:r w:rsidR="00485BF8" w:rsidRPr="00322A12">
        <w:rPr>
          <w:color w:val="000000"/>
          <w:szCs w:val="22"/>
        </w:rPr>
        <w:t>isunderstanding of the</w:t>
      </w:r>
      <w:r w:rsidR="00F577BD" w:rsidRPr="00322A12">
        <w:rPr>
          <w:color w:val="000000"/>
          <w:szCs w:val="22"/>
        </w:rPr>
        <w:t xml:space="preserve"> complexity of the auction process and ignorance of the substantial efforts taken by both the Commission and </w:t>
      </w:r>
      <w:r w:rsidR="0092541F">
        <w:rPr>
          <w:color w:val="000000"/>
          <w:szCs w:val="22"/>
        </w:rPr>
        <w:t>stakeholders</w:t>
      </w:r>
      <w:r w:rsidR="0092541F" w:rsidRPr="00322A12">
        <w:rPr>
          <w:color w:val="000000"/>
          <w:szCs w:val="22"/>
        </w:rPr>
        <w:t xml:space="preserve"> </w:t>
      </w:r>
      <w:r w:rsidR="0087574D">
        <w:rPr>
          <w:color w:val="000000"/>
          <w:szCs w:val="22"/>
        </w:rPr>
        <w:t xml:space="preserve">over the past four years </w:t>
      </w:r>
      <w:r w:rsidR="00B32B2E">
        <w:rPr>
          <w:color w:val="000000"/>
          <w:szCs w:val="22"/>
        </w:rPr>
        <w:t xml:space="preserve">in preparation for </w:t>
      </w:r>
      <w:r w:rsidR="00F577BD" w:rsidRPr="00322A12">
        <w:rPr>
          <w:color w:val="000000"/>
          <w:szCs w:val="22"/>
        </w:rPr>
        <w:t xml:space="preserve">the auction.  </w:t>
      </w:r>
      <w:r w:rsidR="0092541F">
        <w:rPr>
          <w:color w:val="000000"/>
          <w:szCs w:val="22"/>
        </w:rPr>
        <w:t xml:space="preserve">For example, the Commission would have to </w:t>
      </w:r>
      <w:r w:rsidR="00E617FA">
        <w:rPr>
          <w:color w:val="000000"/>
          <w:szCs w:val="22"/>
        </w:rPr>
        <w:t>conduct a rulemaking proceeding to determine how to protect</w:t>
      </w:r>
      <w:r w:rsidR="0087574D">
        <w:rPr>
          <w:color w:val="000000"/>
          <w:szCs w:val="22"/>
        </w:rPr>
        <w:t xml:space="preserve"> LPTV stations </w:t>
      </w:r>
      <w:r w:rsidR="00322A12" w:rsidRPr="00322A12">
        <w:rPr>
          <w:color w:val="000000"/>
          <w:szCs w:val="22"/>
        </w:rPr>
        <w:t>in the repacking process</w:t>
      </w:r>
      <w:r w:rsidR="00E617FA">
        <w:rPr>
          <w:color w:val="000000"/>
          <w:szCs w:val="22"/>
        </w:rPr>
        <w:t xml:space="preserve"> (the Commission’s current rules do not protect LPTV stations from interference due to </w:t>
      </w:r>
      <w:r w:rsidR="0087574D">
        <w:rPr>
          <w:color w:val="000000"/>
          <w:szCs w:val="22"/>
        </w:rPr>
        <w:t>their secondary status</w:t>
      </w:r>
      <w:r w:rsidR="00E617FA">
        <w:rPr>
          <w:color w:val="000000"/>
          <w:szCs w:val="22"/>
        </w:rPr>
        <w:t>) and which LPTV licensees and facilities are eligible for such protection.</w:t>
      </w:r>
      <w:r w:rsidR="00322A12" w:rsidRPr="00322A12">
        <w:rPr>
          <w:color w:val="000000"/>
          <w:szCs w:val="22"/>
        </w:rPr>
        <w:t xml:space="preserve"> </w:t>
      </w:r>
      <w:r w:rsidR="00E617FA">
        <w:rPr>
          <w:color w:val="000000"/>
          <w:szCs w:val="22"/>
        </w:rPr>
        <w:t xml:space="preserve"> Having resolved such issues</w:t>
      </w:r>
      <w:r w:rsidR="00671C40" w:rsidRPr="00322A12">
        <w:rPr>
          <w:color w:val="000000"/>
          <w:szCs w:val="22"/>
        </w:rPr>
        <w:t xml:space="preserve">, the </w:t>
      </w:r>
      <w:r w:rsidR="00F577BD" w:rsidRPr="00322A12">
        <w:rPr>
          <w:color w:val="000000"/>
          <w:szCs w:val="22"/>
        </w:rPr>
        <w:t xml:space="preserve">Commission </w:t>
      </w:r>
      <w:r w:rsidR="00E617FA">
        <w:rPr>
          <w:color w:val="000000"/>
          <w:szCs w:val="22"/>
        </w:rPr>
        <w:t xml:space="preserve">would have to undertake additional procedures to </w:t>
      </w:r>
      <w:r w:rsidR="00F577BD" w:rsidRPr="00322A12">
        <w:rPr>
          <w:szCs w:val="22"/>
        </w:rPr>
        <w:t>ensur</w:t>
      </w:r>
      <w:r w:rsidR="00E617FA">
        <w:rPr>
          <w:szCs w:val="22"/>
        </w:rPr>
        <w:t>e</w:t>
      </w:r>
      <w:r w:rsidR="00F577BD" w:rsidRPr="00322A12">
        <w:rPr>
          <w:szCs w:val="22"/>
        </w:rPr>
        <w:t xml:space="preserve"> the accuracy of the technical data in the Commission’s databases</w:t>
      </w:r>
      <w:r w:rsidR="00E617FA">
        <w:rPr>
          <w:szCs w:val="22"/>
        </w:rPr>
        <w:t>,</w:t>
      </w:r>
      <w:r w:rsidR="002637C1" w:rsidRPr="00322A12">
        <w:rPr>
          <w:rStyle w:val="FootnoteReference"/>
          <w:sz w:val="22"/>
          <w:szCs w:val="22"/>
        </w:rPr>
        <w:footnoteReference w:id="41"/>
      </w:r>
      <w:r w:rsidR="00F577BD" w:rsidRPr="00322A12">
        <w:rPr>
          <w:color w:val="000000"/>
          <w:szCs w:val="22"/>
        </w:rPr>
        <w:t xml:space="preserve"> recalculate the </w:t>
      </w:r>
      <w:r w:rsidR="003918C8" w:rsidRPr="00322A12">
        <w:rPr>
          <w:color w:val="000000"/>
          <w:szCs w:val="22"/>
        </w:rPr>
        <w:t xml:space="preserve">interference </w:t>
      </w:r>
      <w:r w:rsidR="00F577BD" w:rsidRPr="00322A12">
        <w:rPr>
          <w:color w:val="000000"/>
          <w:szCs w:val="22"/>
        </w:rPr>
        <w:t>constraints (both inter-service and TV-to-TV)</w:t>
      </w:r>
      <w:r w:rsidR="00E617FA">
        <w:rPr>
          <w:color w:val="000000"/>
          <w:szCs w:val="22"/>
        </w:rPr>
        <w:t xml:space="preserve"> and</w:t>
      </w:r>
      <w:r w:rsidR="0087574D">
        <w:rPr>
          <w:color w:val="000000"/>
          <w:szCs w:val="22"/>
        </w:rPr>
        <w:t xml:space="preserve"> recalculate opening bid prices</w:t>
      </w:r>
      <w:r w:rsidR="00E617FA">
        <w:rPr>
          <w:color w:val="000000"/>
          <w:szCs w:val="22"/>
        </w:rPr>
        <w:t xml:space="preserve"> for eligible broadcast television licensees, and start the reverse auction application process over again.  </w:t>
      </w:r>
      <w:r w:rsidR="00384EFF">
        <w:rPr>
          <w:color w:val="000000"/>
          <w:szCs w:val="22"/>
        </w:rPr>
        <w:t xml:space="preserve">The </w:t>
      </w:r>
      <w:r w:rsidR="00384EFF" w:rsidRPr="00B2577E">
        <w:rPr>
          <w:color w:val="000000"/>
          <w:szCs w:val="22"/>
        </w:rPr>
        <w:t>delay resulting from these additional efforts would be measured in years, not months.</w:t>
      </w:r>
      <w:r w:rsidR="00B2577E" w:rsidRPr="00B2577E">
        <w:rPr>
          <w:color w:val="000000"/>
          <w:szCs w:val="22"/>
        </w:rPr>
        <w:t xml:space="preserve">  </w:t>
      </w:r>
      <w:r w:rsidR="00E617FA">
        <w:rPr>
          <w:color w:val="231F20"/>
          <w:szCs w:val="22"/>
        </w:rPr>
        <w:t xml:space="preserve"> </w:t>
      </w:r>
    </w:p>
    <w:p w14:paraId="5C5BFD20" w14:textId="77777777" w:rsidR="001E1D6C" w:rsidRPr="00B2577E" w:rsidRDefault="001E1D6C" w:rsidP="00CB0033">
      <w:pPr>
        <w:pStyle w:val="Heading1"/>
        <w:widowControl/>
        <w:rPr>
          <w:rFonts w:ascii="Times New Roman" w:hAnsi="Times New Roman"/>
          <w:color w:val="000000"/>
          <w:szCs w:val="22"/>
        </w:rPr>
      </w:pPr>
      <w:r w:rsidRPr="00B2577E">
        <w:rPr>
          <w:rFonts w:ascii="Times New Roman" w:hAnsi="Times New Roman"/>
          <w:color w:val="000000"/>
          <w:szCs w:val="22"/>
        </w:rPr>
        <w:t>Ordering Clauses</w:t>
      </w:r>
    </w:p>
    <w:p w14:paraId="500AA5FE" w14:textId="77777777" w:rsidR="001E1D6C" w:rsidRPr="00B2577E" w:rsidRDefault="001E1D6C" w:rsidP="00CB0033">
      <w:pPr>
        <w:pStyle w:val="ParaNum"/>
        <w:widowControl/>
        <w:tabs>
          <w:tab w:val="num" w:pos="360"/>
        </w:tabs>
        <w:rPr>
          <w:color w:val="000000"/>
          <w:szCs w:val="22"/>
        </w:rPr>
      </w:pPr>
      <w:r w:rsidRPr="00B2577E">
        <w:rPr>
          <w:color w:val="000000"/>
          <w:szCs w:val="22"/>
        </w:rPr>
        <w:t>Accordingly, IT IS ORDERED, pursuant to the authority contained in Sections 1, 4(i), 4(j), 5, 301, 303, and 309 of the Communications Act of 1934, as amended, and Sections 6402 and 6403 of Middle Class Tax Relief and Job Creation Act of 2012, Pub. L. No. 112-96, 126 Stat. 156, 47 U.S.C. §§ 151, 154(i)-(j), 155, 301, 303, 309, 1452, and the authority delegated pursuant to Sections 0.61 and 0.283 of the Commission’s rules, 47 C.F.R. §§ 0.61, 0.283, this Order Denying Stay Motion in GN Docket No. 12-268 IS ADOPTED.</w:t>
      </w:r>
    </w:p>
    <w:p w14:paraId="438ED44B" w14:textId="6A9E9248" w:rsidR="001E1D6C" w:rsidRPr="00B2577E" w:rsidRDefault="001E1D6C" w:rsidP="00CB0033">
      <w:pPr>
        <w:pStyle w:val="ParaNum"/>
        <w:widowControl/>
        <w:tabs>
          <w:tab w:val="num" w:pos="360"/>
        </w:tabs>
        <w:rPr>
          <w:color w:val="000000"/>
          <w:szCs w:val="22"/>
        </w:rPr>
      </w:pPr>
      <w:r w:rsidRPr="00B2577E">
        <w:rPr>
          <w:color w:val="000000"/>
          <w:szCs w:val="22"/>
        </w:rPr>
        <w:t xml:space="preserve">IT IS FURTHER ORDERED that the </w:t>
      </w:r>
      <w:r w:rsidR="00354B8E" w:rsidRPr="00B2577E">
        <w:rPr>
          <w:szCs w:val="22"/>
        </w:rPr>
        <w:t xml:space="preserve">Petition for Stay Pending Judicial Review filed by </w:t>
      </w:r>
      <w:r w:rsidR="00354B8E" w:rsidRPr="00B2577E">
        <w:rPr>
          <w:color w:val="231F20"/>
          <w:szCs w:val="22"/>
        </w:rPr>
        <w:t>Free Access &amp; Broadcast Telemedia, LLC, Word of God Fellowship, Inc., and Mako Communications, LLC</w:t>
      </w:r>
      <w:r w:rsidR="007125F7" w:rsidRPr="00B2577E">
        <w:rPr>
          <w:color w:val="000000"/>
          <w:szCs w:val="22"/>
        </w:rPr>
        <w:t xml:space="preserve"> </w:t>
      </w:r>
      <w:r w:rsidRPr="00B2577E">
        <w:rPr>
          <w:color w:val="000000"/>
          <w:szCs w:val="22"/>
        </w:rPr>
        <w:t>IS DENIED.</w:t>
      </w:r>
    </w:p>
    <w:p w14:paraId="597324F9" w14:textId="77777777" w:rsidR="001E1D6C" w:rsidRPr="00B2577E" w:rsidRDefault="001E1D6C" w:rsidP="00CB0033">
      <w:pPr>
        <w:widowControl/>
        <w:rPr>
          <w:color w:val="000000"/>
          <w:szCs w:val="22"/>
        </w:rPr>
      </w:pPr>
    </w:p>
    <w:p w14:paraId="315E5B98" w14:textId="77777777" w:rsidR="001E1D6C" w:rsidRPr="001E1D6C" w:rsidRDefault="001E1D6C" w:rsidP="00CB0033">
      <w:pPr>
        <w:widowControl/>
        <w:ind w:left="3600" w:firstLine="720"/>
        <w:rPr>
          <w:color w:val="000000"/>
          <w:szCs w:val="22"/>
        </w:rPr>
      </w:pPr>
      <w:r w:rsidRPr="001E1D6C">
        <w:rPr>
          <w:color w:val="000000"/>
          <w:szCs w:val="22"/>
        </w:rPr>
        <w:t>FEDERAL COMMUNICATIONS COMMISSION</w:t>
      </w:r>
    </w:p>
    <w:p w14:paraId="0BECA8B8" w14:textId="77777777" w:rsidR="001E1D6C" w:rsidRPr="001E1D6C" w:rsidRDefault="001E1D6C" w:rsidP="00CB0033">
      <w:pPr>
        <w:widowControl/>
        <w:rPr>
          <w:color w:val="000000"/>
          <w:szCs w:val="22"/>
        </w:rPr>
      </w:pPr>
    </w:p>
    <w:p w14:paraId="11114DCC" w14:textId="77777777" w:rsidR="001E1D6C" w:rsidRPr="001E1D6C" w:rsidRDefault="001E1D6C" w:rsidP="00CB0033">
      <w:pPr>
        <w:widowControl/>
        <w:rPr>
          <w:color w:val="000000"/>
          <w:szCs w:val="22"/>
        </w:rPr>
      </w:pPr>
    </w:p>
    <w:p w14:paraId="5FE2525D" w14:textId="77777777" w:rsidR="001E1D6C" w:rsidRPr="001E1D6C" w:rsidRDefault="001E1D6C" w:rsidP="00CB0033">
      <w:pPr>
        <w:widowControl/>
        <w:rPr>
          <w:color w:val="000000"/>
          <w:szCs w:val="22"/>
        </w:rPr>
      </w:pPr>
    </w:p>
    <w:p w14:paraId="087EB007" w14:textId="77777777" w:rsidR="001E1D6C" w:rsidRPr="001E1D6C" w:rsidRDefault="001E1D6C" w:rsidP="00CB0033">
      <w:pPr>
        <w:widowControl/>
        <w:rPr>
          <w:color w:val="000000"/>
          <w:szCs w:val="22"/>
        </w:rPr>
      </w:pPr>
    </w:p>
    <w:p w14:paraId="7F33A1C7" w14:textId="77777777" w:rsidR="001E1D6C" w:rsidRPr="001E1D6C" w:rsidRDefault="001E1D6C" w:rsidP="00CB0033">
      <w:pPr>
        <w:widowControl/>
        <w:ind w:left="4320"/>
        <w:rPr>
          <w:color w:val="000000"/>
          <w:szCs w:val="22"/>
        </w:rPr>
      </w:pPr>
      <w:r w:rsidRPr="001E1D6C">
        <w:rPr>
          <w:color w:val="000000"/>
          <w:szCs w:val="22"/>
        </w:rPr>
        <w:t>William T. Lake</w:t>
      </w:r>
    </w:p>
    <w:p w14:paraId="7AD25A0F" w14:textId="77777777" w:rsidR="001E1D6C" w:rsidRPr="001E1D6C" w:rsidRDefault="001E1D6C" w:rsidP="00CB0033">
      <w:pPr>
        <w:widowControl/>
        <w:ind w:left="4320"/>
        <w:rPr>
          <w:color w:val="000000"/>
          <w:szCs w:val="22"/>
        </w:rPr>
      </w:pPr>
      <w:r w:rsidRPr="001E1D6C">
        <w:rPr>
          <w:color w:val="000000"/>
          <w:szCs w:val="22"/>
        </w:rPr>
        <w:t>Chief</w:t>
      </w:r>
    </w:p>
    <w:p w14:paraId="72D5DA92" w14:textId="77777777" w:rsidR="002C00E8" w:rsidRPr="002C00E8" w:rsidRDefault="002C00E8" w:rsidP="00CB0033">
      <w:pPr>
        <w:pStyle w:val="Heading1"/>
        <w:widowControl/>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CE6D" w14:textId="77777777" w:rsidR="00111470" w:rsidRDefault="00111470">
      <w:pPr>
        <w:spacing w:line="20" w:lineRule="exact"/>
      </w:pPr>
    </w:p>
  </w:endnote>
  <w:endnote w:type="continuationSeparator" w:id="0">
    <w:p w14:paraId="7F79164B" w14:textId="77777777" w:rsidR="00111470" w:rsidRDefault="00111470">
      <w:r>
        <w:t xml:space="preserve"> </w:t>
      </w:r>
    </w:p>
  </w:endnote>
  <w:endnote w:type="continuationNotice" w:id="1">
    <w:p w14:paraId="6F4AD38B" w14:textId="77777777" w:rsidR="00111470" w:rsidRDefault="001114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211C" w14:textId="77777777" w:rsidR="0092541F" w:rsidRDefault="0092541F" w:rsidP="0055614C">
    <w:pPr>
      <w:pStyle w:val="Footer"/>
      <w:framePr w:wrap="around" w:vAnchor="text" w:hAnchor="margin" w:xAlign="center" w:y="1"/>
    </w:pPr>
    <w:r>
      <w:fldChar w:fldCharType="begin"/>
    </w:r>
    <w:r>
      <w:instrText xml:space="preserve">PAGE  </w:instrText>
    </w:r>
    <w:r>
      <w:fldChar w:fldCharType="end"/>
    </w:r>
  </w:p>
  <w:p w14:paraId="16DAF502" w14:textId="77777777" w:rsidR="0092541F" w:rsidRDefault="00925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666C" w14:textId="77777777" w:rsidR="0092541F" w:rsidRDefault="0092541F" w:rsidP="0055614C">
    <w:pPr>
      <w:pStyle w:val="Footer"/>
      <w:framePr w:wrap="around" w:vAnchor="text" w:hAnchor="margin" w:xAlign="center" w:y="1"/>
    </w:pPr>
    <w:r>
      <w:fldChar w:fldCharType="begin"/>
    </w:r>
    <w:r>
      <w:instrText xml:space="preserve">PAGE  </w:instrText>
    </w:r>
    <w:r>
      <w:fldChar w:fldCharType="separate"/>
    </w:r>
    <w:r w:rsidR="00BD0790">
      <w:rPr>
        <w:noProof/>
      </w:rPr>
      <w:t>6</w:t>
    </w:r>
    <w:r>
      <w:fldChar w:fldCharType="end"/>
    </w:r>
  </w:p>
  <w:p w14:paraId="08601A86" w14:textId="77777777" w:rsidR="0092541F" w:rsidRDefault="0092541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7D30" w14:textId="77777777" w:rsidR="0092541F" w:rsidRDefault="0092541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950C2" w14:textId="77777777" w:rsidR="00111470" w:rsidRDefault="00111470">
      <w:r>
        <w:separator/>
      </w:r>
    </w:p>
  </w:footnote>
  <w:footnote w:type="continuationSeparator" w:id="0">
    <w:p w14:paraId="76816632" w14:textId="77777777" w:rsidR="00111470" w:rsidRDefault="00111470" w:rsidP="00C721AC">
      <w:pPr>
        <w:spacing w:before="120"/>
        <w:rPr>
          <w:sz w:val="20"/>
        </w:rPr>
      </w:pPr>
      <w:r>
        <w:rPr>
          <w:sz w:val="20"/>
        </w:rPr>
        <w:t xml:space="preserve">(Continued from previous page)  </w:t>
      </w:r>
      <w:r>
        <w:rPr>
          <w:sz w:val="20"/>
        </w:rPr>
        <w:separator/>
      </w:r>
    </w:p>
  </w:footnote>
  <w:footnote w:type="continuationNotice" w:id="1">
    <w:p w14:paraId="281C9B6F" w14:textId="77777777" w:rsidR="00111470" w:rsidRDefault="00111470" w:rsidP="00C721AC">
      <w:pPr>
        <w:jc w:val="right"/>
        <w:rPr>
          <w:sz w:val="20"/>
        </w:rPr>
      </w:pPr>
      <w:r>
        <w:rPr>
          <w:sz w:val="20"/>
        </w:rPr>
        <w:t>(continued….)</w:t>
      </w:r>
    </w:p>
  </w:footnote>
  <w:footnote w:id="2">
    <w:p w14:paraId="37C39778" w14:textId="5496D010" w:rsidR="0092541F" w:rsidRPr="004661F9" w:rsidRDefault="0092541F">
      <w:pPr>
        <w:pStyle w:val="FootnoteText"/>
      </w:pPr>
      <w:r w:rsidRPr="004661F9">
        <w:rPr>
          <w:rStyle w:val="FootnoteReference"/>
        </w:rPr>
        <w:footnoteRef/>
      </w:r>
      <w:r w:rsidRPr="004661F9">
        <w:t xml:space="preserve"> </w:t>
      </w:r>
      <w:r w:rsidRPr="004661F9">
        <w:rPr>
          <w:i/>
          <w:color w:val="000000"/>
        </w:rPr>
        <w:t>Expanding the Economic and Innovation Opportunities of Spectrum Through Incentive Auctions</w:t>
      </w:r>
      <w:r w:rsidRPr="004661F9">
        <w:rPr>
          <w:color w:val="000000"/>
        </w:rPr>
        <w:t>, GN Docket No. 12-268, Report and Order, 29 FCC Rcd 6567 (2014) (</w:t>
      </w:r>
      <w:r w:rsidRPr="004661F9">
        <w:rPr>
          <w:i/>
          <w:color w:val="000000"/>
        </w:rPr>
        <w:t>Incentive Auction R&amp;O</w:t>
      </w:r>
      <w:r w:rsidRPr="004661F9">
        <w:rPr>
          <w:color w:val="000000"/>
        </w:rPr>
        <w:t xml:space="preserve">), </w:t>
      </w:r>
      <w:r w:rsidRPr="004661F9">
        <w:rPr>
          <w:i/>
          <w:color w:val="000000"/>
        </w:rPr>
        <w:t>aff’d, Nat’l Assoc. of Broadcasters, et al. v. FCC</w:t>
      </w:r>
      <w:r w:rsidRPr="004661F9">
        <w:rPr>
          <w:color w:val="000000"/>
        </w:rPr>
        <w:t xml:space="preserve">, </w:t>
      </w:r>
      <w:r w:rsidRPr="004661F9">
        <w:rPr>
          <w:snapToGrid w:val="0"/>
          <w:color w:val="000000"/>
        </w:rPr>
        <w:t>789 F.3d 165</w:t>
      </w:r>
      <w:r w:rsidRPr="004661F9">
        <w:rPr>
          <w:color w:val="000000"/>
        </w:rPr>
        <w:t xml:space="preserve"> (D.C. Cir. 2015).</w:t>
      </w:r>
    </w:p>
  </w:footnote>
  <w:footnote w:id="3">
    <w:p w14:paraId="62434966" w14:textId="7A86A444" w:rsidR="0092541F" w:rsidRPr="004661F9" w:rsidRDefault="0092541F">
      <w:pPr>
        <w:pStyle w:val="FootnoteText"/>
      </w:pPr>
      <w:r w:rsidRPr="004661F9">
        <w:rPr>
          <w:rStyle w:val="FootnoteReference"/>
        </w:rPr>
        <w:footnoteRef/>
      </w:r>
      <w:r w:rsidRPr="004661F9">
        <w:t xml:space="preserve"> </w:t>
      </w:r>
      <w:r w:rsidRPr="00760E1A">
        <w:rPr>
          <w:i/>
          <w:color w:val="000000"/>
        </w:rPr>
        <w:t>See Expanding the Economic and Innovation Opportunities of Spectrum Through Incentive Auctions</w:t>
      </w:r>
      <w:r w:rsidRPr="00760E1A">
        <w:rPr>
          <w:color w:val="000000"/>
        </w:rPr>
        <w:t>, GN Docket No. 12-268, Second Order on Reconsideration, 30 FCC Rcd 6746, 6774-75, para. 62 (2015) (“</w:t>
      </w:r>
      <w:r w:rsidRPr="00760E1A">
        <w:rPr>
          <w:i/>
          <w:color w:val="000000"/>
        </w:rPr>
        <w:t>2015 Reconsideration Order</w:t>
      </w:r>
      <w:r w:rsidRPr="00760E1A">
        <w:rPr>
          <w:color w:val="000000"/>
        </w:rPr>
        <w:t>”).</w:t>
      </w:r>
    </w:p>
  </w:footnote>
  <w:footnote w:id="4">
    <w:p w14:paraId="5EBD3A0B" w14:textId="3526B1C0" w:rsidR="0092541F" w:rsidRPr="004661F9" w:rsidRDefault="0092541F" w:rsidP="00DF6E49">
      <w:pPr>
        <w:pStyle w:val="FootnoteText"/>
      </w:pPr>
      <w:r w:rsidRPr="004661F9">
        <w:rPr>
          <w:rStyle w:val="FootnoteReference"/>
        </w:rPr>
        <w:footnoteRef/>
      </w:r>
      <w:r w:rsidRPr="004661F9">
        <w:t xml:space="preserve"> Petition for Stay Pending Judicial Review filed by </w:t>
      </w:r>
      <w:r w:rsidRPr="004661F9">
        <w:rPr>
          <w:color w:val="231F20"/>
        </w:rPr>
        <w:t>Free Access &amp; Broadcast Telemedia, LLC, Word of God Fellowship, Inc., and Mako Communications, LLC</w:t>
      </w:r>
      <w:r w:rsidRPr="004661F9">
        <w:t xml:space="preserve">, GN Docket No. 12-268 (filed March 1, 2016) (Stay Motion).  </w:t>
      </w:r>
    </w:p>
  </w:footnote>
  <w:footnote w:id="5">
    <w:p w14:paraId="5B6E234B" w14:textId="673D4957" w:rsidR="0092541F" w:rsidRPr="00760E1A" w:rsidRDefault="0092541F" w:rsidP="001E1D6C">
      <w:pPr>
        <w:pStyle w:val="FootnoteText"/>
      </w:pPr>
      <w:r w:rsidRPr="004661F9">
        <w:rPr>
          <w:rStyle w:val="FootnoteReference"/>
        </w:rPr>
        <w:footnoteRef/>
      </w:r>
      <w:r w:rsidRPr="004661F9">
        <w:t xml:space="preserve"> </w:t>
      </w:r>
      <w:r w:rsidRPr="00E424D7">
        <w:rPr>
          <w:i/>
        </w:rPr>
        <w:t>See generally</w:t>
      </w:r>
      <w:r>
        <w:t xml:space="preserve"> </w:t>
      </w:r>
      <w:r w:rsidRPr="004661F9">
        <w:rPr>
          <w:i/>
          <w:color w:val="000000"/>
        </w:rPr>
        <w:t>Incentive Auction R&amp;O</w:t>
      </w:r>
      <w:r>
        <w:t xml:space="preserve">.  </w:t>
      </w:r>
      <w:r w:rsidRPr="00E424D7">
        <w:rPr>
          <w:i/>
        </w:rPr>
        <w:t>See also</w:t>
      </w:r>
      <w:r>
        <w:t xml:space="preserve"> </w:t>
      </w:r>
      <w:r w:rsidRPr="00760E1A">
        <w:t>Middle Class Tax Relief and Job Creation Act of 2012, Pub. L. No. 112-96, §§ 6402 (codified at 47 U.S.C. § 309(j)(8)(G)), 6403 (codified at 47 U.S.C. § 1452), 126 Stat. 156 (2012) (Spectrum Act).</w:t>
      </w:r>
      <w:r>
        <w:t xml:space="preserve">  </w:t>
      </w:r>
      <w:r w:rsidRPr="001E1D6C">
        <w:rPr>
          <w:color w:val="000000"/>
        </w:rPr>
        <w:t xml:space="preserve">  </w:t>
      </w:r>
    </w:p>
  </w:footnote>
  <w:footnote w:id="6">
    <w:p w14:paraId="4674AD61" w14:textId="1C93528A" w:rsidR="0092541F" w:rsidRDefault="0092541F">
      <w:pPr>
        <w:pStyle w:val="FootnoteText"/>
      </w:pPr>
      <w:r>
        <w:rPr>
          <w:rStyle w:val="FootnoteReference"/>
        </w:rPr>
        <w:footnoteRef/>
      </w:r>
      <w:r>
        <w:t xml:space="preserve"> 47 U.S.C. § 1452(b).  </w:t>
      </w:r>
      <w:r w:rsidRPr="00760E1A">
        <w:t xml:space="preserve">Through the repacking process, the Commission will reorganize the television bands to make spectrum available </w:t>
      </w:r>
      <w:r>
        <w:t>for</w:t>
      </w:r>
      <w:r w:rsidRPr="00760E1A">
        <w:t xml:space="preserve"> a forward auction of new, flexible-use li</w:t>
      </w:r>
      <w:r>
        <w:t>censes suitable for mobile broadband service.</w:t>
      </w:r>
    </w:p>
  </w:footnote>
  <w:footnote w:id="7">
    <w:p w14:paraId="5C4CBCE2" w14:textId="7DDCB4E4" w:rsidR="0092541F" w:rsidRDefault="0092541F" w:rsidP="00701764">
      <w:pPr>
        <w:pStyle w:val="FootnoteText"/>
      </w:pPr>
      <w:r>
        <w:rPr>
          <w:rStyle w:val="FootnoteReference"/>
        </w:rPr>
        <w:footnoteRef/>
      </w:r>
      <w:r>
        <w:t xml:space="preserve"> 47 U.S.C. §§ 1401(6), 1452(b)(2).  </w:t>
      </w:r>
      <w:r w:rsidRPr="00A16278">
        <w:rPr>
          <w:i/>
        </w:rPr>
        <w:t>See</w:t>
      </w:r>
      <w:r>
        <w:t xml:space="preserve"> </w:t>
      </w:r>
      <w:r w:rsidRPr="00636BCC">
        <w:rPr>
          <w:i/>
          <w:color w:val="000000"/>
        </w:rPr>
        <w:t>Incentive Auction R&amp;O</w:t>
      </w:r>
      <w:r w:rsidRPr="00636BCC">
        <w:rPr>
          <w:color w:val="000000"/>
        </w:rPr>
        <w:t>, 29 FCC Rcd at 6673, para. 238</w:t>
      </w:r>
      <w:r>
        <w:t>.</w:t>
      </w:r>
    </w:p>
  </w:footnote>
  <w:footnote w:id="8">
    <w:p w14:paraId="06F708AA" w14:textId="09D44243" w:rsidR="0092541F" w:rsidRDefault="0092541F" w:rsidP="00701764">
      <w:pPr>
        <w:pStyle w:val="FootnoteText"/>
      </w:pPr>
      <w:r>
        <w:rPr>
          <w:rStyle w:val="FootnoteReference"/>
        </w:rPr>
        <w:footnoteRef/>
      </w:r>
      <w:r>
        <w:t xml:space="preserve"> 47 U.S.C. § 1452(b)(5).  </w:t>
      </w:r>
    </w:p>
  </w:footnote>
  <w:footnote w:id="9">
    <w:p w14:paraId="4E141E13" w14:textId="2EFEB6FE" w:rsidR="0092541F" w:rsidRDefault="0092541F" w:rsidP="00701764">
      <w:pPr>
        <w:pStyle w:val="FootnoteText"/>
      </w:pPr>
      <w:r>
        <w:rPr>
          <w:rStyle w:val="FootnoteReference"/>
        </w:rPr>
        <w:footnoteRef/>
      </w:r>
      <w:r>
        <w:t xml:space="preserve"> </w:t>
      </w:r>
      <w:r w:rsidRPr="0074236D">
        <w:rPr>
          <w:i/>
        </w:rPr>
        <w:t>See</w:t>
      </w:r>
      <w:r>
        <w:t xml:space="preserve"> </w:t>
      </w:r>
      <w:r w:rsidRPr="00636BCC">
        <w:rPr>
          <w:i/>
          <w:color w:val="000000"/>
        </w:rPr>
        <w:t>Incentive Auction R&amp;O</w:t>
      </w:r>
      <w:r w:rsidRPr="00636BCC">
        <w:rPr>
          <w:color w:val="000000"/>
        </w:rPr>
        <w:t>, 29 FCC Rcd at 6673-74, para. 239</w:t>
      </w:r>
      <w:r>
        <w:t>.</w:t>
      </w:r>
    </w:p>
  </w:footnote>
  <w:footnote w:id="10">
    <w:p w14:paraId="74D2A135" w14:textId="7CBF0004" w:rsidR="0092541F" w:rsidRPr="00CF0D1E" w:rsidRDefault="0092541F" w:rsidP="00701764">
      <w:pPr>
        <w:pStyle w:val="FootnoteText"/>
      </w:pPr>
      <w:r w:rsidRPr="00CF0D1E">
        <w:rPr>
          <w:rStyle w:val="FootnoteReference"/>
        </w:rPr>
        <w:footnoteRef/>
      </w:r>
      <w:r w:rsidRPr="00CF0D1E">
        <w:t xml:space="preserve"> </w:t>
      </w:r>
      <w:r w:rsidRPr="0074236D">
        <w:rPr>
          <w:i/>
        </w:rPr>
        <w:t>See</w:t>
      </w:r>
      <w:r>
        <w:t xml:space="preserve"> </w:t>
      </w:r>
      <w:r>
        <w:rPr>
          <w:i/>
          <w:color w:val="000000"/>
        </w:rPr>
        <w:t>id.</w:t>
      </w:r>
      <w:r w:rsidRPr="00A43E1C">
        <w:rPr>
          <w:color w:val="000000"/>
        </w:rPr>
        <w:t xml:space="preserve"> at 6673-74, para. 239 and 6674-75, para. 241</w:t>
      </w:r>
      <w:r>
        <w:t>.</w:t>
      </w:r>
    </w:p>
  </w:footnote>
  <w:footnote w:id="11">
    <w:p w14:paraId="4F7F5415" w14:textId="4670A02D" w:rsidR="0092541F" w:rsidRDefault="0092541F" w:rsidP="00701764">
      <w:pPr>
        <w:pStyle w:val="FootnoteText"/>
      </w:pPr>
      <w:r>
        <w:rPr>
          <w:rStyle w:val="FootnoteReference"/>
        </w:rPr>
        <w:footnoteRef/>
      </w:r>
      <w:r>
        <w:t xml:space="preserve"> </w:t>
      </w:r>
      <w:r w:rsidRPr="00A43E1C">
        <w:rPr>
          <w:i/>
          <w:color w:val="000000"/>
        </w:rPr>
        <w:t>I</w:t>
      </w:r>
      <w:r>
        <w:rPr>
          <w:i/>
          <w:color w:val="000000"/>
        </w:rPr>
        <w:t>d.</w:t>
      </w:r>
      <w:r w:rsidRPr="00A43E1C">
        <w:rPr>
          <w:color w:val="000000"/>
        </w:rPr>
        <w:t xml:space="preserve"> at 6674-75, para. 241</w:t>
      </w:r>
      <w:r>
        <w:rPr>
          <w:color w:val="000000"/>
        </w:rPr>
        <w:t>.</w:t>
      </w:r>
    </w:p>
  </w:footnote>
  <w:footnote w:id="12">
    <w:p w14:paraId="62C97DC6" w14:textId="69BDA899" w:rsidR="0092541F" w:rsidRDefault="0092541F" w:rsidP="00701764">
      <w:pPr>
        <w:pStyle w:val="FootnoteText"/>
      </w:pPr>
      <w:r>
        <w:rPr>
          <w:rStyle w:val="FootnoteReference"/>
        </w:rPr>
        <w:footnoteRef/>
      </w:r>
      <w:r>
        <w:t xml:space="preserve"> </w:t>
      </w:r>
      <w:r>
        <w:rPr>
          <w:i/>
        </w:rPr>
        <w:t>See 2</w:t>
      </w:r>
      <w:r w:rsidRPr="00B3735D">
        <w:rPr>
          <w:i/>
        </w:rPr>
        <w:t xml:space="preserve">015 </w:t>
      </w:r>
      <w:r w:rsidRPr="00B3735D">
        <w:rPr>
          <w:i/>
          <w:color w:val="000000"/>
        </w:rPr>
        <w:t>Reconsideration Order</w:t>
      </w:r>
      <w:r w:rsidRPr="00B3735D">
        <w:rPr>
          <w:color w:val="000000"/>
        </w:rPr>
        <w:t>, 30 FCC Rcd at 6777-79, paras. 67-68.</w:t>
      </w:r>
    </w:p>
  </w:footnote>
  <w:footnote w:id="13">
    <w:p w14:paraId="32C45F7D" w14:textId="527FAE81" w:rsidR="0092541F" w:rsidRDefault="0092541F">
      <w:pPr>
        <w:pStyle w:val="FootnoteText"/>
      </w:pPr>
      <w:r>
        <w:rPr>
          <w:rStyle w:val="FootnoteReference"/>
        </w:rPr>
        <w:footnoteRef/>
      </w:r>
      <w:r>
        <w:t xml:space="preserve"> </w:t>
      </w:r>
      <w:r w:rsidRPr="004661F9">
        <w:t xml:space="preserve">Petition for Review, </w:t>
      </w:r>
      <w:r w:rsidRPr="004661F9">
        <w:rPr>
          <w:i/>
        </w:rPr>
        <w:t>Mako Communications, LLC v. FCC</w:t>
      </w:r>
      <w:r w:rsidRPr="004661F9">
        <w:t xml:space="preserve">, No. 15-1264 (D.C. Cir. filed Aug. 6, 2015).  </w:t>
      </w:r>
    </w:p>
  </w:footnote>
  <w:footnote w:id="14">
    <w:p w14:paraId="17834F65" w14:textId="5BC322F4" w:rsidR="0092541F" w:rsidRPr="00D964AD" w:rsidRDefault="0092541F" w:rsidP="005B4AA6">
      <w:pPr>
        <w:pStyle w:val="FootnoteText"/>
        <w:rPr>
          <w:i/>
        </w:rPr>
      </w:pPr>
      <w:r>
        <w:rPr>
          <w:rStyle w:val="FootnoteReference"/>
        </w:rPr>
        <w:footnoteRef/>
      </w:r>
      <w:r>
        <w:t xml:space="preserve"> </w:t>
      </w:r>
      <w:r w:rsidRPr="009D394D">
        <w:rPr>
          <w:i/>
        </w:rPr>
        <w:t>See</w:t>
      </w:r>
      <w:r>
        <w:t xml:space="preserve"> </w:t>
      </w:r>
      <w:r w:rsidRPr="009D394D">
        <w:rPr>
          <w:i/>
        </w:rPr>
        <w:t>FCC Establishes Bidding Procedures for 2016 Incentive Auction: Auction Scheduled to Begin March 29, 2016</w:t>
      </w:r>
      <w:r>
        <w:t xml:space="preserve">, News Release (rel. Aug. 6, 2015), available at </w:t>
      </w:r>
      <w:hyperlink r:id="rId1" w:history="1">
        <w:r w:rsidRPr="0099175D">
          <w:rPr>
            <w:rStyle w:val="Hyperlink"/>
          </w:rPr>
          <w:t>https://apps.fcc.gov/edocs_public/attachmatch/DOC-334756A1.pdf</w:t>
        </w:r>
      </w:hyperlink>
      <w:r>
        <w:t xml:space="preserve">.  </w:t>
      </w:r>
      <w:r>
        <w:rPr>
          <w:i/>
        </w:rPr>
        <w:t xml:space="preserve">See also </w:t>
      </w:r>
      <w:r w:rsidRPr="001A7F99">
        <w:rPr>
          <w:i/>
        </w:rPr>
        <w:t>Broadcast Auction Scheduled to Begin March 29, 2016</w:t>
      </w:r>
      <w:r w:rsidRPr="001A7F99">
        <w:t>, Public Notice, 30 FCC Rcd 8975 (</w:t>
      </w:r>
      <w:r>
        <w:t xml:space="preserve">rel. Aug. 11, </w:t>
      </w:r>
      <w:r w:rsidRPr="001A7F99">
        <w:t>2015)</w:t>
      </w:r>
      <w:r>
        <w:t xml:space="preserve"> (</w:t>
      </w:r>
      <w:r>
        <w:rPr>
          <w:i/>
        </w:rPr>
        <w:t>Auction 1000 Bidding Procedures PN</w:t>
      </w:r>
      <w:r>
        <w:t>)</w:t>
      </w:r>
      <w:r w:rsidRPr="001A7F99">
        <w:t>.</w:t>
      </w:r>
      <w:r>
        <w:t xml:space="preserve">  </w:t>
      </w:r>
      <w:r w:rsidRPr="004661F9">
        <w:t xml:space="preserve">Mako’s </w:t>
      </w:r>
      <w:r>
        <w:t xml:space="preserve">Petition </w:t>
      </w:r>
      <w:r w:rsidRPr="004661F9">
        <w:t>was consolidated with a</w:t>
      </w:r>
      <w:r>
        <w:t xml:space="preserve"> Petition for Review </w:t>
      </w:r>
      <w:r w:rsidRPr="004661F9">
        <w:t xml:space="preserve">filed by Beach TV Properties, Inc. (“Beach”), which is not a party to the Stay Motion.  </w:t>
      </w:r>
      <w:r w:rsidRPr="004661F9">
        <w:rPr>
          <w:i/>
        </w:rPr>
        <w:t>See</w:t>
      </w:r>
      <w:r w:rsidRPr="004661F9">
        <w:t xml:space="preserve"> Petition for Review, </w:t>
      </w:r>
      <w:r w:rsidRPr="004661F9">
        <w:rPr>
          <w:i/>
        </w:rPr>
        <w:t>Beach TV Properties, Inc. v. FCC</w:t>
      </w:r>
      <w:r w:rsidRPr="004661F9">
        <w:t xml:space="preserve">, No. 15-1280 (D.C. Cir. filed Aug. 14, 2015).  </w:t>
      </w:r>
    </w:p>
  </w:footnote>
  <w:footnote w:id="15">
    <w:p w14:paraId="5A68F63E" w14:textId="74E8F6C4" w:rsidR="0092541F" w:rsidRDefault="0092541F">
      <w:pPr>
        <w:pStyle w:val="FootnoteText"/>
      </w:pPr>
      <w:r>
        <w:rPr>
          <w:rStyle w:val="FootnoteReference"/>
        </w:rPr>
        <w:footnoteRef/>
      </w:r>
      <w:r w:rsidRPr="004661F9">
        <w:rPr>
          <w:color w:val="231F20"/>
        </w:rPr>
        <w:t xml:space="preserve"> </w:t>
      </w:r>
      <w:r w:rsidRPr="004661F9">
        <w:rPr>
          <w:i/>
        </w:rPr>
        <w:t>See</w:t>
      </w:r>
      <w:r w:rsidRPr="004661F9">
        <w:t xml:space="preserve"> Petition for Review, </w:t>
      </w:r>
      <w:r w:rsidRPr="004661F9">
        <w:rPr>
          <w:i/>
        </w:rPr>
        <w:t>Free Access &amp; Broadcast Telemedia, LLC et al. v. FCC</w:t>
      </w:r>
      <w:r w:rsidRPr="004661F9">
        <w:t>, No. 15-1346 (D.C. Cir. filed Oct. 5, 2015).</w:t>
      </w:r>
      <w:r>
        <w:t xml:space="preserve">  </w:t>
      </w:r>
    </w:p>
  </w:footnote>
  <w:footnote w:id="16">
    <w:p w14:paraId="07E18D78" w14:textId="1514F32E" w:rsidR="0092541F" w:rsidRDefault="0092541F">
      <w:pPr>
        <w:pStyle w:val="FootnoteText"/>
      </w:pPr>
      <w:r>
        <w:rPr>
          <w:rStyle w:val="FootnoteReference"/>
        </w:rPr>
        <w:footnoteRef/>
      </w:r>
      <w:r>
        <w:t xml:space="preserve"> </w:t>
      </w:r>
      <w:r>
        <w:rPr>
          <w:i/>
        </w:rPr>
        <w:t xml:space="preserve">See </w:t>
      </w:r>
      <w:r>
        <w:t xml:space="preserve">[[n.21]], </w:t>
      </w:r>
      <w:r>
        <w:rPr>
          <w:i/>
        </w:rPr>
        <w:t>infra</w:t>
      </w:r>
      <w:r>
        <w:t>.</w:t>
      </w:r>
    </w:p>
  </w:footnote>
  <w:footnote w:id="17">
    <w:p w14:paraId="7AC5E55E" w14:textId="77777777" w:rsidR="0092541F" w:rsidRPr="00760E1A" w:rsidRDefault="0092541F" w:rsidP="001E1D6C">
      <w:pPr>
        <w:pStyle w:val="FootnoteText"/>
      </w:pPr>
      <w:r w:rsidRPr="001E1D6C">
        <w:rPr>
          <w:rStyle w:val="FootnoteReference"/>
          <w:color w:val="000000"/>
        </w:rPr>
        <w:footnoteRef/>
      </w:r>
      <w:r w:rsidRPr="001E1D6C">
        <w:rPr>
          <w:color w:val="000000"/>
        </w:rPr>
        <w:t xml:space="preserve"> </w:t>
      </w:r>
      <w:r w:rsidRPr="001E1D6C">
        <w:rPr>
          <w:i/>
          <w:color w:val="000000"/>
        </w:rPr>
        <w:t>See Washington Metro. Area Transit Comm’n v. Holiday Tours, Inc.</w:t>
      </w:r>
      <w:r w:rsidRPr="001E1D6C">
        <w:rPr>
          <w:color w:val="000000"/>
        </w:rPr>
        <w:t>, 559 F.2d 841, 843 (D.C. Cir. 1977) (</w:t>
      </w:r>
      <w:r w:rsidRPr="001E1D6C">
        <w:rPr>
          <w:i/>
          <w:color w:val="000000"/>
        </w:rPr>
        <w:t>Holiday Tours</w:t>
      </w:r>
      <w:r w:rsidRPr="001E1D6C">
        <w:rPr>
          <w:color w:val="000000"/>
        </w:rPr>
        <w:t xml:space="preserve">); </w:t>
      </w:r>
      <w:r w:rsidRPr="001E1D6C">
        <w:rPr>
          <w:i/>
          <w:color w:val="000000"/>
        </w:rPr>
        <w:t>Virginia Petroleum Jobbers Ass’n v. Federal Power Comm’n</w:t>
      </w:r>
      <w:r w:rsidRPr="001E1D6C">
        <w:rPr>
          <w:color w:val="000000"/>
        </w:rPr>
        <w:t>, 259 F.2d 921, 925 (D.C. Cir. 1958) (</w:t>
      </w:r>
      <w:r w:rsidRPr="001E1D6C">
        <w:rPr>
          <w:i/>
          <w:color w:val="000000"/>
        </w:rPr>
        <w:t>VA Petroleum Jobbers</w:t>
      </w:r>
      <w:r w:rsidRPr="001E1D6C">
        <w:rPr>
          <w:color w:val="000000"/>
        </w:rPr>
        <w:t>).</w:t>
      </w:r>
    </w:p>
  </w:footnote>
  <w:footnote w:id="18">
    <w:p w14:paraId="359B4280" w14:textId="68C58C39" w:rsidR="0092541F" w:rsidRDefault="0092541F">
      <w:pPr>
        <w:pStyle w:val="FootnoteText"/>
      </w:pPr>
      <w:r>
        <w:rPr>
          <w:rStyle w:val="FootnoteReference"/>
        </w:rPr>
        <w:footnoteRef/>
      </w:r>
      <w:r>
        <w:t xml:space="preserve"> </w:t>
      </w:r>
      <w:r w:rsidRPr="00760E1A">
        <w:rPr>
          <w:i/>
        </w:rPr>
        <w:t>See Incentive Auction R&amp;O</w:t>
      </w:r>
      <w:r w:rsidRPr="00760E1A">
        <w:t>, 29 FCC Rcd at 66</w:t>
      </w:r>
      <w:r>
        <w:t xml:space="preserve">72-75, </w:t>
      </w:r>
      <w:r w:rsidRPr="00760E1A">
        <w:t xml:space="preserve">paras. </w:t>
      </w:r>
      <w:r>
        <w:t xml:space="preserve">236-41; </w:t>
      </w:r>
      <w:r w:rsidRPr="00760E1A">
        <w:rPr>
          <w:i/>
          <w:color w:val="000000"/>
        </w:rPr>
        <w:t>2015 Reconsideration Order</w:t>
      </w:r>
      <w:r w:rsidRPr="00760E1A">
        <w:rPr>
          <w:color w:val="000000"/>
        </w:rPr>
        <w:t>, 30 FCC Rcd at 677</w:t>
      </w:r>
      <w:r>
        <w:rPr>
          <w:color w:val="000000"/>
        </w:rPr>
        <w:t>6</w:t>
      </w:r>
      <w:r w:rsidRPr="00760E1A">
        <w:rPr>
          <w:color w:val="000000"/>
        </w:rPr>
        <w:t>-</w:t>
      </w:r>
      <w:r>
        <w:rPr>
          <w:color w:val="000000"/>
        </w:rPr>
        <w:t>80</w:t>
      </w:r>
      <w:r w:rsidRPr="00760E1A">
        <w:rPr>
          <w:color w:val="000000"/>
        </w:rPr>
        <w:t>, para</w:t>
      </w:r>
      <w:r>
        <w:rPr>
          <w:color w:val="000000"/>
        </w:rPr>
        <w:t>s</w:t>
      </w:r>
      <w:r w:rsidRPr="00760E1A">
        <w:rPr>
          <w:color w:val="000000"/>
        </w:rPr>
        <w:t xml:space="preserve">. </w:t>
      </w:r>
      <w:r>
        <w:rPr>
          <w:color w:val="000000"/>
        </w:rPr>
        <w:t>64-71.</w:t>
      </w:r>
    </w:p>
  </w:footnote>
  <w:footnote w:id="19">
    <w:p w14:paraId="3FBD9E0F" w14:textId="582CE18A" w:rsidR="0092541F" w:rsidRDefault="0092541F">
      <w:pPr>
        <w:pStyle w:val="FootnoteText"/>
      </w:pPr>
      <w:r>
        <w:rPr>
          <w:rStyle w:val="FootnoteReference"/>
        </w:rPr>
        <w:footnoteRef/>
      </w:r>
      <w:r>
        <w:t xml:space="preserve"> FCC Brief, </w:t>
      </w:r>
      <w:r w:rsidRPr="004661F9">
        <w:rPr>
          <w:i/>
        </w:rPr>
        <w:t>Free Access &amp; Broadcast Telemedia, LLC et al. v. FCC</w:t>
      </w:r>
      <w:r w:rsidRPr="004661F9">
        <w:t xml:space="preserve">, No. 15-1346 (D.C. Cir. filed </w:t>
      </w:r>
      <w:r>
        <w:t>Feb. 22</w:t>
      </w:r>
      <w:r w:rsidRPr="004661F9">
        <w:t>, 201</w:t>
      </w:r>
      <w:r>
        <w:t>6</w:t>
      </w:r>
      <w:r w:rsidRPr="004661F9">
        <w:t>)</w:t>
      </w:r>
      <w:r>
        <w:t xml:space="preserve">; FCC Brief, </w:t>
      </w:r>
      <w:r w:rsidRPr="004661F9">
        <w:rPr>
          <w:i/>
        </w:rPr>
        <w:t xml:space="preserve">Mako Communications, LLC </w:t>
      </w:r>
      <w:r>
        <w:rPr>
          <w:i/>
        </w:rPr>
        <w:t xml:space="preserve">et al. </w:t>
      </w:r>
      <w:r w:rsidRPr="004661F9">
        <w:rPr>
          <w:i/>
        </w:rPr>
        <w:t>v. FCC</w:t>
      </w:r>
      <w:r w:rsidRPr="004661F9">
        <w:t>, No</w:t>
      </w:r>
      <w:r>
        <w:t>s</w:t>
      </w:r>
      <w:r w:rsidRPr="004661F9">
        <w:t>. 15-1264</w:t>
      </w:r>
      <w:r>
        <w:t>, 15-1280</w:t>
      </w:r>
      <w:r w:rsidRPr="004661F9">
        <w:t xml:space="preserve"> (D.C. Cir. filed </w:t>
      </w:r>
      <w:r>
        <w:t>Jan. 22</w:t>
      </w:r>
      <w:r w:rsidRPr="004661F9">
        <w:t>, 201</w:t>
      </w:r>
      <w:r>
        <w:t>6</w:t>
      </w:r>
      <w:r w:rsidRPr="004661F9">
        <w:t>)</w:t>
      </w:r>
      <w:r>
        <w:t xml:space="preserve">.  </w:t>
      </w:r>
    </w:p>
  </w:footnote>
  <w:footnote w:id="20">
    <w:p w14:paraId="5EC5692E" w14:textId="77777777" w:rsidR="0092541F" w:rsidRPr="00760E1A" w:rsidRDefault="0092541F" w:rsidP="001E1D6C">
      <w:pPr>
        <w:pStyle w:val="FootnoteText"/>
        <w:rPr>
          <w:i/>
        </w:rPr>
      </w:pPr>
      <w:r w:rsidRPr="00EB67EC">
        <w:rPr>
          <w:rStyle w:val="FootnoteReference"/>
        </w:rPr>
        <w:footnoteRef/>
      </w:r>
      <w:r w:rsidRPr="00EB67EC">
        <w:rPr>
          <w:color w:val="000000"/>
        </w:rPr>
        <w:t xml:space="preserve"> Several general principles govern the</w:t>
      </w:r>
      <w:r w:rsidRPr="001E1D6C">
        <w:rPr>
          <w:color w:val="000000"/>
        </w:rPr>
        <w:t xml:space="preserve"> irreparable injury inquiry.  First, “the injury must be both certain and great; it must be actual and not theoretical.”  </w:t>
      </w:r>
      <w:r w:rsidRPr="00760E1A">
        <w:rPr>
          <w:i/>
        </w:rPr>
        <w:t>Wisconsin Gas Co. v. FERC</w:t>
      </w:r>
      <w:r w:rsidRPr="00760E1A">
        <w:t xml:space="preserve">, 758 F.2d 669, 674 (D.C. Cir. 1985).  </w:t>
      </w:r>
      <w:r w:rsidRPr="001E1D6C">
        <w:rPr>
          <w:color w:val="000000"/>
        </w:rPr>
        <w:t xml:space="preserve">A movant must also “substantiate the claim that the irreparable injury is ‘likely’ to occur. . . . Bare allegations of what is likely to occur are of no value since the court must decide whether the harm will in fact occur.”  </w:t>
      </w:r>
      <w:r w:rsidRPr="001E1D6C">
        <w:rPr>
          <w:i/>
          <w:color w:val="000000"/>
        </w:rPr>
        <w:t xml:space="preserve">Id.  </w:t>
      </w:r>
      <w:r w:rsidRPr="001E1D6C">
        <w:rPr>
          <w:color w:val="000000"/>
        </w:rPr>
        <w:t xml:space="preserve">Further, it is “well settled that economic loss does not, in and of itself, constitute irreparable harm.”  </w:t>
      </w:r>
      <w:r w:rsidRPr="00760E1A">
        <w:rPr>
          <w:i/>
        </w:rPr>
        <w:t>Id</w:t>
      </w:r>
      <w:r w:rsidRPr="00760E1A">
        <w:t xml:space="preserve">.  </w:t>
      </w:r>
      <w:r w:rsidRPr="001E1D6C">
        <w:rPr>
          <w:color w:val="000000"/>
        </w:rPr>
        <w:t xml:space="preserve">The only exceptions to this rule are when (1) the economic loss threatens the “very existence of the movant’s business,” </w:t>
      </w:r>
      <w:r w:rsidRPr="00760E1A">
        <w:rPr>
          <w:i/>
        </w:rPr>
        <w:t>id</w:t>
      </w:r>
      <w:r w:rsidRPr="00760E1A">
        <w:t xml:space="preserve">., </w:t>
      </w:r>
      <w:r w:rsidRPr="001E1D6C">
        <w:rPr>
          <w:color w:val="000000"/>
        </w:rPr>
        <w:t xml:space="preserve">and (2) such loss is great, certain, and imminent.  </w:t>
      </w:r>
      <w:r w:rsidRPr="00760E1A">
        <w:rPr>
          <w:i/>
        </w:rPr>
        <w:t>Cardinal Health, Inc. v. Holder</w:t>
      </w:r>
      <w:r w:rsidRPr="00760E1A">
        <w:t>, 846 F. Supp. 2d 203, 211 (D.D.C. 2012).</w:t>
      </w:r>
    </w:p>
  </w:footnote>
  <w:footnote w:id="21">
    <w:p w14:paraId="68A9F605" w14:textId="2F1B6DD3" w:rsidR="0092541F" w:rsidRPr="00F07823" w:rsidRDefault="0092541F" w:rsidP="008632C4">
      <w:pPr>
        <w:pStyle w:val="FootnoteText"/>
      </w:pPr>
      <w:r>
        <w:rPr>
          <w:rStyle w:val="FootnoteReference"/>
        </w:rPr>
        <w:footnoteRef/>
      </w:r>
      <w:r>
        <w:t xml:space="preserve"> </w:t>
      </w:r>
      <w:r>
        <w:rPr>
          <w:i/>
        </w:rPr>
        <w:t>See Auction 1000 Bidding Procedures PN</w:t>
      </w:r>
      <w:r>
        <w:t xml:space="preserve">, </w:t>
      </w:r>
      <w:r w:rsidRPr="00F07823">
        <w:rPr>
          <w:color w:val="000000"/>
        </w:rPr>
        <w:t xml:space="preserve">30 FCC Rcd </w:t>
      </w:r>
      <w:r>
        <w:rPr>
          <w:color w:val="000000"/>
        </w:rPr>
        <w:t xml:space="preserve">at </w:t>
      </w:r>
      <w:r w:rsidRPr="00F07823">
        <w:rPr>
          <w:color w:val="000000"/>
        </w:rPr>
        <w:t>8975</w:t>
      </w:r>
      <w:r w:rsidRPr="00F07823">
        <w:rPr>
          <w:i/>
        </w:rPr>
        <w:t>.</w:t>
      </w:r>
      <w:r w:rsidRPr="00F07823">
        <w:t xml:space="preserve"> </w:t>
      </w:r>
    </w:p>
  </w:footnote>
  <w:footnote w:id="22">
    <w:p w14:paraId="61B6E75B" w14:textId="2A5FCECB" w:rsidR="0092541F" w:rsidRPr="00F07823" w:rsidRDefault="0092541F" w:rsidP="00DF6731">
      <w:pPr>
        <w:pStyle w:val="FootnoteText"/>
      </w:pPr>
      <w:r w:rsidRPr="00F07823">
        <w:rPr>
          <w:rStyle w:val="FootnoteReference"/>
        </w:rPr>
        <w:footnoteRef/>
      </w:r>
      <w:r w:rsidRPr="00F07823">
        <w:t xml:space="preserve"> </w:t>
      </w:r>
      <w:r>
        <w:t xml:space="preserve">On January 29, 2016, Movants filed a </w:t>
      </w:r>
      <w:r w:rsidRPr="00F07823">
        <w:t>Motion to Expedite Oral Argument asking the Court to schedule oral argument on the first available date after March 21, 2016, the date final briefs are due in the Free Access</w:t>
      </w:r>
      <w:r w:rsidR="007F64C1">
        <w:t>/WOGF</w:t>
      </w:r>
      <w:r w:rsidRPr="00F07823">
        <w:t xml:space="preserve"> appeal.</w:t>
      </w:r>
      <w:r>
        <w:t xml:space="preserve">  </w:t>
      </w:r>
      <w:r w:rsidRPr="00BA09A8">
        <w:rPr>
          <w:i/>
        </w:rPr>
        <w:t>See</w:t>
      </w:r>
      <w:r>
        <w:t xml:space="preserve"> Mako Communications, LLC </w:t>
      </w:r>
      <w:r w:rsidRPr="00557275">
        <w:t xml:space="preserve">et al., </w:t>
      </w:r>
      <w:r>
        <w:t xml:space="preserve">Petitioners’ </w:t>
      </w:r>
      <w:r w:rsidRPr="00557275">
        <w:t xml:space="preserve">Motion </w:t>
      </w:r>
      <w:r>
        <w:t xml:space="preserve">to </w:t>
      </w:r>
      <w:r w:rsidRPr="00557275">
        <w:t>Expedite</w:t>
      </w:r>
      <w:r>
        <w:t xml:space="preserve"> Oral Argument</w:t>
      </w:r>
      <w:r w:rsidRPr="00557275">
        <w:t xml:space="preserve">, </w:t>
      </w:r>
      <w:r w:rsidRPr="004661F9">
        <w:rPr>
          <w:i/>
        </w:rPr>
        <w:t xml:space="preserve">Mako Communications, LLC </w:t>
      </w:r>
      <w:r>
        <w:rPr>
          <w:i/>
        </w:rPr>
        <w:t xml:space="preserve">et al. </w:t>
      </w:r>
      <w:r w:rsidRPr="004661F9">
        <w:rPr>
          <w:i/>
        </w:rPr>
        <w:t>v. FCC</w:t>
      </w:r>
      <w:r w:rsidRPr="004661F9">
        <w:t xml:space="preserve">, </w:t>
      </w:r>
      <w:r>
        <w:t xml:space="preserve">Docket </w:t>
      </w:r>
      <w:r w:rsidRPr="004661F9">
        <w:t>No</w:t>
      </w:r>
      <w:r>
        <w:t>s</w:t>
      </w:r>
      <w:r w:rsidRPr="004661F9">
        <w:t>. 15-1264</w:t>
      </w:r>
      <w:r>
        <w:t>, 15-1280</w:t>
      </w:r>
      <w:r w:rsidRPr="00557275">
        <w:t xml:space="preserve">, </w:t>
      </w:r>
      <w:r>
        <w:t xml:space="preserve">and </w:t>
      </w:r>
      <w:r w:rsidRPr="004661F9">
        <w:rPr>
          <w:i/>
        </w:rPr>
        <w:t>Free Access &amp; Broadcast Telemedia, LLC et al. v. FCC</w:t>
      </w:r>
      <w:r w:rsidRPr="004661F9">
        <w:t xml:space="preserve">, </w:t>
      </w:r>
      <w:r>
        <w:t xml:space="preserve">Docket </w:t>
      </w:r>
      <w:r w:rsidRPr="004661F9">
        <w:t xml:space="preserve">No. 15-1346 </w:t>
      </w:r>
      <w:r w:rsidRPr="00557275">
        <w:t xml:space="preserve">(D.C. Cir. filed </w:t>
      </w:r>
      <w:r>
        <w:t>Jan. 29</w:t>
      </w:r>
      <w:r w:rsidRPr="00557275">
        <w:t>, 2016)</w:t>
      </w:r>
      <w:r>
        <w:t xml:space="preserve">.  On February 8, 2016, the Court denied this Motion and provided that oral argument would be held in May 2016.  </w:t>
      </w:r>
      <w:r w:rsidRPr="00E6016D">
        <w:rPr>
          <w:i/>
        </w:rPr>
        <w:t>See</w:t>
      </w:r>
      <w:r w:rsidRPr="00557275">
        <w:t xml:space="preserve"> </w:t>
      </w:r>
      <w:r w:rsidRPr="004661F9">
        <w:rPr>
          <w:i/>
        </w:rPr>
        <w:t xml:space="preserve">Mako Communications, LLC </w:t>
      </w:r>
      <w:r>
        <w:rPr>
          <w:i/>
        </w:rPr>
        <w:t xml:space="preserve">et al. </w:t>
      </w:r>
      <w:r w:rsidRPr="004661F9">
        <w:rPr>
          <w:i/>
        </w:rPr>
        <w:t>v. FCC</w:t>
      </w:r>
      <w:r w:rsidRPr="004661F9">
        <w:t xml:space="preserve">, </w:t>
      </w:r>
      <w:r>
        <w:t xml:space="preserve">Docket </w:t>
      </w:r>
      <w:r w:rsidRPr="004661F9">
        <w:t>No</w:t>
      </w:r>
      <w:r>
        <w:t>s</w:t>
      </w:r>
      <w:r w:rsidRPr="004661F9">
        <w:t>. 15-1264</w:t>
      </w:r>
      <w:r>
        <w:t>, 15-1280</w:t>
      </w:r>
      <w:r w:rsidRPr="00557275">
        <w:t xml:space="preserve">, </w:t>
      </w:r>
      <w:r>
        <w:t xml:space="preserve">and </w:t>
      </w:r>
      <w:r w:rsidRPr="004661F9">
        <w:rPr>
          <w:i/>
        </w:rPr>
        <w:t>Free Access &amp; Broadcast Telemedia, LLC et al. v. FCC</w:t>
      </w:r>
      <w:r w:rsidRPr="004661F9">
        <w:t xml:space="preserve">, </w:t>
      </w:r>
      <w:r>
        <w:t xml:space="preserve">Docket </w:t>
      </w:r>
      <w:r w:rsidRPr="004661F9">
        <w:t>No. 15-1346</w:t>
      </w:r>
      <w:r w:rsidRPr="00557275">
        <w:t xml:space="preserve">, Order (D.C. Cir. Feb. </w:t>
      </w:r>
      <w:r>
        <w:t>8</w:t>
      </w:r>
      <w:r w:rsidRPr="00557275">
        <w:t>, 2016</w:t>
      </w:r>
      <w:r>
        <w:t>).</w:t>
      </w:r>
      <w:r w:rsidR="00205788">
        <w:t xml:space="preserve">  The Court subsequently scheduled oral argument for May 5, 2016.  </w:t>
      </w:r>
    </w:p>
  </w:footnote>
  <w:footnote w:id="23">
    <w:p w14:paraId="62DD608A" w14:textId="05A939C0" w:rsidR="0092541F" w:rsidRPr="000473C0" w:rsidRDefault="0092541F" w:rsidP="001E1D6C">
      <w:pPr>
        <w:pStyle w:val="FootnoteText"/>
        <w:rPr>
          <w:color w:val="000000" w:themeColor="text1"/>
        </w:rPr>
      </w:pPr>
      <w:r w:rsidRPr="00F07823">
        <w:rPr>
          <w:rStyle w:val="FootnoteReference"/>
          <w:color w:val="000000"/>
        </w:rPr>
        <w:footnoteRef/>
      </w:r>
      <w:r w:rsidRPr="00F07823">
        <w:rPr>
          <w:color w:val="000000"/>
        </w:rPr>
        <w:t xml:space="preserve"> Stay Motion at </w:t>
      </w:r>
      <w:r>
        <w:rPr>
          <w:color w:val="000000"/>
        </w:rPr>
        <w:t xml:space="preserve">1-2.  </w:t>
      </w:r>
      <w:r w:rsidRPr="00E41636">
        <w:rPr>
          <w:i/>
          <w:color w:val="000000"/>
        </w:rPr>
        <w:t>See id</w:t>
      </w:r>
      <w:r>
        <w:rPr>
          <w:color w:val="000000"/>
        </w:rPr>
        <w:t xml:space="preserve">. at 19-22.  We note that this alleged harm does not pertain to Free Access, which is only an investor in LPTV stations and does not hold LPTV licenses.  </w:t>
      </w:r>
      <w:r w:rsidRPr="00B9002F">
        <w:rPr>
          <w:i/>
          <w:color w:val="000000"/>
        </w:rPr>
        <w:t>See</w:t>
      </w:r>
      <w:r>
        <w:rPr>
          <w:color w:val="000000"/>
        </w:rPr>
        <w:t xml:space="preserve"> </w:t>
      </w:r>
      <w:r>
        <w:t xml:space="preserve">FCC Brief, </w:t>
      </w:r>
      <w:r w:rsidRPr="004661F9">
        <w:rPr>
          <w:i/>
        </w:rPr>
        <w:t>Free Access &amp; Broadcast Telemedia, LLC et al. v. FCC</w:t>
      </w:r>
      <w:r w:rsidRPr="004661F9">
        <w:t xml:space="preserve">, No. 15-1346 (D.C. Cir. filed </w:t>
      </w:r>
      <w:r>
        <w:t>Feb. 22</w:t>
      </w:r>
      <w:r w:rsidRPr="004661F9">
        <w:t>, 201</w:t>
      </w:r>
      <w:r>
        <w:t>6</w:t>
      </w:r>
      <w:r w:rsidRPr="004661F9">
        <w:t>)</w:t>
      </w:r>
      <w:r>
        <w:t>, at 21-22</w:t>
      </w:r>
      <w:r>
        <w:rPr>
          <w:color w:val="000000"/>
        </w:rPr>
        <w:t xml:space="preserve">.  </w:t>
      </w:r>
      <w:r>
        <w:rPr>
          <w:color w:val="000000" w:themeColor="text1"/>
        </w:rPr>
        <w:t>Movants claim they will lose “millions of dollars in revenue” and “</w:t>
      </w:r>
      <w:r w:rsidRPr="000473C0">
        <w:rPr>
          <w:color w:val="000000" w:themeColor="text1"/>
        </w:rPr>
        <w:t xml:space="preserve">options for buying controlling interests in many other LPTV stations,” but </w:t>
      </w:r>
      <w:r>
        <w:rPr>
          <w:color w:val="000000" w:themeColor="text1"/>
        </w:rPr>
        <w:t xml:space="preserve">fail to </w:t>
      </w:r>
      <w:r w:rsidRPr="000473C0">
        <w:rPr>
          <w:color w:val="000000" w:themeColor="text1"/>
        </w:rPr>
        <w:t>provide</w:t>
      </w:r>
      <w:r>
        <w:rPr>
          <w:color w:val="000000" w:themeColor="text1"/>
        </w:rPr>
        <w:t xml:space="preserve"> any details.  </w:t>
      </w:r>
      <w:r w:rsidRPr="00830AA4">
        <w:rPr>
          <w:color w:val="231F20"/>
        </w:rPr>
        <w:t xml:space="preserve">Movants </w:t>
      </w:r>
      <w:r>
        <w:rPr>
          <w:color w:val="231F20"/>
        </w:rPr>
        <w:t xml:space="preserve">also </w:t>
      </w:r>
      <w:r w:rsidRPr="00830AA4">
        <w:rPr>
          <w:color w:val="231F20"/>
        </w:rPr>
        <w:t>claim that LPTV licensees are “exercising important First Amendment rights” and that “‘[t]he loss of First Amendment freedoms, for even minimal periods of time, unquestionably constitutes irreparable injury’” sufficient for a stay</w:t>
      </w:r>
      <w:r>
        <w:rPr>
          <w:color w:val="231F20"/>
        </w:rPr>
        <w:t xml:space="preserve">, </w:t>
      </w:r>
      <w:r w:rsidRPr="00830AA4">
        <w:rPr>
          <w:color w:val="231F20"/>
        </w:rPr>
        <w:t xml:space="preserve">Stay Motion at 20 (quoting </w:t>
      </w:r>
      <w:r w:rsidRPr="00830AA4">
        <w:rPr>
          <w:i/>
          <w:iCs/>
          <w:color w:val="231F20"/>
        </w:rPr>
        <w:t xml:space="preserve">Elrod v. Burns, </w:t>
      </w:r>
      <w:r w:rsidRPr="00830AA4">
        <w:rPr>
          <w:color w:val="231F20"/>
        </w:rPr>
        <w:t>427 US 347, 373 (1976))</w:t>
      </w:r>
      <w:r>
        <w:t xml:space="preserve">, but </w:t>
      </w:r>
      <w:r w:rsidRPr="00830AA4">
        <w:t>“</w:t>
      </w:r>
      <w:r w:rsidRPr="00830AA4">
        <w:rPr>
          <w:color w:val="212121"/>
        </w:rPr>
        <w:t xml:space="preserve">there is no ‘unabridgeable First Amendment right to broadcast comparable to the right of every individual to speak, write, or publish.’”  </w:t>
      </w:r>
      <w:r w:rsidRPr="00830AA4">
        <w:rPr>
          <w:i/>
        </w:rPr>
        <w:t>FCC v. National Citizens Comm</w:t>
      </w:r>
      <w:r w:rsidR="008D53E0">
        <w:rPr>
          <w:i/>
        </w:rPr>
        <w:t>.</w:t>
      </w:r>
      <w:r w:rsidRPr="00830AA4">
        <w:rPr>
          <w:i/>
        </w:rPr>
        <w:t xml:space="preserve"> for Broad</w:t>
      </w:r>
      <w:r w:rsidR="008D53E0" w:rsidRPr="008D53E0">
        <w:t>.,</w:t>
      </w:r>
      <w:r w:rsidRPr="00830AA4">
        <w:t xml:space="preserve"> 436 U.S. 775, 799 (1978) (</w:t>
      </w:r>
      <w:r w:rsidRPr="00830AA4">
        <w:rPr>
          <w:i/>
        </w:rPr>
        <w:t>quoting</w:t>
      </w:r>
      <w:r w:rsidRPr="00830AA4">
        <w:t xml:space="preserve"> </w:t>
      </w:r>
      <w:r w:rsidRPr="00830AA4">
        <w:rPr>
          <w:rStyle w:val="Emphasis"/>
          <w:color w:val="000000" w:themeColor="text1"/>
        </w:rPr>
        <w:t>Red Lion Broad</w:t>
      </w:r>
      <w:r w:rsidR="008D53E0">
        <w:rPr>
          <w:rStyle w:val="Emphasis"/>
          <w:color w:val="000000" w:themeColor="text1"/>
        </w:rPr>
        <w:t>.</w:t>
      </w:r>
      <w:r w:rsidRPr="00830AA4">
        <w:rPr>
          <w:rStyle w:val="Emphasis"/>
          <w:color w:val="000000" w:themeColor="text1"/>
        </w:rPr>
        <w:t xml:space="preserve"> Co. v. FCC</w:t>
      </w:r>
      <w:r w:rsidRPr="00830AA4">
        <w:rPr>
          <w:rStyle w:val="Emphasis"/>
          <w:i w:val="0"/>
          <w:color w:val="000000" w:themeColor="text1"/>
        </w:rPr>
        <w:t xml:space="preserve">, </w:t>
      </w:r>
      <w:r w:rsidRPr="00830AA4">
        <w:t>395 U.S. 367, 388 (1969)).</w:t>
      </w:r>
    </w:p>
  </w:footnote>
  <w:footnote w:id="24">
    <w:p w14:paraId="61CD7DA0" w14:textId="77777777" w:rsidR="0092541F" w:rsidRPr="000473C0" w:rsidRDefault="0092541F" w:rsidP="001E1D6C">
      <w:pPr>
        <w:pStyle w:val="FootnoteText"/>
      </w:pPr>
      <w:r w:rsidRPr="000473C0">
        <w:rPr>
          <w:rStyle w:val="FootnoteReference"/>
          <w:color w:val="000000" w:themeColor="text1"/>
        </w:rPr>
        <w:footnoteRef/>
      </w:r>
      <w:r w:rsidRPr="000473C0">
        <w:rPr>
          <w:color w:val="000000" w:themeColor="text1"/>
        </w:rPr>
        <w:t xml:space="preserve"> </w:t>
      </w:r>
      <w:r w:rsidRPr="000473C0">
        <w:rPr>
          <w:i/>
          <w:color w:val="000000" w:themeColor="text1"/>
        </w:rPr>
        <w:t xml:space="preserve">See </w:t>
      </w:r>
      <w:r w:rsidRPr="000473C0">
        <w:rPr>
          <w:rStyle w:val="Emphasis"/>
          <w:color w:val="000000" w:themeColor="text1"/>
        </w:rPr>
        <w:t>Power Mobility Coal. v. Leavitt,</w:t>
      </w:r>
      <w:r w:rsidRPr="000473C0">
        <w:rPr>
          <w:rStyle w:val="apple-converted-space"/>
          <w:color w:val="000000" w:themeColor="text1"/>
        </w:rPr>
        <w:t> </w:t>
      </w:r>
      <w:r w:rsidRPr="000473C0">
        <w:rPr>
          <w:color w:val="000000" w:themeColor="text1"/>
        </w:rPr>
        <w:t>404 F.Supp.2d 190, 205 (D.D.C. 2005)</w:t>
      </w:r>
      <w:r w:rsidRPr="000473C0">
        <w:rPr>
          <w:rStyle w:val="apple-converted-space"/>
          <w:color w:val="000000" w:themeColor="text1"/>
        </w:rPr>
        <w:t xml:space="preserve"> (a </w:t>
      </w:r>
      <w:r w:rsidRPr="000473C0">
        <w:rPr>
          <w:color w:val="000000" w:themeColor="text1"/>
        </w:rPr>
        <w:t>“</w:t>
      </w:r>
      <w:r w:rsidRPr="000473C0">
        <w:rPr>
          <w:color w:val="252525"/>
        </w:rPr>
        <w:t>predict[ion]” that is “at best, remote and speculative” does not merit a finding of irreparable harm).</w:t>
      </w:r>
      <w:r w:rsidRPr="000473C0">
        <w:rPr>
          <w:rStyle w:val="apple-converted-space"/>
          <w:color w:val="252525"/>
        </w:rPr>
        <w:t> </w:t>
      </w:r>
    </w:p>
  </w:footnote>
  <w:footnote w:id="25">
    <w:p w14:paraId="19183046" w14:textId="233E3EC4" w:rsidR="0092541F" w:rsidRPr="00994FF3" w:rsidRDefault="0092541F" w:rsidP="0003387D">
      <w:pPr>
        <w:pStyle w:val="FootnoteText"/>
      </w:pPr>
      <w:r w:rsidRPr="00760E1A">
        <w:rPr>
          <w:rStyle w:val="FootnoteReference"/>
        </w:rPr>
        <w:footnoteRef/>
      </w:r>
      <w:r w:rsidRPr="00760E1A">
        <w:t xml:space="preserve"> </w:t>
      </w:r>
      <w:r w:rsidRPr="00760E1A">
        <w:rPr>
          <w:i/>
        </w:rPr>
        <w:t>See</w:t>
      </w:r>
      <w:r>
        <w:rPr>
          <w:color w:val="000000"/>
        </w:rPr>
        <w:t xml:space="preserve"> </w:t>
      </w:r>
      <w:r w:rsidRPr="00994FF3">
        <w:rPr>
          <w:i/>
          <w:color w:val="000000"/>
        </w:rPr>
        <w:t>Incentive Auction R&amp;O</w:t>
      </w:r>
      <w:r w:rsidRPr="00994FF3">
        <w:rPr>
          <w:color w:val="000000"/>
        </w:rPr>
        <w:t>, 29 FCC Rcd at 6834-35, para. 657</w:t>
      </w:r>
      <w:r w:rsidRPr="00994FF3">
        <w:t>.</w:t>
      </w:r>
    </w:p>
  </w:footnote>
  <w:footnote w:id="26">
    <w:p w14:paraId="5000ADCB" w14:textId="25FAAF62" w:rsidR="0092541F" w:rsidRPr="00760E1A" w:rsidRDefault="0092541F" w:rsidP="0003387D">
      <w:pPr>
        <w:pStyle w:val="NormalWeb"/>
        <w:spacing w:before="0" w:beforeAutospacing="0" w:after="120" w:afterAutospacing="0"/>
        <w:rPr>
          <w:rFonts w:ascii="Times New Roman" w:hAnsi="Times New Roman"/>
        </w:rPr>
      </w:pPr>
      <w:r w:rsidRPr="00760E1A">
        <w:rPr>
          <w:rStyle w:val="FootnoteReference"/>
        </w:rPr>
        <w:footnoteRef/>
      </w:r>
      <w:r w:rsidRPr="00760E1A">
        <w:rPr>
          <w:rFonts w:ascii="Times New Roman" w:hAnsi="Times New Roman"/>
        </w:rPr>
        <w:t xml:space="preserve"> </w:t>
      </w:r>
      <w:r>
        <w:rPr>
          <w:rFonts w:ascii="Times New Roman" w:hAnsi="Times New Roman"/>
        </w:rPr>
        <w:t xml:space="preserve">These measures </w:t>
      </w:r>
      <w:r w:rsidRPr="00A7026C">
        <w:rPr>
          <w:color w:val="000000"/>
          <w:szCs w:val="22"/>
        </w:rPr>
        <w:t>includ</w:t>
      </w:r>
      <w:r>
        <w:rPr>
          <w:color w:val="000000"/>
          <w:szCs w:val="22"/>
        </w:rPr>
        <w:t xml:space="preserve">e </w:t>
      </w:r>
      <w:r w:rsidRPr="00A7026C">
        <w:rPr>
          <w:color w:val="000000"/>
          <w:szCs w:val="22"/>
        </w:rPr>
        <w:t>a</w:t>
      </w:r>
      <w:r w:rsidRPr="00A7026C">
        <w:rPr>
          <w:szCs w:val="22"/>
        </w:rPr>
        <w:t xml:space="preserve"> special post-auction filing window </w:t>
      </w:r>
      <w:r>
        <w:rPr>
          <w:szCs w:val="22"/>
        </w:rPr>
        <w:t xml:space="preserve">for </w:t>
      </w:r>
      <w:r w:rsidRPr="00A7026C">
        <w:rPr>
          <w:szCs w:val="22"/>
        </w:rPr>
        <w:t>select</w:t>
      </w:r>
      <w:r>
        <w:rPr>
          <w:szCs w:val="22"/>
        </w:rPr>
        <w:t>ing</w:t>
      </w:r>
      <w:r w:rsidRPr="00A7026C">
        <w:rPr>
          <w:szCs w:val="22"/>
        </w:rPr>
        <w:t xml:space="preserve"> a new channel,</w:t>
      </w:r>
      <w:r>
        <w:rPr>
          <w:szCs w:val="22"/>
        </w:rPr>
        <w:t xml:space="preserve"> </w:t>
      </w:r>
      <w:r>
        <w:rPr>
          <w:rFonts w:ascii="Times New Roman" w:hAnsi="Times New Roman"/>
          <w:i/>
          <w:color w:val="000000"/>
        </w:rPr>
        <w:t>see I</w:t>
      </w:r>
      <w:r w:rsidRPr="00994FF3">
        <w:rPr>
          <w:rFonts w:ascii="Times New Roman" w:hAnsi="Times New Roman"/>
          <w:i/>
          <w:color w:val="000000"/>
        </w:rPr>
        <w:t>ncentive Auction R&amp;O</w:t>
      </w:r>
      <w:r w:rsidRPr="00994FF3">
        <w:rPr>
          <w:rFonts w:ascii="Times New Roman" w:hAnsi="Times New Roman"/>
          <w:color w:val="000000"/>
        </w:rPr>
        <w:t>, 29 FCC Rcd at 6</w:t>
      </w:r>
      <w:r w:rsidRPr="00994FF3">
        <w:rPr>
          <w:color w:val="000000"/>
        </w:rPr>
        <w:t>834-35</w:t>
      </w:r>
      <w:r w:rsidRPr="00994FF3">
        <w:rPr>
          <w:rFonts w:ascii="Times New Roman" w:hAnsi="Times New Roman"/>
          <w:color w:val="000000"/>
        </w:rPr>
        <w:t>, para. 657</w:t>
      </w:r>
      <w:r>
        <w:t xml:space="preserve">, </w:t>
      </w:r>
      <w:r w:rsidRPr="00A7026C">
        <w:rPr>
          <w:color w:val="000000"/>
          <w:szCs w:val="22"/>
        </w:rPr>
        <w:t>flexibility for</w:t>
      </w:r>
      <w:r w:rsidRPr="00A7026C">
        <w:rPr>
          <w:szCs w:val="22"/>
        </w:rPr>
        <w:t xml:space="preserve"> stations with mutually exclusive displacement applications to reach a settlement or an engineering solution,</w:t>
      </w:r>
      <w:r>
        <w:rPr>
          <w:szCs w:val="22"/>
        </w:rPr>
        <w:t xml:space="preserve"> </w:t>
      </w:r>
      <w:r>
        <w:rPr>
          <w:i/>
        </w:rPr>
        <w:t>s</w:t>
      </w:r>
      <w:r w:rsidRPr="009921D5">
        <w:rPr>
          <w:i/>
        </w:rPr>
        <w:t>ee id</w:t>
      </w:r>
      <w:r>
        <w:t>.</w:t>
      </w:r>
      <w:r>
        <w:rPr>
          <w:rFonts w:ascii="Times New Roman" w:hAnsi="Times New Roman"/>
        </w:rPr>
        <w:t xml:space="preserve">, </w:t>
      </w:r>
      <w:r w:rsidRPr="00A7026C">
        <w:rPr>
          <w:color w:val="000000"/>
          <w:szCs w:val="22"/>
        </w:rPr>
        <w:t>rules allowing LPTV and TV translator stations to share channels,</w:t>
      </w:r>
      <w:r>
        <w:rPr>
          <w:color w:val="000000"/>
          <w:szCs w:val="22"/>
        </w:rPr>
        <w:t xml:space="preserve"> </w:t>
      </w:r>
      <w:r w:rsidRPr="00994FF3">
        <w:rPr>
          <w:i/>
          <w:color w:val="000000"/>
          <w:szCs w:val="22"/>
        </w:rPr>
        <w:t>see</w:t>
      </w:r>
      <w:r>
        <w:rPr>
          <w:color w:val="000000"/>
          <w:szCs w:val="22"/>
        </w:rPr>
        <w:t xml:space="preserve"> </w:t>
      </w:r>
      <w:r w:rsidRPr="006A1269">
        <w:rPr>
          <w:i/>
          <w:iCs/>
        </w:rPr>
        <w:t>Expanding the Economic and Innovation Opportunities of Spectrum Through Incentive Auctions</w:t>
      </w:r>
      <w:r w:rsidRPr="006A1269">
        <w:t xml:space="preserve">, MB Docket No. 03-185, </w:t>
      </w:r>
      <w:r w:rsidRPr="00830AA4">
        <w:t>GN Docket No. 12-268, ET Docket No. 14-175, Third Report and Order and Fourth Notice of Proposed Rulemaking, 2015 WL 9260876, para. 21 (Dec. 17, 2015) (“[S]t</w:t>
      </w:r>
      <w:r w:rsidRPr="00830AA4">
        <w:rPr>
          <w:color w:val="212121"/>
        </w:rPr>
        <w:t xml:space="preserve">ations that are displaced by the incentive auction and repacking process that have difficulty finding available channels may be able to use channel sharing to team with other such stations in the same predicament. </w:t>
      </w:r>
      <w:r>
        <w:rPr>
          <w:color w:val="212121"/>
        </w:rPr>
        <w:t xml:space="preserve">. . .  </w:t>
      </w:r>
      <w:r w:rsidRPr="00830AA4">
        <w:rPr>
          <w:color w:val="212121"/>
        </w:rPr>
        <w:t>Alternatively, a displaced LPTV or TV translator station could agree to share the channel of a non-displaced station.”)</w:t>
      </w:r>
      <w:r>
        <w:rPr>
          <w:color w:val="212121"/>
        </w:rPr>
        <w:t>,</w:t>
      </w:r>
      <w:r>
        <w:t xml:space="preserve"> </w:t>
      </w:r>
      <w:r w:rsidRPr="00A7026C">
        <w:rPr>
          <w:color w:val="000000"/>
          <w:szCs w:val="22"/>
        </w:rPr>
        <w:t xml:space="preserve">and </w:t>
      </w:r>
      <w:r>
        <w:rPr>
          <w:color w:val="000000"/>
          <w:szCs w:val="22"/>
        </w:rPr>
        <w:t>us</w:t>
      </w:r>
      <w:r w:rsidRPr="00A7026C">
        <w:rPr>
          <w:color w:val="212121"/>
          <w:szCs w:val="22"/>
        </w:rPr>
        <w:t xml:space="preserve">e </w:t>
      </w:r>
      <w:r>
        <w:rPr>
          <w:color w:val="212121"/>
          <w:szCs w:val="22"/>
        </w:rPr>
        <w:t xml:space="preserve">of </w:t>
      </w:r>
      <w:r w:rsidRPr="00A7026C">
        <w:rPr>
          <w:color w:val="212121"/>
          <w:szCs w:val="22"/>
        </w:rPr>
        <w:t>the incentive auction optimization and repacking software to identify new channels.</w:t>
      </w:r>
      <w:r>
        <w:rPr>
          <w:color w:val="212121"/>
          <w:szCs w:val="22"/>
        </w:rPr>
        <w:t xml:space="preserve">  </w:t>
      </w:r>
      <w:r w:rsidRPr="004F19D4">
        <w:rPr>
          <w:i/>
        </w:rPr>
        <w:t>See id.</w:t>
      </w:r>
      <w:r>
        <w:t xml:space="preserve"> at paras. 40-43.</w:t>
      </w:r>
    </w:p>
  </w:footnote>
  <w:footnote w:id="27">
    <w:p w14:paraId="7498DED5" w14:textId="77777777" w:rsidR="0092541F" w:rsidRPr="00760E1A" w:rsidRDefault="0092541F" w:rsidP="00CE014A">
      <w:pPr>
        <w:autoSpaceDE w:val="0"/>
        <w:autoSpaceDN w:val="0"/>
        <w:adjustRightInd w:val="0"/>
        <w:spacing w:after="120"/>
        <w:jc w:val="both"/>
        <w:rPr>
          <w:sz w:val="20"/>
        </w:rPr>
      </w:pPr>
      <w:r w:rsidRPr="00760E1A">
        <w:rPr>
          <w:rStyle w:val="FootnoteReference"/>
        </w:rPr>
        <w:footnoteRef/>
      </w:r>
      <w:r w:rsidRPr="00760E1A">
        <w:rPr>
          <w:sz w:val="20"/>
        </w:rPr>
        <w:t xml:space="preserve"> </w:t>
      </w:r>
      <w:r w:rsidRPr="00760E1A">
        <w:rPr>
          <w:rStyle w:val="Emphasis"/>
          <w:color w:val="252525"/>
          <w:sz w:val="20"/>
        </w:rPr>
        <w:t>See</w:t>
      </w:r>
      <w:r w:rsidRPr="00760E1A">
        <w:rPr>
          <w:rStyle w:val="apple-converted-space"/>
          <w:i/>
          <w:iCs/>
          <w:color w:val="252525"/>
          <w:sz w:val="20"/>
        </w:rPr>
        <w:t> </w:t>
      </w:r>
      <w:r w:rsidRPr="001E1D6C">
        <w:rPr>
          <w:i/>
          <w:iCs/>
          <w:color w:val="000000"/>
          <w:sz w:val="20"/>
        </w:rPr>
        <w:t>FCC v Radiofone, Inc.</w:t>
      </w:r>
      <w:r w:rsidRPr="001E1D6C">
        <w:rPr>
          <w:color w:val="000000"/>
          <w:sz w:val="20"/>
        </w:rPr>
        <w:t xml:space="preserve">, 516 U.S. 1301, 116 S.Ct. 283 (1995) (Justice Stevens vacating a stay of an auction, stating that “allowing the national auction to go forward will not defeat the power of the Court of Appeals to grant appropriate relief in the event that respondent </w:t>
      </w:r>
      <w:r w:rsidRPr="00760E1A">
        <w:rPr>
          <w:color w:val="252525"/>
          <w:sz w:val="20"/>
        </w:rPr>
        <w:t>overcomes the presumption of validity that supports the FCC regulations and prevails on the merits”</w:t>
      </w:r>
      <w:r w:rsidRPr="00760E1A">
        <w:rPr>
          <w:color w:val="000000"/>
          <w:sz w:val="20"/>
        </w:rPr>
        <w:t>)</w:t>
      </w:r>
      <w:r>
        <w:rPr>
          <w:color w:val="000000"/>
          <w:sz w:val="20"/>
        </w:rPr>
        <w:t xml:space="preserve">; </w:t>
      </w:r>
      <w:r w:rsidRPr="00760E1A">
        <w:rPr>
          <w:i/>
          <w:sz w:val="20"/>
        </w:rPr>
        <w:t>VA Petroleum Jobbers</w:t>
      </w:r>
      <w:r w:rsidRPr="00760E1A">
        <w:rPr>
          <w:sz w:val="20"/>
        </w:rPr>
        <w:t>, 259 F.2d at 925</w:t>
      </w:r>
      <w:r w:rsidRPr="00760E1A">
        <w:rPr>
          <w:rStyle w:val="apple-converted-space"/>
          <w:color w:val="252525"/>
          <w:sz w:val="20"/>
        </w:rPr>
        <w:t> </w:t>
      </w:r>
      <w:r w:rsidRPr="00760E1A">
        <w:rPr>
          <w:color w:val="252525"/>
          <w:sz w:val="20"/>
        </w:rPr>
        <w:t>(“The possibility that adequate . . . relief will be available at a later date, in the ordinary course of litigation, weighs heavily against a claim of irreparable harm.”).</w:t>
      </w:r>
      <w:r w:rsidRPr="00760E1A">
        <w:rPr>
          <w:i/>
          <w:iCs/>
          <w:color w:val="000000"/>
          <w:sz w:val="20"/>
        </w:rPr>
        <w:t xml:space="preserve"> </w:t>
      </w:r>
    </w:p>
  </w:footnote>
  <w:footnote w:id="28">
    <w:p w14:paraId="296105D6" w14:textId="7A92F6B7" w:rsidR="0092541F" w:rsidRPr="008B1672" w:rsidRDefault="0092541F">
      <w:pPr>
        <w:pStyle w:val="FootnoteText"/>
      </w:pPr>
      <w:r>
        <w:rPr>
          <w:rStyle w:val="FootnoteReference"/>
        </w:rPr>
        <w:footnoteRef/>
      </w:r>
      <w:r>
        <w:t xml:space="preserve"> </w:t>
      </w:r>
      <w:r>
        <w:rPr>
          <w:i/>
        </w:rPr>
        <w:t>See Incentive Auction R&amp;O</w:t>
      </w:r>
      <w:r>
        <w:t>, 29 FCC Rcd at 6783-84 para. 529.</w:t>
      </w:r>
    </w:p>
  </w:footnote>
  <w:footnote w:id="29">
    <w:p w14:paraId="0603A70F" w14:textId="7F78385C" w:rsidR="0092541F" w:rsidRPr="00CE014A" w:rsidRDefault="0092541F">
      <w:pPr>
        <w:pStyle w:val="FootnoteText"/>
      </w:pPr>
      <w:r>
        <w:rPr>
          <w:rStyle w:val="FootnoteReference"/>
        </w:rPr>
        <w:footnoteRef/>
      </w:r>
      <w:r>
        <w:t xml:space="preserve"> </w:t>
      </w:r>
      <w:r>
        <w:rPr>
          <w:i/>
        </w:rPr>
        <w:t xml:space="preserve">See </w:t>
      </w:r>
      <w:r w:rsidRPr="006B232E">
        <w:rPr>
          <w:i/>
        </w:rPr>
        <w:t>id</w:t>
      </w:r>
      <w:r>
        <w:t>. at 6797 para. 563.</w:t>
      </w:r>
    </w:p>
  </w:footnote>
  <w:footnote w:id="30">
    <w:p w14:paraId="11A913FB" w14:textId="251FC950" w:rsidR="0092541F" w:rsidRPr="006419D8" w:rsidRDefault="0092541F">
      <w:pPr>
        <w:pStyle w:val="FootnoteText"/>
      </w:pPr>
      <w:r>
        <w:rPr>
          <w:rStyle w:val="FootnoteReference"/>
        </w:rPr>
        <w:footnoteRef/>
      </w:r>
      <w:r>
        <w:t xml:space="preserve"> </w:t>
      </w:r>
      <w:r>
        <w:rPr>
          <w:i/>
        </w:rPr>
        <w:t xml:space="preserve">See </w:t>
      </w:r>
      <w:r w:rsidRPr="006B232E">
        <w:rPr>
          <w:i/>
        </w:rPr>
        <w:t>id</w:t>
      </w:r>
      <w:r>
        <w:t>. at 6840-41, paras. 670-</w:t>
      </w:r>
      <w:r w:rsidRPr="006419D8">
        <w:t>72.</w:t>
      </w:r>
      <w:r w:rsidR="006419D8">
        <w:t xml:space="preserve">  </w:t>
      </w:r>
      <w:r w:rsidR="006419D8" w:rsidRPr="006419D8">
        <w:rPr>
          <w:color w:val="000000" w:themeColor="text1"/>
        </w:rPr>
        <w:t>Displaced LPTV stations in the spectrum transferred to wireless use (other than those in the spectrum assigned to guard bands) will not be required to relocate until the new wireless licensee is ready to commence operations, which in many cases may be more than 39 months.  47 C.F.R. §</w:t>
      </w:r>
      <w:r w:rsidR="00800E51">
        <w:rPr>
          <w:color w:val="000000" w:themeColor="text1"/>
        </w:rPr>
        <w:t xml:space="preserve"> </w:t>
      </w:r>
      <w:r w:rsidR="006419D8" w:rsidRPr="006419D8">
        <w:rPr>
          <w:color w:val="000000" w:themeColor="text1"/>
        </w:rPr>
        <w:t>73.3700(g)(4)(iii).  Displaced LPTV stations</w:t>
      </w:r>
      <w:r w:rsidR="006419D8" w:rsidRPr="006419D8">
        <w:rPr>
          <w:snapToGrid w:val="0"/>
          <w:color w:val="000000" w:themeColor="text1"/>
        </w:rPr>
        <w:t xml:space="preserve"> </w:t>
      </w:r>
      <w:r w:rsidR="006419D8" w:rsidRPr="006419D8">
        <w:rPr>
          <w:color w:val="000000" w:themeColor="text1"/>
        </w:rPr>
        <w:t>in the spectrum assigned to guard bands</w:t>
      </w:r>
      <w:r w:rsidR="006419D8" w:rsidRPr="006419D8">
        <w:rPr>
          <w:snapToGrid w:val="0"/>
          <w:color w:val="000000" w:themeColor="text1"/>
        </w:rPr>
        <w:t xml:space="preserve">, including the duplex gap, must relocate no later than the end of the 39-month transition period.  </w:t>
      </w:r>
      <w:r w:rsidR="006419D8" w:rsidRPr="006419D8">
        <w:rPr>
          <w:color w:val="000000" w:themeColor="text1"/>
        </w:rPr>
        <w:t xml:space="preserve">47 C.F.R. § 73.3700(g)(4)(v).  </w:t>
      </w:r>
      <w:r w:rsidR="006419D8" w:rsidRPr="006419D8">
        <w:rPr>
          <w:snapToGrid w:val="0"/>
          <w:color w:val="000000" w:themeColor="text1"/>
        </w:rPr>
        <w:t>I</w:t>
      </w:r>
      <w:r w:rsidR="006419D8" w:rsidRPr="006419D8">
        <w:rPr>
          <w:color w:val="000000" w:themeColor="text1"/>
        </w:rPr>
        <w:t xml:space="preserve">n the spectrum continuing to be allocated and assigned to broadcast television, LPTV stations may continue to operate until displaced by a full power or Class A television station that is reassigned a new channel in the repacking process.  </w:t>
      </w:r>
      <w:r w:rsidR="006419D8">
        <w:rPr>
          <w:i/>
        </w:rPr>
        <w:t>See Incentive Auction R&amp;O</w:t>
      </w:r>
      <w:r w:rsidR="006419D8">
        <w:t>, 29 FCC Rcd at 6840 n.1866.</w:t>
      </w:r>
    </w:p>
  </w:footnote>
  <w:footnote w:id="31">
    <w:p w14:paraId="264BBCB6" w14:textId="2746F4BE" w:rsidR="0092541F" w:rsidRPr="000473C0" w:rsidRDefault="0092541F" w:rsidP="006F70B0">
      <w:pPr>
        <w:pStyle w:val="FootnoteText"/>
      </w:pPr>
      <w:r w:rsidRPr="00E14174">
        <w:rPr>
          <w:rStyle w:val="FootnoteReference"/>
        </w:rPr>
        <w:footnoteRef/>
      </w:r>
      <w:r w:rsidRPr="00E14174">
        <w:t xml:space="preserve"> </w:t>
      </w:r>
      <w:r w:rsidRPr="00E14174">
        <w:rPr>
          <w:i/>
        </w:rPr>
        <w:t xml:space="preserve">See </w:t>
      </w:r>
      <w:r w:rsidRPr="00E14174">
        <w:t>Stay Motion at 22-24.</w:t>
      </w:r>
    </w:p>
  </w:footnote>
  <w:footnote w:id="32">
    <w:p w14:paraId="7BAA157C" w14:textId="77777777" w:rsidR="0092541F" w:rsidRPr="001E1D6C" w:rsidRDefault="0092541F" w:rsidP="001E1D6C">
      <w:pPr>
        <w:pStyle w:val="FootnoteText"/>
        <w:widowControl w:val="0"/>
        <w:rPr>
          <w:color w:val="000000"/>
        </w:rPr>
      </w:pPr>
      <w:r w:rsidRPr="00760E1A">
        <w:rPr>
          <w:rStyle w:val="FootnoteReference"/>
        </w:rPr>
        <w:footnoteRef/>
      </w:r>
      <w:r w:rsidRPr="00760E1A">
        <w:t xml:space="preserve"> </w:t>
      </w:r>
      <w:r w:rsidRPr="00A01297">
        <w:rPr>
          <w:i/>
          <w:color w:val="000000"/>
        </w:rPr>
        <w:t>See Expanding the Economic and Innovation Opportunities of Spectrum Through Incentive Auctions</w:t>
      </w:r>
      <w:r w:rsidRPr="00A01297">
        <w:rPr>
          <w:color w:val="000000"/>
        </w:rPr>
        <w:t>, GN Docket No. 12-268, Notice of Proposed Rulemaking, 27 FCC Rcd 12357</w:t>
      </w:r>
      <w:r>
        <w:rPr>
          <w:color w:val="000000"/>
        </w:rPr>
        <w:t xml:space="preserve">, </w:t>
      </w:r>
      <w:r w:rsidRPr="001E1D6C">
        <w:rPr>
          <w:color w:val="000000"/>
        </w:rPr>
        <w:t>12358, para. 1</w:t>
      </w:r>
      <w:r w:rsidRPr="00A01297">
        <w:rPr>
          <w:color w:val="000000"/>
        </w:rPr>
        <w:t xml:space="preserve"> (2012) (“</w:t>
      </w:r>
      <w:r w:rsidRPr="00A01297">
        <w:rPr>
          <w:i/>
          <w:color w:val="000000"/>
        </w:rPr>
        <w:t>Incentive Auction NPRM</w:t>
      </w:r>
      <w:r w:rsidRPr="00A01297">
        <w:rPr>
          <w:color w:val="000000"/>
        </w:rPr>
        <w:t>”)</w:t>
      </w:r>
      <w:r w:rsidRPr="001E1D6C">
        <w:rPr>
          <w:color w:val="000000"/>
        </w:rPr>
        <w:t>.</w:t>
      </w:r>
    </w:p>
  </w:footnote>
  <w:footnote w:id="33">
    <w:p w14:paraId="4707253E" w14:textId="77777777" w:rsidR="0092541F" w:rsidRPr="00760E1A" w:rsidRDefault="0092541F" w:rsidP="001E1D6C">
      <w:pPr>
        <w:pStyle w:val="FootnoteText"/>
      </w:pPr>
      <w:r w:rsidRPr="00760E1A">
        <w:rPr>
          <w:rStyle w:val="FootnoteReference"/>
        </w:rPr>
        <w:footnoteRef/>
      </w:r>
      <w:r w:rsidRPr="00760E1A">
        <w:t xml:space="preserve"> </w:t>
      </w:r>
      <w:r w:rsidRPr="00760E1A">
        <w:rPr>
          <w:i/>
        </w:rPr>
        <w:t xml:space="preserve">See generally </w:t>
      </w:r>
      <w:r w:rsidRPr="001E1D6C">
        <w:rPr>
          <w:i/>
          <w:color w:val="000000"/>
        </w:rPr>
        <w:t>Nat’l Assoc. of Broadcasters, et al. v. FCC</w:t>
      </w:r>
      <w:r w:rsidRPr="001E1D6C">
        <w:rPr>
          <w:color w:val="000000"/>
        </w:rPr>
        <w:t xml:space="preserve">, </w:t>
      </w:r>
      <w:r w:rsidRPr="001E1D6C">
        <w:rPr>
          <w:snapToGrid w:val="0"/>
          <w:color w:val="000000"/>
        </w:rPr>
        <w:t>789 F.3d 165</w:t>
      </w:r>
      <w:r w:rsidRPr="001E1D6C">
        <w:rPr>
          <w:color w:val="000000"/>
        </w:rPr>
        <w:t xml:space="preserve"> (D.C. Cir. 2015)</w:t>
      </w:r>
      <w:r w:rsidRPr="00760E1A">
        <w:t xml:space="preserve">; </w:t>
      </w:r>
      <w:r w:rsidRPr="00760E1A">
        <w:rPr>
          <w:i/>
        </w:rPr>
        <w:t>Incentive Auction R&amp;O</w:t>
      </w:r>
      <w:r w:rsidRPr="00760E1A">
        <w:t xml:space="preserve">, 29 FCC Rcd at 6573, para. 13. </w:t>
      </w:r>
    </w:p>
  </w:footnote>
  <w:footnote w:id="34">
    <w:p w14:paraId="12C36026" w14:textId="77777777" w:rsidR="0092541F" w:rsidRPr="00760E1A" w:rsidRDefault="0092541F" w:rsidP="0092541F">
      <w:pPr>
        <w:pStyle w:val="FootnoteText"/>
      </w:pPr>
      <w:r w:rsidRPr="00760E1A">
        <w:rPr>
          <w:rStyle w:val="FootnoteReference"/>
        </w:rPr>
        <w:footnoteRef/>
      </w:r>
      <w:r w:rsidRPr="00760E1A">
        <w:t xml:space="preserve"> While Congress established 2022 as the deadline for conducting a broadcast television spectrum incentive auction, </w:t>
      </w:r>
      <w:r w:rsidRPr="00760E1A">
        <w:rPr>
          <w:i/>
        </w:rPr>
        <w:t xml:space="preserve">see </w:t>
      </w:r>
      <w:r w:rsidRPr="00760E1A">
        <w:t xml:space="preserve">Stay Motion at </w:t>
      </w:r>
      <w:r>
        <w:t>3, 22</w:t>
      </w:r>
      <w:r w:rsidRPr="00760E1A">
        <w:t xml:space="preserve"> (citing 47 U.S.C. § 1452(f)(3)), the Commission has reasonably determined that the increasing demand for spectrum-based services requires it to conduct the auction in advance of that date.     </w:t>
      </w:r>
    </w:p>
  </w:footnote>
  <w:footnote w:id="35">
    <w:p w14:paraId="3227D8F7" w14:textId="52105A64" w:rsidR="0092541F" w:rsidRDefault="0092541F" w:rsidP="0092541F">
      <w:pPr>
        <w:pStyle w:val="FootnoteText"/>
      </w:pPr>
      <w:r>
        <w:rPr>
          <w:rStyle w:val="FootnoteReference"/>
        </w:rPr>
        <w:footnoteRef/>
      </w:r>
      <w:r>
        <w:t xml:space="preserve"> </w:t>
      </w:r>
      <w:r w:rsidRPr="00701764">
        <w:rPr>
          <w:i/>
        </w:rPr>
        <w:t>See</w:t>
      </w:r>
      <w:r>
        <w:t xml:space="preserve"> Stay Motion at 2, 3, 24 (claiming without support that the requested stay would be “brief”).</w:t>
      </w:r>
    </w:p>
  </w:footnote>
  <w:footnote w:id="36">
    <w:p w14:paraId="76B9B047" w14:textId="26489C72" w:rsidR="0092541F" w:rsidRPr="00EC1566" w:rsidRDefault="0092541F" w:rsidP="0030221B">
      <w:pPr>
        <w:pStyle w:val="FootnoteText"/>
      </w:pPr>
      <w:r w:rsidRPr="00EC1566">
        <w:rPr>
          <w:rStyle w:val="FootnoteReference"/>
        </w:rPr>
        <w:footnoteRef/>
      </w:r>
      <w:r w:rsidRPr="00EC1566">
        <w:t xml:space="preserve"> </w:t>
      </w:r>
      <w:r w:rsidRPr="00A612C9">
        <w:rPr>
          <w:bCs/>
          <w:szCs w:val="22"/>
        </w:rPr>
        <w:t xml:space="preserve">For the reverse auction, the quiet period prohibits broadcasters </w:t>
      </w:r>
      <w:r w:rsidRPr="00A612C9">
        <w:rPr>
          <w:color w:val="212121"/>
          <w:szCs w:val="22"/>
        </w:rPr>
        <w:t>“from communicating directly or indirectly any incentive auction applicant’s bids or bidding strategies to any other full power or Class A broadcast television licensee or to any forward auction applicant.”</w:t>
      </w:r>
      <w:r>
        <w:rPr>
          <w:color w:val="212121"/>
          <w:szCs w:val="22"/>
        </w:rPr>
        <w:t xml:space="preserve">  </w:t>
      </w:r>
      <w:r w:rsidRPr="00EC1566">
        <w:t>47 C.F.R. § 1.2205(b)</w:t>
      </w:r>
      <w:r w:rsidRPr="00EC1566">
        <w:rPr>
          <w:color w:val="212121"/>
        </w:rPr>
        <w:t>.</w:t>
      </w:r>
      <w:r>
        <w:rPr>
          <w:color w:val="212121"/>
        </w:rPr>
        <w:t xml:space="preserve">  </w:t>
      </w:r>
      <w:r w:rsidRPr="00A612C9">
        <w:rPr>
          <w:rStyle w:val="apple-converted-space"/>
          <w:color w:val="212121"/>
          <w:szCs w:val="22"/>
        </w:rPr>
        <w:t xml:space="preserve">A quiet period </w:t>
      </w:r>
      <w:r>
        <w:rPr>
          <w:rStyle w:val="apple-converted-space"/>
          <w:color w:val="212121"/>
          <w:szCs w:val="22"/>
        </w:rPr>
        <w:t xml:space="preserve">also </w:t>
      </w:r>
      <w:r w:rsidRPr="00A612C9">
        <w:rPr>
          <w:rStyle w:val="apple-converted-space"/>
          <w:color w:val="212121"/>
          <w:szCs w:val="22"/>
        </w:rPr>
        <w:t>pertains to the forward auction.</w:t>
      </w:r>
      <w:r>
        <w:rPr>
          <w:rStyle w:val="apple-converted-space"/>
          <w:color w:val="212121"/>
          <w:szCs w:val="22"/>
        </w:rPr>
        <w:t xml:space="preserve">  </w:t>
      </w:r>
      <w:r w:rsidRPr="00EC1566">
        <w:t>47 C.F.R. § 1.2105(c)(1)</w:t>
      </w:r>
      <w:r w:rsidRPr="00EC1566">
        <w:rPr>
          <w:color w:val="212121"/>
        </w:rPr>
        <w:t>.</w:t>
      </w:r>
      <w:r>
        <w:rPr>
          <w:color w:val="212121"/>
        </w:rPr>
        <w:t xml:space="preserve">  </w:t>
      </w:r>
      <w:r w:rsidRPr="00A612C9">
        <w:rPr>
          <w:rStyle w:val="apple-converted-space"/>
          <w:color w:val="212121"/>
          <w:szCs w:val="22"/>
        </w:rPr>
        <w:t xml:space="preserve">These quiet periods </w:t>
      </w:r>
      <w:r>
        <w:rPr>
          <w:rStyle w:val="apple-converted-space"/>
          <w:color w:val="212121"/>
          <w:szCs w:val="22"/>
        </w:rPr>
        <w:t xml:space="preserve">continue until </w:t>
      </w:r>
      <w:r w:rsidRPr="00A612C9">
        <w:rPr>
          <w:rStyle w:val="apple-converted-space"/>
          <w:color w:val="212121"/>
          <w:szCs w:val="22"/>
        </w:rPr>
        <w:t xml:space="preserve">either the results of the auction are announced (for the reverse auction quiet period) or the deadline </w:t>
      </w:r>
      <w:r>
        <w:rPr>
          <w:rStyle w:val="apple-converted-space"/>
          <w:color w:val="212121"/>
          <w:szCs w:val="22"/>
        </w:rPr>
        <w:t xml:space="preserve">has past </w:t>
      </w:r>
      <w:r w:rsidRPr="00A612C9">
        <w:rPr>
          <w:rStyle w:val="apple-converted-space"/>
          <w:color w:val="212121"/>
          <w:szCs w:val="22"/>
        </w:rPr>
        <w:t>for making post-auction down payments on winning bids (for the forward auction quiet period).</w:t>
      </w:r>
    </w:p>
  </w:footnote>
  <w:footnote w:id="37">
    <w:p w14:paraId="1382B1B7" w14:textId="77777777" w:rsidR="0092541F" w:rsidRDefault="0092541F" w:rsidP="0030221B">
      <w:pPr>
        <w:pStyle w:val="FootnoteText"/>
      </w:pPr>
      <w:r w:rsidRPr="00EC1566">
        <w:rPr>
          <w:rStyle w:val="FootnoteReference"/>
        </w:rPr>
        <w:footnoteRef/>
      </w:r>
      <w:r w:rsidRPr="00EC1566">
        <w:t xml:space="preserve"> </w:t>
      </w:r>
      <w:r w:rsidRPr="00EC1566">
        <w:rPr>
          <w:rStyle w:val="apple-converted-space"/>
          <w:i/>
          <w:color w:val="212121"/>
        </w:rPr>
        <w:t>See Guidance Regarding the Prohibition of Certain Communications During the Incentive Auction</w:t>
      </w:r>
      <w:r w:rsidRPr="00EC1566">
        <w:rPr>
          <w:rStyle w:val="apple-converted-space"/>
          <w:color w:val="212121"/>
        </w:rPr>
        <w:t>, Public Notice, 30 FCC Rcd 10794, 10798, n.17 (2015) (“</w:t>
      </w:r>
      <w:r w:rsidRPr="00EC1566">
        <w:rPr>
          <w:color w:val="212121"/>
        </w:rPr>
        <w:t>Communications with covered parties remain safest before or after the</w:t>
      </w:r>
      <w:r w:rsidRPr="00EC1566">
        <w:rPr>
          <w:rStyle w:val="apple-converted-space"/>
          <w:color w:val="212121"/>
        </w:rPr>
        <w:t> </w:t>
      </w:r>
      <w:r w:rsidRPr="00EC1566">
        <w:rPr>
          <w:rStyle w:val="cosearchterm"/>
          <w:bCs/>
          <w:color w:val="252525"/>
        </w:rPr>
        <w:t>quiet</w:t>
      </w:r>
      <w:r w:rsidRPr="00EC1566">
        <w:rPr>
          <w:rStyle w:val="apple-converted-space"/>
          <w:color w:val="212121"/>
        </w:rPr>
        <w:t> </w:t>
      </w:r>
      <w:r w:rsidRPr="00EC1566">
        <w:rPr>
          <w:rStyle w:val="cosearchterm"/>
          <w:bCs/>
          <w:color w:val="252525"/>
        </w:rPr>
        <w:t>period</w:t>
      </w:r>
      <w:r w:rsidRPr="00EC1566">
        <w:rPr>
          <w:color w:val="212121"/>
        </w:rPr>
        <w:t>, when no violation of the Commission’s rule can occur.”).</w:t>
      </w:r>
    </w:p>
  </w:footnote>
  <w:footnote w:id="38">
    <w:p w14:paraId="25C82CF9" w14:textId="77777777" w:rsidR="0092541F" w:rsidRPr="00760E1A" w:rsidRDefault="0092541F" w:rsidP="001E1D6C">
      <w:pPr>
        <w:pStyle w:val="FootnoteText"/>
      </w:pPr>
      <w:r w:rsidRPr="00760E1A">
        <w:rPr>
          <w:rStyle w:val="FootnoteReference"/>
        </w:rPr>
        <w:footnoteRef/>
      </w:r>
      <w:r w:rsidRPr="00760E1A">
        <w:t xml:space="preserve"> </w:t>
      </w:r>
      <w:r w:rsidRPr="00760E1A">
        <w:rPr>
          <w:i/>
          <w:color w:val="000000"/>
        </w:rPr>
        <w:t>See Genesis Communications I, Inc</w:t>
      </w:r>
      <w:r w:rsidRPr="00760E1A">
        <w:rPr>
          <w:color w:val="000000"/>
        </w:rPr>
        <w:t xml:space="preserve">., Memorandum Opinion and Order, 29 FCC Rcd 4214, 4215, para. 3 (2014) (“[T]here is no rule or case support for the claim that auction or post-auction procedures must be delayed until all reviews and appeals are final.”).  </w:t>
      </w:r>
      <w:r w:rsidRPr="00760E1A">
        <w:rPr>
          <w:i/>
          <w:color w:val="000000"/>
        </w:rPr>
        <w:t xml:space="preserve">See also </w:t>
      </w:r>
      <w:r w:rsidRPr="00760E1A">
        <w:rPr>
          <w:color w:val="000000"/>
        </w:rPr>
        <w:t xml:space="preserve">47 U.S.C. </w:t>
      </w:r>
      <w:r w:rsidRPr="001E1D6C">
        <w:rPr>
          <w:color w:val="000000"/>
        </w:rPr>
        <w:t xml:space="preserve">§ 309(j)(3)(A) (directing the Commission to design auctions in order to, </w:t>
      </w:r>
      <w:r w:rsidRPr="001E1D6C">
        <w:rPr>
          <w:i/>
          <w:color w:val="000000"/>
        </w:rPr>
        <w:t>inter alia</w:t>
      </w:r>
      <w:r w:rsidRPr="001E1D6C">
        <w:rPr>
          <w:color w:val="000000"/>
        </w:rPr>
        <w:t xml:space="preserve">, promote “the development and rapid deployment of new technologies, products, and services for the benefit of the public, including those residing in rural areas, without administrative or judicial delays”). </w:t>
      </w:r>
    </w:p>
  </w:footnote>
  <w:footnote w:id="39">
    <w:p w14:paraId="3117DDA1" w14:textId="319C4139" w:rsidR="0092541F" w:rsidRDefault="0092541F">
      <w:pPr>
        <w:pStyle w:val="FootnoteText"/>
      </w:pPr>
      <w:r>
        <w:rPr>
          <w:rStyle w:val="FootnoteReference"/>
        </w:rPr>
        <w:footnoteRef/>
      </w:r>
      <w:r>
        <w:t xml:space="preserve"> Stay Motion at 23.  </w:t>
      </w:r>
    </w:p>
  </w:footnote>
  <w:footnote w:id="40">
    <w:p w14:paraId="1E2FBEC1" w14:textId="3220D6AA" w:rsidR="0092541F" w:rsidRDefault="0092541F">
      <w:pPr>
        <w:pStyle w:val="FootnoteText"/>
      </w:pPr>
      <w:r>
        <w:rPr>
          <w:rStyle w:val="FootnoteReference"/>
        </w:rPr>
        <w:footnoteRef/>
      </w:r>
      <w:r>
        <w:t xml:space="preserve"> </w:t>
      </w:r>
      <w:r w:rsidR="002005DD" w:rsidRPr="00A43E1C">
        <w:rPr>
          <w:i/>
          <w:color w:val="000000"/>
        </w:rPr>
        <w:t>Incentive Auction R&amp;O</w:t>
      </w:r>
      <w:r w:rsidR="002005DD" w:rsidRPr="00A43E1C">
        <w:rPr>
          <w:color w:val="000000"/>
        </w:rPr>
        <w:t>, 29 FCC Rcd at 6674-75, para. 241</w:t>
      </w:r>
      <w:r w:rsidR="002005DD">
        <w:rPr>
          <w:color w:val="000000"/>
        </w:rPr>
        <w:t xml:space="preserve">.  </w:t>
      </w:r>
      <w:r w:rsidR="002005DD" w:rsidRPr="00761695">
        <w:rPr>
          <w:i/>
          <w:color w:val="000000"/>
        </w:rPr>
        <w:t>See also</w:t>
      </w:r>
      <w:r w:rsidR="002005DD">
        <w:rPr>
          <w:color w:val="000000"/>
        </w:rPr>
        <w:t xml:space="preserve"> </w:t>
      </w:r>
      <w:r w:rsidR="00761695" w:rsidRPr="001E1D6C">
        <w:rPr>
          <w:i/>
          <w:color w:val="000000"/>
        </w:rPr>
        <w:t>Nat’l Assoc. of Broadcasters</w:t>
      </w:r>
      <w:r w:rsidR="00761695" w:rsidRPr="001E1D6C">
        <w:rPr>
          <w:color w:val="000000"/>
        </w:rPr>
        <w:t xml:space="preserve">, </w:t>
      </w:r>
      <w:r w:rsidR="00761695" w:rsidRPr="001E1D6C">
        <w:rPr>
          <w:snapToGrid w:val="0"/>
          <w:color w:val="000000"/>
        </w:rPr>
        <w:t xml:space="preserve">789 F.3d </w:t>
      </w:r>
      <w:r w:rsidR="00761695">
        <w:rPr>
          <w:snapToGrid w:val="0"/>
          <w:color w:val="000000"/>
        </w:rPr>
        <w:t xml:space="preserve">at 180 </w:t>
      </w:r>
      <w:r w:rsidR="00761695" w:rsidRPr="00EF39E9">
        <w:rPr>
          <w:color w:val="212121"/>
        </w:rPr>
        <w:t>(</w:t>
      </w:r>
      <w:r w:rsidR="003E15AB">
        <w:rPr>
          <w:color w:val="212121"/>
        </w:rPr>
        <w:t xml:space="preserve">deferring to Commission’s “reasonable judgment” that </w:t>
      </w:r>
      <w:r w:rsidR="003E15AB" w:rsidRPr="00EF39E9">
        <w:rPr>
          <w:color w:val="212121"/>
        </w:rPr>
        <w:t>protect</w:t>
      </w:r>
      <w:r w:rsidR="003E15AB">
        <w:rPr>
          <w:color w:val="212121"/>
        </w:rPr>
        <w:t>ing</w:t>
      </w:r>
      <w:r w:rsidR="003E15AB" w:rsidRPr="00EF39E9">
        <w:rPr>
          <w:color w:val="212121"/>
        </w:rPr>
        <w:t xml:space="preserve"> secondary digital replacement translators</w:t>
      </w:r>
      <w:r w:rsidR="003E15AB">
        <w:rPr>
          <w:color w:val="212121"/>
        </w:rPr>
        <w:t xml:space="preserve"> would “‘</w:t>
      </w:r>
      <w:r w:rsidR="00761695" w:rsidRPr="00EF39E9">
        <w:rPr>
          <w:color w:val="212121"/>
        </w:rPr>
        <w:t>significantly affect</w:t>
      </w:r>
      <w:r w:rsidR="003E15AB">
        <w:rPr>
          <w:color w:val="212121"/>
        </w:rPr>
        <w:t>[]</w:t>
      </w:r>
      <w:r w:rsidR="00761695" w:rsidRPr="00EF39E9">
        <w:rPr>
          <w:color w:val="212121"/>
        </w:rPr>
        <w:t xml:space="preserve"> repacking flexibility in markets where they are licensed</w:t>
      </w:r>
      <w:r w:rsidR="003E15AB">
        <w:rPr>
          <w:color w:val="212121"/>
        </w:rPr>
        <w:t>’”)</w:t>
      </w:r>
      <w:r w:rsidR="00761695" w:rsidRPr="00EF39E9">
        <w:rPr>
          <w:color w:val="212121"/>
        </w:rPr>
        <w:t xml:space="preserve"> (citations omitted).</w:t>
      </w:r>
    </w:p>
  </w:footnote>
  <w:footnote w:id="41">
    <w:p w14:paraId="63036754" w14:textId="3BF90765" w:rsidR="0092541F" w:rsidRPr="00931144" w:rsidRDefault="0092541F">
      <w:pPr>
        <w:pStyle w:val="FootnoteText"/>
      </w:pPr>
      <w:r w:rsidRPr="00931144">
        <w:rPr>
          <w:rStyle w:val="FootnoteReference"/>
        </w:rPr>
        <w:footnoteRef/>
      </w:r>
      <w:r w:rsidRPr="00931144">
        <w:t xml:space="preserve"> </w:t>
      </w:r>
      <w:r w:rsidR="007470FA">
        <w:rPr>
          <w:rStyle w:val="Emphasis"/>
          <w:color w:val="212121"/>
        </w:rPr>
        <w:t>See M</w:t>
      </w:r>
      <w:r w:rsidR="007470FA" w:rsidRPr="00706A39">
        <w:rPr>
          <w:rStyle w:val="Emphasis"/>
          <w:color w:val="212121"/>
        </w:rPr>
        <w:t>edia Bureau Announces Incentive Auction Eligible Facilities and July 9, 2015 Deadline for Filing Pre-Auction Technical Certification Form</w:t>
      </w:r>
      <w:r w:rsidR="007470FA" w:rsidRPr="00706A39">
        <w:rPr>
          <w:color w:val="212121"/>
        </w:rPr>
        <w:t>, Public Notice, 30 FCC Rcd 6153 (MB 2015) (requiring full power and Class A television stations to verify and certify to the accuracy of the information contained in the Commission</w:t>
      </w:r>
      <w:r w:rsidR="007470FA">
        <w:rPr>
          <w:color w:val="212121"/>
        </w:rPr>
        <w:t>’</w:t>
      </w:r>
      <w:r w:rsidR="007470FA" w:rsidRPr="00706A39">
        <w:rPr>
          <w:color w:val="212121"/>
        </w:rPr>
        <w:t>s databases with respect to their protected facilities).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DAE8" w14:textId="77777777" w:rsidR="0053665C" w:rsidRDefault="00536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0628" w14:textId="7216DB6D" w:rsidR="0092541F" w:rsidRDefault="0092541F" w:rsidP="00810B6F">
    <w:pPr>
      <w:pStyle w:val="Header"/>
      <w:rPr>
        <w:b w:val="0"/>
      </w:rPr>
    </w:pPr>
    <w:r>
      <w:tab/>
      <w:t>Federal Communications Commission</w:t>
    </w:r>
    <w:r>
      <w:tab/>
      <w:t>DA 16-</w:t>
    </w:r>
    <w:r w:rsidR="0064018D">
      <w:t>262</w:t>
    </w:r>
  </w:p>
  <w:p w14:paraId="2E772B3D" w14:textId="77777777" w:rsidR="0092541F" w:rsidRDefault="0092541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242016D" wp14:editId="793D9A1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D1994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" o:allowincell="f" fillcolor="black" stroked="f">
              <o:lock v:ext="edit" aspectratio="t"/>
              <w10:wrap anchorx="margin"/>
            </v:rect>
          </w:pict>
        </mc:Fallback>
      </mc:AlternateContent>
    </w:r>
  </w:p>
  <w:p w14:paraId="2CC27CA2" w14:textId="77777777" w:rsidR="0092541F" w:rsidRDefault="0092541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B8C3" w14:textId="24E3EA37" w:rsidR="0092541F" w:rsidRDefault="0092541F" w:rsidP="00810B6F">
    <w:pPr>
      <w:pStyle w:val="Header"/>
      <w:rPr>
        <w:b w:val="0"/>
      </w:rPr>
    </w:pPr>
    <w:r>
      <w:rPr>
        <w:noProof/>
      </w:rPr>
      <mc:AlternateContent>
        <mc:Choice Requires="wps">
          <w:drawing>
            <wp:anchor distT="0" distB="0" distL="114300" distR="114300" simplePos="0" relativeHeight="251658240" behindDoc="1" locked="0" layoutInCell="0" allowOverlap="1" wp14:anchorId="4B4C9ED2" wp14:editId="5575C8E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F5400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" o:allowincell="f" fillcolor="black" stroked="f">
              <o:lock v:ext="edit" aspectratio="t"/>
              <w10:wrap anchorx="margin"/>
            </v:rect>
          </w:pict>
        </mc:Fallback>
      </mc:AlternateContent>
    </w:r>
    <w:r>
      <w:tab/>
      <w:t>Federal Communications Commission</w:t>
    </w:r>
    <w:r>
      <w:tab/>
    </w:r>
    <w:r>
      <w:rPr>
        <w:spacing w:val="-2"/>
      </w:rPr>
      <w:t>DA 16-</w:t>
    </w:r>
    <w:r w:rsidR="0064018D">
      <w:rPr>
        <w:spacing w:val="-2"/>
      </w:rPr>
      <w:t>262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6C"/>
    <w:rsid w:val="00013B2D"/>
    <w:rsid w:val="000161E5"/>
    <w:rsid w:val="00024863"/>
    <w:rsid w:val="0003387D"/>
    <w:rsid w:val="00036039"/>
    <w:rsid w:val="00037F90"/>
    <w:rsid w:val="000473C0"/>
    <w:rsid w:val="00054144"/>
    <w:rsid w:val="0007224D"/>
    <w:rsid w:val="00073C55"/>
    <w:rsid w:val="000875BF"/>
    <w:rsid w:val="00087AE9"/>
    <w:rsid w:val="00096D8C"/>
    <w:rsid w:val="000A3421"/>
    <w:rsid w:val="000A7E93"/>
    <w:rsid w:val="000B7F98"/>
    <w:rsid w:val="000C0B65"/>
    <w:rsid w:val="000E05FE"/>
    <w:rsid w:val="000E3081"/>
    <w:rsid w:val="000E3D42"/>
    <w:rsid w:val="000E6956"/>
    <w:rsid w:val="00111470"/>
    <w:rsid w:val="00113829"/>
    <w:rsid w:val="00117E38"/>
    <w:rsid w:val="00122BD5"/>
    <w:rsid w:val="00126AA5"/>
    <w:rsid w:val="00133F79"/>
    <w:rsid w:val="00141C2D"/>
    <w:rsid w:val="001707E1"/>
    <w:rsid w:val="0017352F"/>
    <w:rsid w:val="001751A0"/>
    <w:rsid w:val="001765CA"/>
    <w:rsid w:val="00177C33"/>
    <w:rsid w:val="00177F62"/>
    <w:rsid w:val="00186443"/>
    <w:rsid w:val="00192D12"/>
    <w:rsid w:val="00194A66"/>
    <w:rsid w:val="001B55E6"/>
    <w:rsid w:val="001C5271"/>
    <w:rsid w:val="001D6BCF"/>
    <w:rsid w:val="001D6F25"/>
    <w:rsid w:val="001E01CA"/>
    <w:rsid w:val="001E1D6C"/>
    <w:rsid w:val="002005DD"/>
    <w:rsid w:val="00205788"/>
    <w:rsid w:val="00216EFD"/>
    <w:rsid w:val="00220B90"/>
    <w:rsid w:val="00222964"/>
    <w:rsid w:val="00224F6C"/>
    <w:rsid w:val="002637C1"/>
    <w:rsid w:val="00275CF5"/>
    <w:rsid w:val="00280E01"/>
    <w:rsid w:val="0028301F"/>
    <w:rsid w:val="00285017"/>
    <w:rsid w:val="002A010D"/>
    <w:rsid w:val="002A045A"/>
    <w:rsid w:val="002A2D2E"/>
    <w:rsid w:val="002B6D10"/>
    <w:rsid w:val="002B723B"/>
    <w:rsid w:val="002C00E8"/>
    <w:rsid w:val="003005D4"/>
    <w:rsid w:val="0030221B"/>
    <w:rsid w:val="003123F9"/>
    <w:rsid w:val="00316FB0"/>
    <w:rsid w:val="00322A12"/>
    <w:rsid w:val="0033103D"/>
    <w:rsid w:val="00341C99"/>
    <w:rsid w:val="00343749"/>
    <w:rsid w:val="00354B8E"/>
    <w:rsid w:val="003660ED"/>
    <w:rsid w:val="00374B57"/>
    <w:rsid w:val="003751A7"/>
    <w:rsid w:val="003767A4"/>
    <w:rsid w:val="00376E5A"/>
    <w:rsid w:val="00384EFF"/>
    <w:rsid w:val="00390683"/>
    <w:rsid w:val="00390DE9"/>
    <w:rsid w:val="003918C8"/>
    <w:rsid w:val="0039721C"/>
    <w:rsid w:val="003B0550"/>
    <w:rsid w:val="003B0FA2"/>
    <w:rsid w:val="003B694F"/>
    <w:rsid w:val="003C1A45"/>
    <w:rsid w:val="003D011B"/>
    <w:rsid w:val="003E15AB"/>
    <w:rsid w:val="003E67CF"/>
    <w:rsid w:val="003E7FB6"/>
    <w:rsid w:val="003F171C"/>
    <w:rsid w:val="003F434A"/>
    <w:rsid w:val="00412FC5"/>
    <w:rsid w:val="00422276"/>
    <w:rsid w:val="004242F1"/>
    <w:rsid w:val="0043404A"/>
    <w:rsid w:val="00445616"/>
    <w:rsid w:val="00445A00"/>
    <w:rsid w:val="00451B0F"/>
    <w:rsid w:val="00465DC1"/>
    <w:rsid w:val="004661F9"/>
    <w:rsid w:val="004770F4"/>
    <w:rsid w:val="00485BF8"/>
    <w:rsid w:val="00494D6C"/>
    <w:rsid w:val="004A1BA4"/>
    <w:rsid w:val="004B3F8F"/>
    <w:rsid w:val="004C2EE3"/>
    <w:rsid w:val="004E4A22"/>
    <w:rsid w:val="004F19D4"/>
    <w:rsid w:val="00506A1A"/>
    <w:rsid w:val="00511229"/>
    <w:rsid w:val="00511968"/>
    <w:rsid w:val="00523902"/>
    <w:rsid w:val="0053665C"/>
    <w:rsid w:val="005455FE"/>
    <w:rsid w:val="00554636"/>
    <w:rsid w:val="0055614C"/>
    <w:rsid w:val="005633A1"/>
    <w:rsid w:val="00566830"/>
    <w:rsid w:val="00570BB2"/>
    <w:rsid w:val="00573273"/>
    <w:rsid w:val="00583851"/>
    <w:rsid w:val="00591911"/>
    <w:rsid w:val="00595DA9"/>
    <w:rsid w:val="005B4AA6"/>
    <w:rsid w:val="005B580E"/>
    <w:rsid w:val="005B5F54"/>
    <w:rsid w:val="005C16B1"/>
    <w:rsid w:val="005C7AC9"/>
    <w:rsid w:val="005D4DE0"/>
    <w:rsid w:val="005D6595"/>
    <w:rsid w:val="005D7E7D"/>
    <w:rsid w:val="005E00A9"/>
    <w:rsid w:val="005E14C2"/>
    <w:rsid w:val="00602298"/>
    <w:rsid w:val="006057FA"/>
    <w:rsid w:val="00607BA5"/>
    <w:rsid w:val="0061180A"/>
    <w:rsid w:val="006151BD"/>
    <w:rsid w:val="0062516E"/>
    <w:rsid w:val="00626EB6"/>
    <w:rsid w:val="00636BCC"/>
    <w:rsid w:val="0064018D"/>
    <w:rsid w:val="006419D8"/>
    <w:rsid w:val="00650642"/>
    <w:rsid w:val="00654EF4"/>
    <w:rsid w:val="00655D03"/>
    <w:rsid w:val="00656A9A"/>
    <w:rsid w:val="006658DF"/>
    <w:rsid w:val="00671C40"/>
    <w:rsid w:val="00683388"/>
    <w:rsid w:val="00683F84"/>
    <w:rsid w:val="006A6A81"/>
    <w:rsid w:val="006B232E"/>
    <w:rsid w:val="006C283F"/>
    <w:rsid w:val="006C4100"/>
    <w:rsid w:val="006C61FF"/>
    <w:rsid w:val="006D2976"/>
    <w:rsid w:val="006F70B0"/>
    <w:rsid w:val="006F7393"/>
    <w:rsid w:val="00701764"/>
    <w:rsid w:val="0070224F"/>
    <w:rsid w:val="007115F7"/>
    <w:rsid w:val="007125F7"/>
    <w:rsid w:val="00735C8A"/>
    <w:rsid w:val="00741138"/>
    <w:rsid w:val="007470FA"/>
    <w:rsid w:val="00756EB4"/>
    <w:rsid w:val="00761695"/>
    <w:rsid w:val="007711B1"/>
    <w:rsid w:val="00771EEE"/>
    <w:rsid w:val="00772831"/>
    <w:rsid w:val="00785689"/>
    <w:rsid w:val="007905E6"/>
    <w:rsid w:val="0079754B"/>
    <w:rsid w:val="007A1E6D"/>
    <w:rsid w:val="007B0EB2"/>
    <w:rsid w:val="007B3D1F"/>
    <w:rsid w:val="007C4159"/>
    <w:rsid w:val="007E6D37"/>
    <w:rsid w:val="007F4C61"/>
    <w:rsid w:val="007F6280"/>
    <w:rsid w:val="007F64C1"/>
    <w:rsid w:val="00800E51"/>
    <w:rsid w:val="00810B6F"/>
    <w:rsid w:val="00814479"/>
    <w:rsid w:val="008155C1"/>
    <w:rsid w:val="00817F9C"/>
    <w:rsid w:val="00822CE0"/>
    <w:rsid w:val="00830AA4"/>
    <w:rsid w:val="00841AB1"/>
    <w:rsid w:val="0085237D"/>
    <w:rsid w:val="0085507D"/>
    <w:rsid w:val="008576DB"/>
    <w:rsid w:val="008632C4"/>
    <w:rsid w:val="00866064"/>
    <w:rsid w:val="008668E4"/>
    <w:rsid w:val="008712DE"/>
    <w:rsid w:val="0087574D"/>
    <w:rsid w:val="008775A2"/>
    <w:rsid w:val="00877F63"/>
    <w:rsid w:val="008B1672"/>
    <w:rsid w:val="008C4DB3"/>
    <w:rsid w:val="008C67B8"/>
    <w:rsid w:val="008C68F1"/>
    <w:rsid w:val="008D53E0"/>
    <w:rsid w:val="008E4AA9"/>
    <w:rsid w:val="008F40C8"/>
    <w:rsid w:val="008F773F"/>
    <w:rsid w:val="0090293B"/>
    <w:rsid w:val="00921803"/>
    <w:rsid w:val="00922350"/>
    <w:rsid w:val="0092541F"/>
    <w:rsid w:val="00926503"/>
    <w:rsid w:val="00931144"/>
    <w:rsid w:val="009372F1"/>
    <w:rsid w:val="00940DA3"/>
    <w:rsid w:val="009663B4"/>
    <w:rsid w:val="00972615"/>
    <w:rsid w:val="009726D8"/>
    <w:rsid w:val="00974F4C"/>
    <w:rsid w:val="009758F5"/>
    <w:rsid w:val="0098147D"/>
    <w:rsid w:val="0098338C"/>
    <w:rsid w:val="00987D39"/>
    <w:rsid w:val="009921D5"/>
    <w:rsid w:val="00994FF3"/>
    <w:rsid w:val="00996415"/>
    <w:rsid w:val="009B4780"/>
    <w:rsid w:val="009C561A"/>
    <w:rsid w:val="009C68A4"/>
    <w:rsid w:val="009D394D"/>
    <w:rsid w:val="009D6CEA"/>
    <w:rsid w:val="009E594F"/>
    <w:rsid w:val="009F76DB"/>
    <w:rsid w:val="00A04BF2"/>
    <w:rsid w:val="00A1375C"/>
    <w:rsid w:val="00A21F7F"/>
    <w:rsid w:val="00A23A93"/>
    <w:rsid w:val="00A32C3B"/>
    <w:rsid w:val="00A3430E"/>
    <w:rsid w:val="00A42667"/>
    <w:rsid w:val="00A45F4F"/>
    <w:rsid w:val="00A46244"/>
    <w:rsid w:val="00A55841"/>
    <w:rsid w:val="00A56AB0"/>
    <w:rsid w:val="00A600A9"/>
    <w:rsid w:val="00A7026C"/>
    <w:rsid w:val="00A8414A"/>
    <w:rsid w:val="00AA55B7"/>
    <w:rsid w:val="00AA5B9E"/>
    <w:rsid w:val="00AA7F9C"/>
    <w:rsid w:val="00AB2407"/>
    <w:rsid w:val="00AB27CC"/>
    <w:rsid w:val="00AB53DF"/>
    <w:rsid w:val="00AC0B81"/>
    <w:rsid w:val="00AC2038"/>
    <w:rsid w:val="00AC48A8"/>
    <w:rsid w:val="00AC7DFD"/>
    <w:rsid w:val="00AD0626"/>
    <w:rsid w:val="00AD071D"/>
    <w:rsid w:val="00AD3687"/>
    <w:rsid w:val="00AE2A32"/>
    <w:rsid w:val="00B07E5C"/>
    <w:rsid w:val="00B2577E"/>
    <w:rsid w:val="00B32B2E"/>
    <w:rsid w:val="00B40712"/>
    <w:rsid w:val="00B47A29"/>
    <w:rsid w:val="00B505B2"/>
    <w:rsid w:val="00B811F7"/>
    <w:rsid w:val="00B8320C"/>
    <w:rsid w:val="00B9002F"/>
    <w:rsid w:val="00BA09A8"/>
    <w:rsid w:val="00BA54B4"/>
    <w:rsid w:val="00BA5DC6"/>
    <w:rsid w:val="00BA6196"/>
    <w:rsid w:val="00BC5EA9"/>
    <w:rsid w:val="00BC6D8C"/>
    <w:rsid w:val="00BD0790"/>
    <w:rsid w:val="00BD4152"/>
    <w:rsid w:val="00BE42C3"/>
    <w:rsid w:val="00C237B6"/>
    <w:rsid w:val="00C23CC7"/>
    <w:rsid w:val="00C34006"/>
    <w:rsid w:val="00C40B9A"/>
    <w:rsid w:val="00C426B1"/>
    <w:rsid w:val="00C61976"/>
    <w:rsid w:val="00C66160"/>
    <w:rsid w:val="00C721AC"/>
    <w:rsid w:val="00C77CAB"/>
    <w:rsid w:val="00C86EF1"/>
    <w:rsid w:val="00C90D6A"/>
    <w:rsid w:val="00CA247E"/>
    <w:rsid w:val="00CA64F4"/>
    <w:rsid w:val="00CB0033"/>
    <w:rsid w:val="00CB0207"/>
    <w:rsid w:val="00CB159C"/>
    <w:rsid w:val="00CB27A5"/>
    <w:rsid w:val="00CC49C7"/>
    <w:rsid w:val="00CC4DA0"/>
    <w:rsid w:val="00CC72B6"/>
    <w:rsid w:val="00CD6F1A"/>
    <w:rsid w:val="00CE014A"/>
    <w:rsid w:val="00CE3200"/>
    <w:rsid w:val="00CE6AEF"/>
    <w:rsid w:val="00D0218D"/>
    <w:rsid w:val="00D175AE"/>
    <w:rsid w:val="00D219F5"/>
    <w:rsid w:val="00D23153"/>
    <w:rsid w:val="00D25FB5"/>
    <w:rsid w:val="00D44223"/>
    <w:rsid w:val="00D46B10"/>
    <w:rsid w:val="00D71CD9"/>
    <w:rsid w:val="00D73897"/>
    <w:rsid w:val="00D83332"/>
    <w:rsid w:val="00D8405B"/>
    <w:rsid w:val="00DA2529"/>
    <w:rsid w:val="00DA4590"/>
    <w:rsid w:val="00DB130A"/>
    <w:rsid w:val="00DB2C87"/>
    <w:rsid w:val="00DB2EBB"/>
    <w:rsid w:val="00DC10A1"/>
    <w:rsid w:val="00DC655F"/>
    <w:rsid w:val="00DC729D"/>
    <w:rsid w:val="00DC7D4E"/>
    <w:rsid w:val="00DD0B59"/>
    <w:rsid w:val="00DD7EBD"/>
    <w:rsid w:val="00DF2D30"/>
    <w:rsid w:val="00DF62B6"/>
    <w:rsid w:val="00DF6731"/>
    <w:rsid w:val="00DF6E49"/>
    <w:rsid w:val="00DF7536"/>
    <w:rsid w:val="00DF7A21"/>
    <w:rsid w:val="00E07225"/>
    <w:rsid w:val="00E110B3"/>
    <w:rsid w:val="00E14174"/>
    <w:rsid w:val="00E2608C"/>
    <w:rsid w:val="00E41636"/>
    <w:rsid w:val="00E5409F"/>
    <w:rsid w:val="00E57C46"/>
    <w:rsid w:val="00E6016D"/>
    <w:rsid w:val="00E617FA"/>
    <w:rsid w:val="00E64311"/>
    <w:rsid w:val="00E76DCF"/>
    <w:rsid w:val="00E85963"/>
    <w:rsid w:val="00EB018E"/>
    <w:rsid w:val="00EB67EC"/>
    <w:rsid w:val="00EE3569"/>
    <w:rsid w:val="00EE6488"/>
    <w:rsid w:val="00EF22E7"/>
    <w:rsid w:val="00F00F63"/>
    <w:rsid w:val="00F021FA"/>
    <w:rsid w:val="00F07823"/>
    <w:rsid w:val="00F078B0"/>
    <w:rsid w:val="00F25744"/>
    <w:rsid w:val="00F336D3"/>
    <w:rsid w:val="00F3388E"/>
    <w:rsid w:val="00F3747E"/>
    <w:rsid w:val="00F443C9"/>
    <w:rsid w:val="00F5506D"/>
    <w:rsid w:val="00F577BD"/>
    <w:rsid w:val="00F62E97"/>
    <w:rsid w:val="00F64209"/>
    <w:rsid w:val="00F92261"/>
    <w:rsid w:val="00F93BF5"/>
    <w:rsid w:val="00FB75BA"/>
    <w:rsid w:val="00FC0F30"/>
    <w:rsid w:val="00FD28E0"/>
    <w:rsid w:val="00FD65A0"/>
    <w:rsid w:val="00FF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EA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uiPriority w:val="99"/>
    <w:rsid w:val="001E1D6C"/>
  </w:style>
  <w:style w:type="character" w:customStyle="1" w:styleId="ParaNumChar">
    <w:name w:val="ParaNum Char"/>
    <w:link w:val="ParaNum"/>
    <w:locked/>
    <w:rsid w:val="001E1D6C"/>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E1D6C"/>
    <w:rPr>
      <w:b/>
      <w:snapToGrid w:val="0"/>
      <w:kern w:val="28"/>
      <w:sz w:val="22"/>
    </w:rPr>
  </w:style>
  <w:style w:type="character" w:customStyle="1" w:styleId="apple-converted-space">
    <w:name w:val="apple-converted-space"/>
    <w:rsid w:val="001E1D6C"/>
  </w:style>
  <w:style w:type="character" w:styleId="Emphasis">
    <w:name w:val="Emphasis"/>
    <w:uiPriority w:val="20"/>
    <w:qFormat/>
    <w:rsid w:val="001E1D6C"/>
    <w:rPr>
      <w:i/>
      <w:iCs/>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1E1D6C"/>
    <w:rPr>
      <w:rFonts w:ascii="Times New Roman Bold" w:hAnsi="Times New Roman Bold"/>
      <w:b/>
      <w:caps/>
      <w:snapToGrid w:val="0"/>
      <w:kern w:val="28"/>
      <w:sz w:val="22"/>
    </w:rPr>
  </w:style>
  <w:style w:type="paragraph" w:styleId="NormalWeb">
    <w:name w:val="Normal (Web)"/>
    <w:basedOn w:val="Normal"/>
    <w:uiPriority w:val="99"/>
    <w:unhideWhenUsed/>
    <w:rsid w:val="001E1D6C"/>
    <w:pPr>
      <w:widowControl/>
      <w:spacing w:before="100" w:beforeAutospacing="1" w:after="100" w:afterAutospacing="1"/>
    </w:pPr>
    <w:rPr>
      <w:rFonts w:ascii="Times" w:hAnsi="Times"/>
      <w:snapToGrid/>
      <w:kern w:val="0"/>
      <w:sz w:val="20"/>
    </w:rPr>
  </w:style>
  <w:style w:type="character" w:styleId="CommentReference">
    <w:name w:val="annotation reference"/>
    <w:basedOn w:val="DefaultParagraphFont"/>
    <w:semiHidden/>
    <w:unhideWhenUsed/>
    <w:rsid w:val="00D175AE"/>
    <w:rPr>
      <w:sz w:val="16"/>
      <w:szCs w:val="16"/>
    </w:rPr>
  </w:style>
  <w:style w:type="paragraph" w:styleId="CommentText">
    <w:name w:val="annotation text"/>
    <w:basedOn w:val="Normal"/>
    <w:link w:val="CommentTextChar"/>
    <w:unhideWhenUsed/>
    <w:rsid w:val="00D175AE"/>
    <w:rPr>
      <w:sz w:val="20"/>
    </w:rPr>
  </w:style>
  <w:style w:type="character" w:customStyle="1" w:styleId="CommentTextChar">
    <w:name w:val="Comment Text Char"/>
    <w:basedOn w:val="DefaultParagraphFont"/>
    <w:link w:val="CommentText"/>
    <w:rsid w:val="00D175AE"/>
    <w:rPr>
      <w:snapToGrid w:val="0"/>
      <w:kern w:val="28"/>
    </w:rPr>
  </w:style>
  <w:style w:type="paragraph" w:styleId="CommentSubject">
    <w:name w:val="annotation subject"/>
    <w:basedOn w:val="CommentText"/>
    <w:next w:val="CommentText"/>
    <w:link w:val="CommentSubjectChar"/>
    <w:semiHidden/>
    <w:unhideWhenUsed/>
    <w:rsid w:val="00D175AE"/>
    <w:rPr>
      <w:b/>
      <w:bCs/>
    </w:rPr>
  </w:style>
  <w:style w:type="character" w:customStyle="1" w:styleId="CommentSubjectChar">
    <w:name w:val="Comment Subject Char"/>
    <w:basedOn w:val="CommentTextChar"/>
    <w:link w:val="CommentSubject"/>
    <w:semiHidden/>
    <w:rsid w:val="00D175AE"/>
    <w:rPr>
      <w:b/>
      <w:bCs/>
      <w:snapToGrid w:val="0"/>
      <w:kern w:val="28"/>
    </w:rPr>
  </w:style>
  <w:style w:type="paragraph" w:styleId="BalloonText">
    <w:name w:val="Balloon Text"/>
    <w:basedOn w:val="Normal"/>
    <w:link w:val="BalloonTextChar"/>
    <w:semiHidden/>
    <w:unhideWhenUsed/>
    <w:rsid w:val="00D175AE"/>
    <w:rPr>
      <w:rFonts w:ascii="Segoe UI" w:hAnsi="Segoe UI" w:cs="Segoe UI"/>
      <w:sz w:val="18"/>
      <w:szCs w:val="18"/>
    </w:rPr>
  </w:style>
  <w:style w:type="character" w:customStyle="1" w:styleId="BalloonTextChar">
    <w:name w:val="Balloon Text Char"/>
    <w:basedOn w:val="DefaultParagraphFont"/>
    <w:link w:val="BalloonText"/>
    <w:semiHidden/>
    <w:rsid w:val="00D175AE"/>
    <w:rPr>
      <w:rFonts w:ascii="Segoe UI" w:hAnsi="Segoe UI" w:cs="Segoe UI"/>
      <w:snapToGrid w:val="0"/>
      <w:kern w:val="28"/>
      <w:sz w:val="18"/>
      <w:szCs w:val="18"/>
    </w:rPr>
  </w:style>
  <w:style w:type="character" w:customStyle="1" w:styleId="FootnoteTextChar3">
    <w:name w:val="Footnote Text Char3"/>
    <w:aliases w:val="Footnote Text Char Char Char Char Char1 Char Char,Footnote Text Char Char1 Char1 Char Char,Footnote Text Char1 Char1,Footnote Text Char1 Char Char,Footnote Text Char1 Char Char Char1 Char Char,Footnote Text Char2 Char,f Char1"/>
    <w:rsid w:val="0098338C"/>
  </w:style>
  <w:style w:type="character" w:customStyle="1" w:styleId="cosearchterm7">
    <w:name w:val="co_searchterm7"/>
    <w:rsid w:val="00376E5A"/>
    <w:rPr>
      <w:b/>
      <w:bCs/>
      <w:color w:val="252525"/>
    </w:rPr>
  </w:style>
  <w:style w:type="character" w:customStyle="1" w:styleId="cosearchterm">
    <w:name w:val="co_searchterm"/>
    <w:basedOn w:val="DefaultParagraphFont"/>
    <w:rsid w:val="0030221B"/>
  </w:style>
  <w:style w:type="paragraph" w:styleId="Revision">
    <w:name w:val="Revision"/>
    <w:hidden/>
    <w:uiPriority w:val="99"/>
    <w:semiHidden/>
    <w:rsid w:val="00DF673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uiPriority w:val="99"/>
    <w:rsid w:val="001E1D6C"/>
  </w:style>
  <w:style w:type="character" w:customStyle="1" w:styleId="ParaNumChar">
    <w:name w:val="ParaNum Char"/>
    <w:link w:val="ParaNum"/>
    <w:locked/>
    <w:rsid w:val="001E1D6C"/>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E1D6C"/>
    <w:rPr>
      <w:b/>
      <w:snapToGrid w:val="0"/>
      <w:kern w:val="28"/>
      <w:sz w:val="22"/>
    </w:rPr>
  </w:style>
  <w:style w:type="character" w:customStyle="1" w:styleId="apple-converted-space">
    <w:name w:val="apple-converted-space"/>
    <w:rsid w:val="001E1D6C"/>
  </w:style>
  <w:style w:type="character" w:styleId="Emphasis">
    <w:name w:val="Emphasis"/>
    <w:uiPriority w:val="20"/>
    <w:qFormat/>
    <w:rsid w:val="001E1D6C"/>
    <w:rPr>
      <w:i/>
      <w:iCs/>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1E1D6C"/>
    <w:rPr>
      <w:rFonts w:ascii="Times New Roman Bold" w:hAnsi="Times New Roman Bold"/>
      <w:b/>
      <w:caps/>
      <w:snapToGrid w:val="0"/>
      <w:kern w:val="28"/>
      <w:sz w:val="22"/>
    </w:rPr>
  </w:style>
  <w:style w:type="paragraph" w:styleId="NormalWeb">
    <w:name w:val="Normal (Web)"/>
    <w:basedOn w:val="Normal"/>
    <w:uiPriority w:val="99"/>
    <w:unhideWhenUsed/>
    <w:rsid w:val="001E1D6C"/>
    <w:pPr>
      <w:widowControl/>
      <w:spacing w:before="100" w:beforeAutospacing="1" w:after="100" w:afterAutospacing="1"/>
    </w:pPr>
    <w:rPr>
      <w:rFonts w:ascii="Times" w:hAnsi="Times"/>
      <w:snapToGrid/>
      <w:kern w:val="0"/>
      <w:sz w:val="20"/>
    </w:rPr>
  </w:style>
  <w:style w:type="character" w:styleId="CommentReference">
    <w:name w:val="annotation reference"/>
    <w:basedOn w:val="DefaultParagraphFont"/>
    <w:semiHidden/>
    <w:unhideWhenUsed/>
    <w:rsid w:val="00D175AE"/>
    <w:rPr>
      <w:sz w:val="16"/>
      <w:szCs w:val="16"/>
    </w:rPr>
  </w:style>
  <w:style w:type="paragraph" w:styleId="CommentText">
    <w:name w:val="annotation text"/>
    <w:basedOn w:val="Normal"/>
    <w:link w:val="CommentTextChar"/>
    <w:unhideWhenUsed/>
    <w:rsid w:val="00D175AE"/>
    <w:rPr>
      <w:sz w:val="20"/>
    </w:rPr>
  </w:style>
  <w:style w:type="character" w:customStyle="1" w:styleId="CommentTextChar">
    <w:name w:val="Comment Text Char"/>
    <w:basedOn w:val="DefaultParagraphFont"/>
    <w:link w:val="CommentText"/>
    <w:rsid w:val="00D175AE"/>
    <w:rPr>
      <w:snapToGrid w:val="0"/>
      <w:kern w:val="28"/>
    </w:rPr>
  </w:style>
  <w:style w:type="paragraph" w:styleId="CommentSubject">
    <w:name w:val="annotation subject"/>
    <w:basedOn w:val="CommentText"/>
    <w:next w:val="CommentText"/>
    <w:link w:val="CommentSubjectChar"/>
    <w:semiHidden/>
    <w:unhideWhenUsed/>
    <w:rsid w:val="00D175AE"/>
    <w:rPr>
      <w:b/>
      <w:bCs/>
    </w:rPr>
  </w:style>
  <w:style w:type="character" w:customStyle="1" w:styleId="CommentSubjectChar">
    <w:name w:val="Comment Subject Char"/>
    <w:basedOn w:val="CommentTextChar"/>
    <w:link w:val="CommentSubject"/>
    <w:semiHidden/>
    <w:rsid w:val="00D175AE"/>
    <w:rPr>
      <w:b/>
      <w:bCs/>
      <w:snapToGrid w:val="0"/>
      <w:kern w:val="28"/>
    </w:rPr>
  </w:style>
  <w:style w:type="paragraph" w:styleId="BalloonText">
    <w:name w:val="Balloon Text"/>
    <w:basedOn w:val="Normal"/>
    <w:link w:val="BalloonTextChar"/>
    <w:semiHidden/>
    <w:unhideWhenUsed/>
    <w:rsid w:val="00D175AE"/>
    <w:rPr>
      <w:rFonts w:ascii="Segoe UI" w:hAnsi="Segoe UI" w:cs="Segoe UI"/>
      <w:sz w:val="18"/>
      <w:szCs w:val="18"/>
    </w:rPr>
  </w:style>
  <w:style w:type="character" w:customStyle="1" w:styleId="BalloonTextChar">
    <w:name w:val="Balloon Text Char"/>
    <w:basedOn w:val="DefaultParagraphFont"/>
    <w:link w:val="BalloonText"/>
    <w:semiHidden/>
    <w:rsid w:val="00D175AE"/>
    <w:rPr>
      <w:rFonts w:ascii="Segoe UI" w:hAnsi="Segoe UI" w:cs="Segoe UI"/>
      <w:snapToGrid w:val="0"/>
      <w:kern w:val="28"/>
      <w:sz w:val="18"/>
      <w:szCs w:val="18"/>
    </w:rPr>
  </w:style>
  <w:style w:type="character" w:customStyle="1" w:styleId="FootnoteTextChar3">
    <w:name w:val="Footnote Text Char3"/>
    <w:aliases w:val="Footnote Text Char Char Char Char Char1 Char Char,Footnote Text Char Char1 Char1 Char Char,Footnote Text Char1 Char1,Footnote Text Char1 Char Char,Footnote Text Char1 Char Char Char1 Char Char,Footnote Text Char2 Char,f Char1"/>
    <w:rsid w:val="0098338C"/>
  </w:style>
  <w:style w:type="character" w:customStyle="1" w:styleId="cosearchterm7">
    <w:name w:val="co_searchterm7"/>
    <w:rsid w:val="00376E5A"/>
    <w:rPr>
      <w:b/>
      <w:bCs/>
      <w:color w:val="252525"/>
    </w:rPr>
  </w:style>
  <w:style w:type="character" w:customStyle="1" w:styleId="cosearchterm">
    <w:name w:val="co_searchterm"/>
    <w:basedOn w:val="DefaultParagraphFont"/>
    <w:rsid w:val="0030221B"/>
  </w:style>
  <w:style w:type="paragraph" w:styleId="Revision">
    <w:name w:val="Revision"/>
    <w:hidden/>
    <w:uiPriority w:val="99"/>
    <w:semiHidden/>
    <w:rsid w:val="00DF673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OC-334756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6</Pages>
  <Words>1900</Words>
  <Characters>10284</Characters>
  <Application>Microsoft Office Word</Application>
  <DocSecurity>0</DocSecurity>
  <Lines>161</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2016-03-10T15:45:00Z</dcterms:created>
  <dcterms:modified xsi:type="dcterms:W3CDTF">2016-03-10T15:45:00Z</dcterms:modified>
  <cp:category> </cp:category>
  <cp:contentStatus> </cp:contentStatus>
</cp:coreProperties>
</file>