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8" w:rsidRDefault="00595360">
      <w:pPr>
        <w:pStyle w:val="Title"/>
        <w:rPr>
          <w:szCs w:val="22"/>
        </w:rPr>
      </w:pPr>
      <w:bookmarkStart w:id="0" w:name="_GoBack"/>
      <w:bookmarkEnd w:id="0"/>
      <w:r>
        <w:rPr>
          <w:szCs w:val="22"/>
        </w:rPr>
        <w:t>Before the</w:t>
      </w:r>
    </w:p>
    <w:p w:rsidR="00F90BE8" w:rsidRDefault="00595360">
      <w:pPr>
        <w:pStyle w:val="Title"/>
        <w:rPr>
          <w:szCs w:val="22"/>
        </w:rPr>
      </w:pPr>
      <w:r>
        <w:rPr>
          <w:szCs w:val="22"/>
        </w:rPr>
        <w:t>Federal Communications Commission</w:t>
      </w:r>
    </w:p>
    <w:p w:rsidR="00F90BE8" w:rsidRDefault="00595360">
      <w:pPr>
        <w:pStyle w:val="Title"/>
        <w:rPr>
          <w:szCs w:val="22"/>
        </w:rPr>
      </w:pPr>
      <w:r>
        <w:rPr>
          <w:szCs w:val="22"/>
        </w:rPr>
        <w:t>Washington, D.C. 20554</w:t>
      </w:r>
    </w:p>
    <w:p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tc>
          <w:tcPr>
            <w:tcW w:w="4698" w:type="dxa"/>
          </w:tcPr>
          <w:p w:rsidR="00F90BE8" w:rsidRDefault="00595360">
            <w:pPr>
              <w:tabs>
                <w:tab w:val="center" w:pos="4680"/>
              </w:tabs>
              <w:suppressAutoHyphens/>
              <w:rPr>
                <w:spacing w:val="-2"/>
                <w:szCs w:val="22"/>
              </w:rPr>
            </w:pPr>
            <w:r>
              <w:rPr>
                <w:spacing w:val="-2"/>
                <w:szCs w:val="22"/>
              </w:rPr>
              <w:t>In the Matter of</w:t>
            </w:r>
          </w:p>
          <w:p w:rsidR="00F90BE8" w:rsidRDefault="00F90BE8">
            <w:pPr>
              <w:tabs>
                <w:tab w:val="center" w:pos="4680"/>
              </w:tabs>
              <w:suppressAutoHyphens/>
              <w:rPr>
                <w:spacing w:val="-2"/>
                <w:szCs w:val="22"/>
              </w:rPr>
            </w:pPr>
          </w:p>
          <w:p w:rsidR="00F90BE8" w:rsidRDefault="00D21F23">
            <w:pPr>
              <w:pStyle w:val="BodyText"/>
              <w:numPr>
                <w:ilvl w:val="0"/>
                <w:numId w:val="0"/>
              </w:numPr>
              <w:rPr>
                <w:szCs w:val="22"/>
              </w:rPr>
            </w:pPr>
            <w:r>
              <w:rPr>
                <w:szCs w:val="22"/>
              </w:rPr>
              <w:t xml:space="preserve">Comcast Cable Communications, LLC </w:t>
            </w:r>
          </w:p>
          <w:p w:rsidR="00F90BE8" w:rsidRDefault="00F90BE8">
            <w:pPr>
              <w:pStyle w:val="BodyText"/>
              <w:numPr>
                <w:ilvl w:val="0"/>
                <w:numId w:val="0"/>
              </w:numPr>
              <w:rPr>
                <w:szCs w:val="22"/>
              </w:rPr>
            </w:pPr>
          </w:p>
          <w:p w:rsidR="00F90BE8" w:rsidRDefault="00595360" w:rsidP="00153F89">
            <w:pPr>
              <w:pStyle w:val="BodyText"/>
              <w:numPr>
                <w:ilvl w:val="0"/>
                <w:numId w:val="0"/>
              </w:numPr>
              <w:rPr>
                <w:b/>
                <w:szCs w:val="22"/>
              </w:rPr>
            </w:pPr>
            <w:r>
              <w:rPr>
                <w:szCs w:val="22"/>
              </w:rPr>
              <w:t xml:space="preserve">Petition for Determination of Effective Competition in </w:t>
            </w:r>
            <w:r w:rsidR="00153F89">
              <w:rPr>
                <w:szCs w:val="22"/>
              </w:rPr>
              <w:t xml:space="preserve">Lacey, </w:t>
            </w:r>
            <w:r w:rsidR="00D21F23">
              <w:rPr>
                <w:szCs w:val="22"/>
              </w:rPr>
              <w:t xml:space="preserve">Washington </w:t>
            </w:r>
          </w:p>
        </w:tc>
        <w:tc>
          <w:tcPr>
            <w:tcW w:w="630" w:type="dxa"/>
          </w:tcPr>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tc>
        <w:tc>
          <w:tcPr>
            <w:tcW w:w="4248" w:type="dxa"/>
          </w:tcPr>
          <w:p w:rsidR="00F90BE8" w:rsidRDefault="00595360">
            <w:pPr>
              <w:tabs>
                <w:tab w:val="center" w:pos="4680"/>
              </w:tabs>
              <w:suppressAutoHyphens/>
              <w:rPr>
                <w:spacing w:val="-2"/>
                <w:szCs w:val="22"/>
              </w:rPr>
            </w:pPr>
            <w:r>
              <w:rPr>
                <w:spacing w:val="-2"/>
                <w:szCs w:val="22"/>
              </w:rPr>
              <w:t xml:space="preserve">          </w:t>
            </w:r>
          </w:p>
          <w:p w:rsidR="00D21F23" w:rsidRDefault="00595360">
            <w:pPr>
              <w:tabs>
                <w:tab w:val="center" w:pos="4680"/>
              </w:tabs>
              <w:suppressAutoHyphens/>
              <w:rPr>
                <w:spacing w:val="-2"/>
                <w:szCs w:val="22"/>
              </w:rPr>
            </w:pPr>
            <w:r>
              <w:rPr>
                <w:spacing w:val="-2"/>
                <w:szCs w:val="22"/>
              </w:rPr>
              <w:t xml:space="preserve">           </w:t>
            </w:r>
          </w:p>
          <w:p w:rsidR="00D21F23" w:rsidRDefault="00D21F23">
            <w:pPr>
              <w:tabs>
                <w:tab w:val="center" w:pos="4680"/>
              </w:tabs>
              <w:suppressAutoHyphens/>
              <w:rPr>
                <w:spacing w:val="-2"/>
                <w:szCs w:val="22"/>
              </w:rPr>
            </w:pPr>
          </w:p>
          <w:p w:rsidR="00F90BE8" w:rsidRDefault="00D21F23">
            <w:pPr>
              <w:tabs>
                <w:tab w:val="center" w:pos="4680"/>
              </w:tabs>
              <w:suppressAutoHyphens/>
              <w:rPr>
                <w:spacing w:val="-2"/>
                <w:szCs w:val="22"/>
              </w:rPr>
            </w:pPr>
            <w:r>
              <w:rPr>
                <w:spacing w:val="-2"/>
                <w:szCs w:val="22"/>
              </w:rPr>
              <w:t xml:space="preserve"> MB Docket No. 13-31</w:t>
            </w:r>
            <w:r w:rsidR="007C10F9">
              <w:rPr>
                <w:spacing w:val="-2"/>
                <w:szCs w:val="22"/>
              </w:rPr>
              <w:t>3</w:t>
            </w:r>
            <w:r w:rsidR="00BC66AE">
              <w:rPr>
                <w:spacing w:val="-2"/>
                <w:szCs w:val="22"/>
              </w:rPr>
              <w:t>, CSR 88</w:t>
            </w:r>
            <w:r w:rsidR="007C10F9">
              <w:rPr>
                <w:spacing w:val="-2"/>
                <w:szCs w:val="22"/>
              </w:rPr>
              <w:t>62</w:t>
            </w:r>
            <w:r w:rsidR="00BC66AE">
              <w:rPr>
                <w:spacing w:val="-2"/>
                <w:szCs w:val="22"/>
              </w:rPr>
              <w:t>-E</w:t>
            </w:r>
          </w:p>
          <w:p w:rsidR="00F90BE8" w:rsidRDefault="00595360" w:rsidP="00D21F23">
            <w:pPr>
              <w:tabs>
                <w:tab w:val="center" w:pos="4680"/>
              </w:tabs>
              <w:suppressAutoHyphens/>
              <w:rPr>
                <w:spacing w:val="-2"/>
                <w:szCs w:val="22"/>
              </w:rPr>
            </w:pPr>
            <w:r>
              <w:rPr>
                <w:spacing w:val="-2"/>
                <w:szCs w:val="22"/>
              </w:rPr>
              <w:t xml:space="preserve">           </w:t>
            </w:r>
          </w:p>
          <w:p w:rsidR="00F90BE8" w:rsidRDefault="00595360">
            <w:pPr>
              <w:pStyle w:val="EndnoteText"/>
              <w:tabs>
                <w:tab w:val="center" w:pos="4680"/>
              </w:tabs>
              <w:suppressAutoHyphens/>
              <w:spacing w:after="0"/>
              <w:rPr>
                <w:spacing w:val="-2"/>
                <w:szCs w:val="22"/>
              </w:rPr>
            </w:pPr>
            <w:r>
              <w:rPr>
                <w:spacing w:val="-2"/>
                <w:szCs w:val="22"/>
              </w:rPr>
              <w:t xml:space="preserve">           </w:t>
            </w:r>
          </w:p>
        </w:tc>
      </w:tr>
    </w:tbl>
    <w:p w:rsidR="00F90BE8" w:rsidRDefault="00F90BE8">
      <w:pPr>
        <w:pStyle w:val="Title"/>
        <w:rPr>
          <w:szCs w:val="22"/>
        </w:rPr>
      </w:pPr>
    </w:p>
    <w:p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rsidR="00F90BE8" w:rsidRDefault="00F90BE8">
      <w:pPr>
        <w:tabs>
          <w:tab w:val="left" w:pos="720"/>
          <w:tab w:val="left" w:pos="5760"/>
        </w:tabs>
        <w:suppressAutoHyphens/>
        <w:spacing w:line="227" w:lineRule="auto"/>
        <w:rPr>
          <w:b/>
          <w:spacing w:val="-2"/>
          <w:szCs w:val="22"/>
        </w:rPr>
      </w:pPr>
    </w:p>
    <w:p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153F89">
        <w:rPr>
          <w:b/>
          <w:spacing w:val="-2"/>
          <w:szCs w:val="22"/>
        </w:rPr>
        <w:t xml:space="preserve">March </w:t>
      </w:r>
      <w:r w:rsidR="003B3872">
        <w:rPr>
          <w:b/>
          <w:spacing w:val="-2"/>
          <w:szCs w:val="22"/>
        </w:rPr>
        <w:t>9</w:t>
      </w:r>
      <w:r>
        <w:rPr>
          <w:b/>
          <w:spacing w:val="-2"/>
          <w:szCs w:val="22"/>
        </w:rPr>
        <w:t xml:space="preserve">, 2016         </w:t>
      </w:r>
      <w:r w:rsidR="00FD54DD">
        <w:rPr>
          <w:b/>
          <w:spacing w:val="-2"/>
          <w:szCs w:val="22"/>
        </w:rPr>
        <w:tab/>
      </w:r>
      <w:r w:rsidR="007B38B2">
        <w:rPr>
          <w:b/>
          <w:spacing w:val="-2"/>
          <w:szCs w:val="22"/>
        </w:rPr>
        <w:t xml:space="preserve">                 </w:t>
      </w:r>
      <w:r>
        <w:rPr>
          <w:b/>
          <w:spacing w:val="-2"/>
          <w:szCs w:val="22"/>
        </w:rPr>
        <w:t xml:space="preserve">Released:  </w:t>
      </w:r>
      <w:r w:rsidR="00153F89">
        <w:rPr>
          <w:b/>
          <w:spacing w:val="-2"/>
          <w:szCs w:val="22"/>
        </w:rPr>
        <w:t xml:space="preserve">March </w:t>
      </w:r>
      <w:r w:rsidR="003B3872">
        <w:rPr>
          <w:b/>
          <w:spacing w:val="-2"/>
          <w:szCs w:val="22"/>
        </w:rPr>
        <w:t>10</w:t>
      </w:r>
      <w:r w:rsidR="007B38B2">
        <w:rPr>
          <w:b/>
          <w:spacing w:val="-2"/>
          <w:szCs w:val="22"/>
        </w:rPr>
        <w:t>,</w:t>
      </w:r>
      <w:r>
        <w:rPr>
          <w:b/>
          <w:spacing w:val="-2"/>
          <w:szCs w:val="22"/>
        </w:rPr>
        <w:t xml:space="preserve"> 2016</w:t>
      </w:r>
    </w:p>
    <w:p w:rsidR="00F90BE8" w:rsidRDefault="00F90BE8">
      <w:pPr>
        <w:rPr>
          <w:szCs w:val="22"/>
        </w:rPr>
      </w:pPr>
    </w:p>
    <w:p w:rsidR="00F90BE8" w:rsidRDefault="00595360">
      <w:pPr>
        <w:rPr>
          <w:spacing w:val="-2"/>
          <w:szCs w:val="22"/>
        </w:rPr>
      </w:pPr>
      <w:r>
        <w:rPr>
          <w:szCs w:val="22"/>
        </w:rPr>
        <w:t xml:space="preserve">By the Senior </w:t>
      </w:r>
      <w:r>
        <w:rPr>
          <w:spacing w:val="-2"/>
          <w:szCs w:val="22"/>
        </w:rPr>
        <w:t>Deputy Chief, Policy Division, Media Bureau:</w:t>
      </w:r>
    </w:p>
    <w:p w:rsidR="00F90BE8" w:rsidRDefault="00F90BE8">
      <w:pPr>
        <w:rPr>
          <w:spacing w:val="-2"/>
          <w:szCs w:val="22"/>
        </w:rPr>
      </w:pPr>
    </w:p>
    <w:p w:rsidR="00F90BE8" w:rsidRDefault="00595360">
      <w:pPr>
        <w:pStyle w:val="Heading1"/>
        <w:jc w:val="left"/>
        <w:rPr>
          <w:szCs w:val="22"/>
        </w:rPr>
      </w:pPr>
      <w:r>
        <w:rPr>
          <w:szCs w:val="22"/>
        </w:rPr>
        <w:t>introduction and Background</w:t>
      </w:r>
    </w:p>
    <w:p w:rsidR="00F90BE8" w:rsidRDefault="00A23D9A">
      <w:pPr>
        <w:pStyle w:val="ParaNum"/>
        <w:jc w:val="left"/>
      </w:pPr>
      <w:r>
        <w:t xml:space="preserve">Comcast Cable Communications, LLC </w:t>
      </w:r>
      <w:r w:rsidR="00595360">
        <w:t>(“</w:t>
      </w:r>
      <w:r>
        <w:t>Comcast</w:t>
      </w:r>
      <w:r w:rsidR="00595360">
        <w:t xml:space="preserve">”) has filed with the Commission </w:t>
      </w:r>
      <w:r>
        <w:t xml:space="preserve">a </w:t>
      </w:r>
      <w:r w:rsidR="00595360">
        <w:t xml:space="preserve">petition pursuant to Sections 76.7, 76.905(b)(2) and 76.907 of the Commission’s rules for a determination that </w:t>
      </w:r>
      <w:r w:rsidR="00685EB3">
        <w:t>Comcast i</w:t>
      </w:r>
      <w:r w:rsidR="00595360">
        <w:t>s subject to effective competition in the communit</w:t>
      </w:r>
      <w:r w:rsidR="00E41F7D">
        <w:t>y</w:t>
      </w:r>
      <w:r w:rsidR="00595360">
        <w:t xml:space="preserve"> listed on Attachment A (the Communit</w:t>
      </w:r>
      <w:r w:rsidR="00E41F7D">
        <w:t>y</w:t>
      </w:r>
      <w:r w:rsidR="00595360">
        <w:t xml:space="preserve">”).  </w:t>
      </w:r>
      <w:r w:rsidR="00B67492">
        <w:t>Comcast</w:t>
      </w:r>
      <w:r w:rsidR="00595360">
        <w:rPr>
          <w:b/>
        </w:rPr>
        <w:t xml:space="preserve"> </w:t>
      </w:r>
      <w:r w:rsidR="00595360">
        <w:t>alleges that its cable system serving the Communit</w:t>
      </w:r>
      <w:r w:rsidR="0061069D">
        <w:t>y is</w:t>
      </w:r>
      <w:r w:rsidR="00595360">
        <w:t xml:space="preserve"> subject to effective competition pursuant to Section 623(</w:t>
      </w:r>
      <w:r w:rsidR="00F35A46">
        <w:t>l</w:t>
      </w:r>
      <w:r w:rsidR="00595360">
        <w:t>)(1)(B) of the Communications Act of 1934, as amended (“Communications Act”),</w:t>
      </w:r>
      <w:r w:rsidR="009D41CB">
        <w:rPr>
          <w:rStyle w:val="FootnoteReference"/>
        </w:rPr>
        <w:footnoteReference w:id="2"/>
      </w:r>
      <w:r w:rsidR="00595360">
        <w:t xml:space="preserve"> and the Commission’s implementing rules,</w:t>
      </w:r>
      <w:r w:rsidR="009D41CB">
        <w:rPr>
          <w:rStyle w:val="FootnoteReference"/>
        </w:rPr>
        <w:footnoteReference w:id="3"/>
      </w:r>
      <w:r w:rsidR="00595360">
        <w:t xml:space="preserve"> and that it is therefore exempt from cable rate regulation in the Communit</w:t>
      </w:r>
      <w:r w:rsidR="00E41F7D">
        <w:t>y</w:t>
      </w:r>
      <w:r w:rsidR="00595360">
        <w:t xml:space="preserve"> because of the competing service provided by two direct broadcast satellite (“DBS”) providers, DIRECTV, Inc. (“DIRECTV”) and DISH Network (“DISH”).  </w:t>
      </w:r>
      <w:r w:rsidR="00280611">
        <w:t xml:space="preserve">The </w:t>
      </w:r>
      <w:r w:rsidR="00E41F7D">
        <w:t xml:space="preserve">petition is opposed by the </w:t>
      </w:r>
      <w:r w:rsidR="00280611">
        <w:t xml:space="preserve">City of </w:t>
      </w:r>
      <w:r w:rsidR="00E41F7D">
        <w:t xml:space="preserve">Lacey (the “City” or “Lacey”).  Comcast filed a reply. </w:t>
      </w:r>
      <w:r w:rsidR="005E5C07">
        <w:t xml:space="preserve">   </w:t>
      </w:r>
      <w:r w:rsidR="00280611">
        <w:t xml:space="preserve"> </w:t>
      </w:r>
    </w:p>
    <w:p w:rsidR="00F90BE8" w:rsidRDefault="00595360">
      <w:pPr>
        <w:pStyle w:val="ParaNum"/>
        <w:jc w:val="left"/>
      </w:pPr>
      <w:r>
        <w:t>In June 2015, a Commission order adopted a rebuttable presumption that cable operators are subject to one type of effective competition, commonly referred to as competing provider effective competition.</w:t>
      </w:r>
      <w:r w:rsidR="008861C3">
        <w:rPr>
          <w:rStyle w:val="FootnoteReference"/>
        </w:rPr>
        <w:footnoteReference w:id="4"/>
      </w:r>
      <w:r>
        <w:t xml:space="preserve"> </w:t>
      </w:r>
      <w:r w:rsidR="009D41CB">
        <w:t xml:space="preserve"> A</w:t>
      </w:r>
      <w:r>
        <w:t>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sidR="006758C4">
        <w:rPr>
          <w:rStyle w:val="FootnoteReference"/>
        </w:rPr>
        <w:footnoteReference w:id="5"/>
      </w:r>
      <w:r>
        <w:t xml:space="preserve">  For the reasons set forth below, we grant </w:t>
      </w:r>
      <w:r w:rsidR="00F959EA">
        <w:t xml:space="preserve">Comcast’s </w:t>
      </w:r>
      <w:r>
        <w:t xml:space="preserve">petition. </w:t>
      </w:r>
    </w:p>
    <w:p w:rsidR="00F90BE8" w:rsidRDefault="00595360">
      <w:pPr>
        <w:pStyle w:val="Heading1"/>
        <w:jc w:val="left"/>
        <w:rPr>
          <w:szCs w:val="22"/>
        </w:rPr>
      </w:pPr>
      <w:r>
        <w:rPr>
          <w:caps w:val="0"/>
          <w:szCs w:val="22"/>
        </w:rPr>
        <w:t>T</w:t>
      </w:r>
      <w:r>
        <w:rPr>
          <w:szCs w:val="22"/>
        </w:rPr>
        <w:t>he COMPETING PROVIDER TEST</w:t>
      </w:r>
    </w:p>
    <w:p w:rsidR="00F90BE8" w:rsidRDefault="00595360" w:rsidP="00995AEC">
      <w:pPr>
        <w:pStyle w:val="ParaNum"/>
        <w:jc w:val="left"/>
      </w:pPr>
      <w:r>
        <w:t xml:space="preserve">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w:t>
      </w:r>
      <w:r>
        <w:lastRenderedPageBreak/>
        <w:t>households in the franchise area.</w:t>
      </w:r>
      <w:r w:rsidR="00C472E5">
        <w:rPr>
          <w:rStyle w:val="FootnoteReference"/>
        </w:rPr>
        <w:footnoteReference w:id="6"/>
      </w:r>
      <w:r>
        <w:t xml:space="preserve">  This test is referred to as the “competing provider” test.  Pursuant to the </w:t>
      </w:r>
      <w:r w:rsidRPr="00D419BD">
        <w:rPr>
          <w:i/>
        </w:rPr>
        <w:t>Effective Competition Order</w:t>
      </w:r>
      <w:r>
        <w:t>, absent evidence to the contrary, the Commission presumes that the competing provider test is met.</w:t>
      </w:r>
    </w:p>
    <w:p w:rsidR="001E0FDA" w:rsidRDefault="001E0FDA" w:rsidP="001E0FDA">
      <w:pPr>
        <w:pStyle w:val="Heading2"/>
      </w:pPr>
      <w:r>
        <w:t>The First Part</w:t>
      </w:r>
    </w:p>
    <w:p w:rsidR="00F90BE8" w:rsidRDefault="00595360" w:rsidP="00E74411">
      <w:pPr>
        <w:pStyle w:val="ParaNum"/>
        <w:jc w:val="left"/>
      </w:pPr>
      <w:r>
        <w:t>The first part of this test has three elements:  the franchise area must be “served by” at least two unaffiliated MVPDs who offer “comparable programming” to at least “50 percent” of the households in the franchise area.</w:t>
      </w:r>
      <w:r w:rsidR="001E0FDA">
        <w:rPr>
          <w:rStyle w:val="FootnoteReference"/>
        </w:rPr>
        <w:footnoteReference w:id="7"/>
      </w:r>
      <w:r>
        <w:rPr>
          <w:b/>
        </w:rPr>
        <w:t xml:space="preserve">  </w:t>
      </w:r>
      <w:r>
        <w:t xml:space="preserve">As explained in the </w:t>
      </w:r>
      <w:r>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8"/>
      </w:r>
      <w:r>
        <w:t xml:space="preserve">  </w:t>
      </w:r>
      <w:r w:rsidR="000E4886">
        <w:t xml:space="preserve">The City </w:t>
      </w:r>
      <w:r w:rsidR="00AF5E34">
        <w:t>has not put forth any information to rebut the first part of the competing provider test.  In</w:t>
      </w:r>
      <w:r>
        <w:t xml:space="preserve"> accordance with the presumption of competing provider effective competition, and based on the information submitted by </w:t>
      </w:r>
      <w:r w:rsidR="00D419BD">
        <w:t>Comcast</w:t>
      </w:r>
      <w:r>
        <w:t xml:space="preserve">, we </w:t>
      </w:r>
      <w:r w:rsidR="00F857CD">
        <w:t xml:space="preserve">thus </w:t>
      </w:r>
      <w:r>
        <w:t>find that the first part of the test is satisfied.</w:t>
      </w:r>
    </w:p>
    <w:p w:rsidR="00F90BE8" w:rsidRDefault="00595360">
      <w:pPr>
        <w:pStyle w:val="Heading2"/>
        <w:jc w:val="left"/>
      </w:pPr>
      <w:r>
        <w:t>The Second Part</w:t>
      </w:r>
    </w:p>
    <w:p w:rsidR="008319A9" w:rsidRDefault="00595360">
      <w:pPr>
        <w:pStyle w:val="ParaNum"/>
        <w:jc w:val="left"/>
      </w:pPr>
      <w:r>
        <w:t>The second part of the competing provider test requires that the number of households subscribing to MVPDs, other than the largest MVPD, exceed</w:t>
      </w:r>
      <w:r w:rsidR="00B6479F">
        <w:t>s</w:t>
      </w:r>
      <w:r>
        <w:t xml:space="preserve"> 15 percent of the households in a franchise area.</w:t>
      </w:r>
      <w:r>
        <w:rPr>
          <w:rStyle w:val="FootnoteReference"/>
        </w:rPr>
        <w:footnoteReference w:id="9"/>
      </w:r>
      <w:r>
        <w:t xml:space="preserve">  As explained in the </w:t>
      </w:r>
      <w:r>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10"/>
      </w:r>
      <w:r>
        <w:t xml:space="preserve">  The </w:t>
      </w:r>
      <w:r w:rsidR="00D84B53">
        <w:t>Cit</w:t>
      </w:r>
      <w:r w:rsidR="00CE77AF">
        <w:t>y</w:t>
      </w:r>
      <w:r w:rsidR="00D84B53">
        <w:t xml:space="preserve"> </w:t>
      </w:r>
      <w:r>
        <w:t>argue</w:t>
      </w:r>
      <w:r w:rsidR="00CE77AF">
        <w:t>s</w:t>
      </w:r>
      <w:r>
        <w:t xml:space="preserve"> </w:t>
      </w:r>
      <w:r w:rsidR="00CD619A">
        <w:t xml:space="preserve">that </w:t>
      </w:r>
      <w:r w:rsidR="00CE77AF">
        <w:t>Comcast has not demonstrated that Lacey is subject to effective competition because it relied upon outdated household data from the 2010 Census.</w:t>
      </w:r>
      <w:r w:rsidR="00CE77AF">
        <w:rPr>
          <w:rStyle w:val="FootnoteReference"/>
        </w:rPr>
        <w:footnoteReference w:id="11"/>
      </w:r>
      <w:r w:rsidR="000F15F6">
        <w:t xml:space="preserve">  While the City does not contend that the Census figure for occupied households in Lacey is wrong, it does argue that Comcast </w:t>
      </w:r>
      <w:r w:rsidR="002623FF">
        <w:t xml:space="preserve">did not consider </w:t>
      </w:r>
      <w:r w:rsidR="00440FDA">
        <w:t>more recent information that reflected</w:t>
      </w:r>
      <w:r w:rsidR="00CD619A">
        <w:t>: (i)</w:t>
      </w:r>
      <w:r w:rsidR="00440FDA">
        <w:t xml:space="preserve"> </w:t>
      </w:r>
      <w:r w:rsidR="00AF5D45">
        <w:t xml:space="preserve">an increase of 787 new housing units in Lacey </w:t>
      </w:r>
      <w:r w:rsidR="00E55054">
        <w:t>between 2010 and 2013</w:t>
      </w:r>
      <w:r w:rsidR="00CD619A">
        <w:t>, (ii) a decrease in</w:t>
      </w:r>
      <w:r w:rsidR="00AF5D45">
        <w:t xml:space="preserve"> the number of homes for sale</w:t>
      </w:r>
      <w:r w:rsidR="001C5EAF">
        <w:t xml:space="preserve"> </w:t>
      </w:r>
      <w:r w:rsidR="00AF5D45">
        <w:t xml:space="preserve">in Thurston County </w:t>
      </w:r>
      <w:r w:rsidR="001C5EAF">
        <w:t>(</w:t>
      </w:r>
      <w:r w:rsidR="00AF5D45">
        <w:t>where Lacey is located)</w:t>
      </w:r>
      <w:r w:rsidR="00CD619A">
        <w:t>, and (iii) a decrease in</w:t>
      </w:r>
      <w:r w:rsidR="00AF5D45">
        <w:t xml:space="preserve"> the City’s apartment vacancy rate to 4.8 percent</w:t>
      </w:r>
      <w:r w:rsidR="00E55054">
        <w:t xml:space="preserve"> in 2013</w:t>
      </w:r>
      <w:r w:rsidR="002623FF">
        <w:t>.</w:t>
      </w:r>
      <w:r w:rsidR="00D3285F">
        <w:rPr>
          <w:rStyle w:val="FootnoteReference"/>
        </w:rPr>
        <w:footnoteReference w:id="12"/>
      </w:r>
      <w:r w:rsidR="00CE77AF">
        <w:t xml:space="preserve"> </w:t>
      </w:r>
      <w:r>
        <w:t xml:space="preserve"> </w:t>
      </w:r>
      <w:r w:rsidR="00091016">
        <w:t xml:space="preserve"> </w:t>
      </w:r>
      <w:r w:rsidR="00227F97">
        <w:t xml:space="preserve">  </w:t>
      </w:r>
    </w:p>
    <w:p w:rsidR="007F1AE1" w:rsidRDefault="00B219DA" w:rsidP="00E0531C">
      <w:pPr>
        <w:pStyle w:val="ParaNum"/>
        <w:jc w:val="left"/>
      </w:pPr>
      <w:r>
        <w:t xml:space="preserve"> </w:t>
      </w:r>
      <w:r w:rsidR="00F37370">
        <w:t xml:space="preserve">Comcast </w:t>
      </w:r>
      <w:r w:rsidR="00CD619A">
        <w:t>responds</w:t>
      </w:r>
      <w:r w:rsidR="00F37370">
        <w:t xml:space="preserve"> that the Washington State Office of Financial Management’s (“OFM”) “Postcensal Estimates of Housing Units” data reference</w:t>
      </w:r>
      <w:r w:rsidR="00E26303">
        <w:t>d</w:t>
      </w:r>
      <w:r w:rsidR="00F37370">
        <w:t xml:space="preserve"> by the City </w:t>
      </w:r>
      <w:r w:rsidR="00CD619A">
        <w:t>to demonstrate an increase of</w:t>
      </w:r>
      <w:r w:rsidR="00F37370">
        <w:t xml:space="preserve"> 787 new housing units is expressed in terms of “total” housing units, rather </w:t>
      </w:r>
      <w:r w:rsidR="00C654D1">
        <w:t>than “occupied” housing units which is the relevant standard for effective competition purposes.</w:t>
      </w:r>
      <w:r w:rsidR="00C654D1">
        <w:rPr>
          <w:rStyle w:val="FootnoteReference"/>
        </w:rPr>
        <w:footnoteReference w:id="13"/>
      </w:r>
      <w:r w:rsidR="004325CF">
        <w:t xml:space="preserve">  Comcast </w:t>
      </w:r>
      <w:r w:rsidR="00CD619A">
        <w:t>explains</w:t>
      </w:r>
      <w:r w:rsidR="004325CF">
        <w:t>, and we agree, that even if the Commission were inclined to do so, it could not accept the OFM data for effective competition purposes because the 787 housing unit figure would necessarily include unoccupied housing units.</w:t>
      </w:r>
      <w:r w:rsidR="004325CF">
        <w:rPr>
          <w:rStyle w:val="FootnoteReference"/>
        </w:rPr>
        <w:footnoteReference w:id="14"/>
      </w:r>
      <w:r w:rsidR="00E26303">
        <w:t xml:space="preserve">  R</w:t>
      </w:r>
      <w:r w:rsidR="00AE5F01">
        <w:t xml:space="preserve">egarding the City’s claims about a lower real estate inventory rate for Thurston County and a 4.8 percent apartment vacancy rate for Lacey in 2013, Comcast </w:t>
      </w:r>
      <w:r w:rsidR="00816377">
        <w:t>responds</w:t>
      </w:r>
      <w:r w:rsidR="00E429A9">
        <w:t xml:space="preserve"> that the City provides no details supporting </w:t>
      </w:r>
      <w:r w:rsidR="00816377">
        <w:t>the</w:t>
      </w:r>
      <w:r w:rsidR="00E429A9">
        <w:t xml:space="preserve"> accuracy of those figures.</w:t>
      </w:r>
      <w:r w:rsidR="00E429A9">
        <w:rPr>
          <w:rStyle w:val="FootnoteReference"/>
        </w:rPr>
        <w:footnoteReference w:id="15"/>
      </w:r>
      <w:r w:rsidR="003A2EBA">
        <w:t xml:space="preserve">  Comcast also notes that Thurston county-wide real estate </w:t>
      </w:r>
      <w:r w:rsidR="003A2EBA">
        <w:lastRenderedPageBreak/>
        <w:t xml:space="preserve">inventory rates </w:t>
      </w:r>
      <w:r w:rsidR="00816377">
        <w:t>are not indicative of</w:t>
      </w:r>
      <w:r w:rsidR="003A2EBA">
        <w:t xml:space="preserve"> the inventory rate in the community of Lacey itself, and the City apartment vacancy rates do not necessarily reflect vacancy rates for overall housing units in Lacey.</w:t>
      </w:r>
      <w:r w:rsidR="00FB352B">
        <w:rPr>
          <w:rStyle w:val="FootnoteReference"/>
        </w:rPr>
        <w:footnoteReference w:id="16"/>
      </w:r>
      <w:r w:rsidR="00E4224B">
        <w:t xml:space="preserve"> Comcast contends that </w:t>
      </w:r>
      <w:r w:rsidR="00816377">
        <w:t>ultimately</w:t>
      </w:r>
      <w:r w:rsidR="00E4224B">
        <w:t xml:space="preserve"> the City fails to present a specific alternative to the vacancy rate reported in the 2010 Census.</w:t>
      </w:r>
      <w:r w:rsidR="00E4224B">
        <w:rPr>
          <w:rStyle w:val="FootnoteReference"/>
        </w:rPr>
        <w:footnoteReference w:id="17"/>
      </w:r>
      <w:r w:rsidR="00D41E0F">
        <w:t xml:space="preserve">  Comcast asserts, and we agree, that the City is asking the Commission to rely on speculation that general changes in the Lacey housing market might result in a lower DBS penetration rate in the City.</w:t>
      </w:r>
      <w:r w:rsidR="00D41E0F">
        <w:rPr>
          <w:rStyle w:val="FootnoteReference"/>
        </w:rPr>
        <w:footnoteReference w:id="18"/>
      </w:r>
      <w:r w:rsidR="00E4224B">
        <w:t xml:space="preserve"> </w:t>
      </w:r>
    </w:p>
    <w:p w:rsidR="00F90BE8" w:rsidRDefault="007F1AE1" w:rsidP="00A9062F">
      <w:pPr>
        <w:pStyle w:val="ParaNum"/>
        <w:jc w:val="left"/>
      </w:pPr>
      <w:r>
        <w:t xml:space="preserve">Comcast’s use of Census figures in this case was proper and fully consistent with Commission precedent.  While the Commission has stated that it will consider more recent household data, it will only consider such a submission if the local franchising authority </w:t>
      </w:r>
      <w:r w:rsidR="00816377">
        <w:t>demonstrates that it is</w:t>
      </w:r>
      <w:r>
        <w:t xml:space="preserve"> reliable.</w:t>
      </w:r>
      <w:r w:rsidR="004C09FB">
        <w:t xml:space="preserve">  While the City attempts to identify changes in the local housing market, it does not reconcile these alleged differences with the original 2010 Census data submitted by Comcast.  In addition, the City makes no attempt to demonstrate </w:t>
      </w:r>
      <w:r w:rsidR="00816377">
        <w:t>that</w:t>
      </w:r>
      <w:r w:rsidR="004C09FB">
        <w:t xml:space="preserve"> the DBS penetration rate in Lacey is below </w:t>
      </w:r>
      <w:r w:rsidR="009A4A0E">
        <w:t xml:space="preserve">the required 15 percent threshold.  Accordingly, we do not consider </w:t>
      </w:r>
      <w:r w:rsidR="002811DF">
        <w:t xml:space="preserve">the </w:t>
      </w:r>
      <w:r w:rsidR="009A4A0E">
        <w:t xml:space="preserve">alternative data submitted by the City to be reliable data that should be used in place </w:t>
      </w:r>
      <w:r w:rsidR="002811DF">
        <w:t>o</w:t>
      </w:r>
      <w:r w:rsidR="009A4A0E">
        <w:t xml:space="preserve">f the U.S. Census data submitted by Comcast.  For the above reasons, the arguments put forth by the City </w:t>
      </w:r>
      <w:r w:rsidR="00035908">
        <w:t xml:space="preserve">fail to rebut the presumption of competing provider effective competition.  In accordance with the presumption of competing provider effective competition, and based on the information submitted by Comcast and the City, we find </w:t>
      </w:r>
      <w:r w:rsidR="00816377">
        <w:t xml:space="preserve">that </w:t>
      </w:r>
      <w:r w:rsidR="00035908">
        <w:t>the second prong of the test is satisfied.</w:t>
      </w:r>
      <w:r w:rsidR="00B219DA">
        <w:t xml:space="preserve">  </w:t>
      </w:r>
      <w:r w:rsidR="00E958FB">
        <w:t xml:space="preserve"> </w:t>
      </w:r>
      <w:r w:rsidR="00060DE0">
        <w:t xml:space="preserve">  </w:t>
      </w:r>
      <w:r w:rsidR="0033457C">
        <w:t xml:space="preserve"> </w:t>
      </w:r>
      <w:r w:rsidR="000252F2">
        <w:t xml:space="preserve"> </w:t>
      </w:r>
      <w:r w:rsidR="005A6BC7">
        <w:t xml:space="preserve"> </w:t>
      </w:r>
      <w:r w:rsidR="00BC310B">
        <w:t xml:space="preserve">  </w:t>
      </w:r>
      <w:r w:rsidR="0080779F">
        <w:t xml:space="preserve"> </w:t>
      </w:r>
      <w:r w:rsidR="00091016">
        <w:t xml:space="preserve"> </w:t>
      </w:r>
      <w:r w:rsidR="00595360">
        <w:t xml:space="preserve">  </w:t>
      </w:r>
    </w:p>
    <w:p w:rsidR="00F90BE8" w:rsidRDefault="00595360">
      <w:pPr>
        <w:pStyle w:val="Heading1"/>
        <w:jc w:val="left"/>
        <w:rPr>
          <w:szCs w:val="22"/>
        </w:rPr>
      </w:pPr>
      <w:r>
        <w:rPr>
          <w:szCs w:val="22"/>
        </w:rPr>
        <w:t>ordering clauses</w:t>
      </w:r>
    </w:p>
    <w:p w:rsidR="00F90BE8" w:rsidRDefault="00595360">
      <w:pPr>
        <w:pStyle w:val="ParaNum"/>
        <w:jc w:val="left"/>
      </w:pPr>
      <w:r>
        <w:t xml:space="preserve">Accordingly, </w:t>
      </w:r>
      <w:r>
        <w:rPr>
          <w:b/>
        </w:rPr>
        <w:t>IT IS ORDERED</w:t>
      </w:r>
      <w:r>
        <w:t xml:space="preserve"> that the petition for a determination of effective competition filed in the captioned proceeding by </w:t>
      </w:r>
      <w:r w:rsidR="00E21148">
        <w:t xml:space="preserve">Comcast </w:t>
      </w:r>
      <w:r w:rsidR="00495435">
        <w:t xml:space="preserve">Cable Communications, LLC, </w:t>
      </w:r>
      <w:r w:rsidR="00495435">
        <w:rPr>
          <w:b/>
        </w:rPr>
        <w:t>IS</w:t>
      </w:r>
      <w:r w:rsidR="00495435">
        <w:t xml:space="preserve"> </w:t>
      </w:r>
      <w:r>
        <w:rPr>
          <w:b/>
        </w:rPr>
        <w:t>GRANTED</w:t>
      </w:r>
      <w:r>
        <w:t xml:space="preserve"> as to the Communit</w:t>
      </w:r>
      <w:r w:rsidR="000A6426">
        <w:t>y</w:t>
      </w:r>
      <w:r>
        <w:t xml:space="preserve"> listed on Attachment A hereto. </w:t>
      </w:r>
    </w:p>
    <w:p w:rsidR="00F90BE8" w:rsidRDefault="00595360">
      <w:pPr>
        <w:pStyle w:val="ParaNum"/>
        <w:jc w:val="left"/>
      </w:pPr>
      <w:r>
        <w:rPr>
          <w:b/>
        </w:rPr>
        <w:t>IT IS FURTHER ORDERED</w:t>
      </w:r>
      <w:r>
        <w:t xml:space="preserve"> that the certification to regulate basic cable service rates granted to or on behalf of the Communit</w:t>
      </w:r>
      <w:r w:rsidR="00DF478F">
        <w:t xml:space="preserve">y </w:t>
      </w:r>
      <w:r>
        <w:t xml:space="preserve">set forth on Attachment A </w:t>
      </w:r>
      <w:r>
        <w:rPr>
          <w:b/>
        </w:rPr>
        <w:t>IS REVOKED</w:t>
      </w:r>
      <w:r>
        <w:t xml:space="preserve">. </w:t>
      </w:r>
    </w:p>
    <w:p w:rsidR="00F90BE8" w:rsidRDefault="00595360">
      <w:pPr>
        <w:pStyle w:val="ParaNum"/>
        <w:jc w:val="left"/>
      </w:pPr>
      <w:r>
        <w:t>This action is taken pursuant to delegated authority pursuant to Section 0.283 of the Commission’s rules.</w:t>
      </w:r>
      <w:r>
        <w:rPr>
          <w:vertAlign w:val="superscript"/>
        </w:rPr>
        <w:footnoteReference w:id="19"/>
      </w:r>
    </w:p>
    <w:p w:rsidR="00F90BE8" w:rsidRDefault="00595360">
      <w:pPr>
        <w:pStyle w:val="ParaNum"/>
        <w:numPr>
          <w:ilvl w:val="0"/>
          <w:numId w:val="0"/>
        </w:numPr>
        <w:jc w:val="left"/>
        <w:rPr>
          <w:szCs w:val="22"/>
        </w:rPr>
      </w:pPr>
      <w:r>
        <w:rPr>
          <w:szCs w:val="22"/>
        </w:rPr>
        <w:tab/>
      </w:r>
      <w:r>
        <w:rPr>
          <w:szCs w:val="22"/>
        </w:rPr>
        <w:tab/>
      </w:r>
      <w:r>
        <w:rPr>
          <w:szCs w:val="22"/>
        </w:rPr>
        <w:tab/>
      </w:r>
    </w:p>
    <w:p w:rsidR="00F90BE8" w:rsidRDefault="00595360">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rsidR="00F90BE8" w:rsidRDefault="00F90BE8">
      <w:pPr>
        <w:pStyle w:val="DocText"/>
        <w:jc w:val="left"/>
        <w:rPr>
          <w:sz w:val="22"/>
          <w:szCs w:val="22"/>
        </w:rPr>
      </w:pPr>
    </w:p>
    <w:p w:rsidR="00F90BE8" w:rsidRDefault="00F90BE8">
      <w:pPr>
        <w:pStyle w:val="DocText"/>
        <w:ind w:left="0"/>
        <w:jc w:val="left"/>
        <w:rPr>
          <w:sz w:val="22"/>
          <w:szCs w:val="22"/>
        </w:rPr>
      </w:pP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rsidR="00F90BE8" w:rsidRDefault="00595360">
      <w:pPr>
        <w:pStyle w:val="ParaNum"/>
        <w:numPr>
          <w:ilvl w:val="0"/>
          <w:numId w:val="0"/>
        </w:numPr>
        <w:jc w:val="center"/>
        <w:rPr>
          <w:b/>
          <w:szCs w:val="22"/>
        </w:rPr>
      </w:pPr>
      <w:r>
        <w:rPr>
          <w:szCs w:val="22"/>
        </w:rPr>
        <w:br w:type="page"/>
      </w:r>
      <w:r>
        <w:rPr>
          <w:b/>
          <w:szCs w:val="22"/>
        </w:rPr>
        <w:t>ATTACHMENT A</w:t>
      </w:r>
    </w:p>
    <w:p w:rsidR="00F90BE8" w:rsidRDefault="00495435">
      <w:pPr>
        <w:tabs>
          <w:tab w:val="center" w:pos="4680"/>
        </w:tabs>
        <w:suppressAutoHyphens/>
        <w:jc w:val="center"/>
        <w:rPr>
          <w:b/>
        </w:rPr>
      </w:pPr>
      <w:r>
        <w:rPr>
          <w:b/>
        </w:rPr>
        <w:t>CSR 88</w:t>
      </w:r>
      <w:r w:rsidR="0093702F">
        <w:rPr>
          <w:b/>
        </w:rPr>
        <w:t>62</w:t>
      </w:r>
      <w:r>
        <w:rPr>
          <w:b/>
        </w:rPr>
        <w:t>-E, MB Docket No. 13-31</w:t>
      </w:r>
      <w:r w:rsidR="0093702F">
        <w:rPr>
          <w:b/>
        </w:rPr>
        <w:t>3</w:t>
      </w:r>
    </w:p>
    <w:p w:rsidR="00F90BE8" w:rsidRDefault="00F90BE8">
      <w:pPr>
        <w:tabs>
          <w:tab w:val="center" w:pos="4680"/>
        </w:tabs>
        <w:suppressAutoHyphens/>
        <w:jc w:val="center"/>
        <w:rPr>
          <w:b/>
        </w:rPr>
      </w:pPr>
    </w:p>
    <w:p w:rsidR="00F90BE8" w:rsidRDefault="00595360">
      <w:pPr>
        <w:pStyle w:val="ParaNum"/>
        <w:numPr>
          <w:ilvl w:val="0"/>
          <w:numId w:val="0"/>
        </w:numPr>
        <w:spacing w:after="0"/>
        <w:jc w:val="center"/>
        <w:rPr>
          <w:b/>
          <w:szCs w:val="22"/>
        </w:rPr>
      </w:pPr>
      <w:r>
        <w:rPr>
          <w:b/>
          <w:szCs w:val="22"/>
        </w:rPr>
        <w:t xml:space="preserve">COMMUNITIES SERVED BY </w:t>
      </w:r>
      <w:r w:rsidR="00AB13C3">
        <w:rPr>
          <w:b/>
          <w:szCs w:val="22"/>
        </w:rPr>
        <w:t xml:space="preserve">COMCAST CABLE </w:t>
      </w:r>
      <w:r w:rsidR="00481FED">
        <w:rPr>
          <w:b/>
          <w:szCs w:val="22"/>
        </w:rPr>
        <w:t>C</w:t>
      </w:r>
      <w:r w:rsidR="00AB13C3">
        <w:rPr>
          <w:b/>
          <w:szCs w:val="22"/>
        </w:rPr>
        <w:t>OMMUNICATIONS, LLC</w:t>
      </w:r>
    </w:p>
    <w:p w:rsidR="00F90BE8" w:rsidRDefault="00595360">
      <w:pPr>
        <w:pStyle w:val="Heading2"/>
        <w:numPr>
          <w:ilvl w:val="0"/>
          <w:numId w:val="0"/>
        </w:numPr>
        <w:tabs>
          <w:tab w:val="left" w:pos="2160"/>
          <w:tab w:val="left" w:pos="3240"/>
          <w:tab w:val="left" w:pos="3600"/>
          <w:tab w:val="left" w:pos="4140"/>
        </w:tabs>
        <w:spacing w:after="0"/>
        <w:rPr>
          <w:b w:val="0"/>
          <w:szCs w:val="22"/>
        </w:rPr>
      </w:pP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351"/>
        <w:gridCol w:w="1441"/>
        <w:gridCol w:w="1801"/>
        <w:gridCol w:w="1885"/>
      </w:tblGrid>
      <w:tr w:rsidR="00F90BE8">
        <w:trPr>
          <w:trHeight w:val="488"/>
        </w:trPr>
        <w:tc>
          <w:tcPr>
            <w:tcW w:w="2522" w:type="dxa"/>
            <w:tcMar>
              <w:top w:w="28" w:type="dxa"/>
              <w:left w:w="28" w:type="dxa"/>
              <w:bottom w:w="28" w:type="dxa"/>
              <w:right w:w="28" w:type="dxa"/>
            </w:tcMar>
          </w:tcPr>
          <w:p w:rsidR="00F90BE8" w:rsidRDefault="00595360" w:rsidP="00AB13C3">
            <w:pPr>
              <w:autoSpaceDE w:val="0"/>
              <w:autoSpaceDN w:val="0"/>
              <w:adjustRightInd w:val="0"/>
              <w:jc w:val="center"/>
              <w:rPr>
                <w:b/>
                <w:szCs w:val="22"/>
              </w:rPr>
            </w:pPr>
            <w:r>
              <w:rPr>
                <w:b/>
                <w:szCs w:val="22"/>
              </w:rPr>
              <w:t xml:space="preserve"> </w:t>
            </w:r>
            <w:r w:rsidR="00AB13C3">
              <w:rPr>
                <w:b/>
                <w:szCs w:val="22"/>
              </w:rPr>
              <w:t>C</w:t>
            </w:r>
            <w:r>
              <w:rPr>
                <w:b/>
                <w:szCs w:val="22"/>
              </w:rPr>
              <w:t>ommunities</w:t>
            </w:r>
          </w:p>
        </w:tc>
        <w:tc>
          <w:tcPr>
            <w:tcW w:w="1351" w:type="dxa"/>
            <w:tcMar>
              <w:top w:w="28" w:type="dxa"/>
              <w:left w:w="28" w:type="dxa"/>
              <w:bottom w:w="28" w:type="dxa"/>
              <w:right w:w="28" w:type="dxa"/>
            </w:tcMar>
          </w:tcPr>
          <w:p w:rsidR="00F90BE8" w:rsidRDefault="00F90BE8">
            <w:pPr>
              <w:autoSpaceDE w:val="0"/>
              <w:autoSpaceDN w:val="0"/>
              <w:adjustRightInd w:val="0"/>
              <w:jc w:val="center"/>
              <w:rPr>
                <w:b/>
                <w:szCs w:val="22"/>
              </w:rPr>
            </w:pPr>
          </w:p>
          <w:p w:rsidR="00F90BE8" w:rsidRDefault="00595360">
            <w:pPr>
              <w:autoSpaceDE w:val="0"/>
              <w:autoSpaceDN w:val="0"/>
              <w:adjustRightInd w:val="0"/>
              <w:jc w:val="center"/>
              <w:rPr>
                <w:b/>
                <w:szCs w:val="22"/>
              </w:rPr>
            </w:pPr>
            <w:r>
              <w:rPr>
                <w:b/>
                <w:szCs w:val="22"/>
              </w:rPr>
              <w:t xml:space="preserve">CUIDs  </w:t>
            </w:r>
          </w:p>
        </w:tc>
        <w:tc>
          <w:tcPr>
            <w:tcW w:w="1441" w:type="dxa"/>
            <w:tcMar>
              <w:top w:w="28" w:type="dxa"/>
              <w:left w:w="28" w:type="dxa"/>
              <w:bottom w:w="28" w:type="dxa"/>
              <w:right w:w="28" w:type="dxa"/>
            </w:tcMar>
          </w:tcPr>
          <w:p w:rsidR="00F90BE8" w:rsidRDefault="00F90BE8">
            <w:pPr>
              <w:autoSpaceDE w:val="0"/>
              <w:autoSpaceDN w:val="0"/>
              <w:adjustRightInd w:val="0"/>
              <w:jc w:val="center"/>
              <w:rPr>
                <w:b/>
                <w:szCs w:val="22"/>
              </w:rPr>
            </w:pPr>
          </w:p>
          <w:p w:rsidR="00F90BE8" w:rsidRDefault="00595360">
            <w:pPr>
              <w:autoSpaceDE w:val="0"/>
              <w:autoSpaceDN w:val="0"/>
              <w:adjustRightInd w:val="0"/>
              <w:jc w:val="center"/>
              <w:rPr>
                <w:b/>
                <w:szCs w:val="22"/>
              </w:rPr>
            </w:pPr>
            <w:r>
              <w:rPr>
                <w:b/>
                <w:szCs w:val="22"/>
              </w:rPr>
              <w:t>CPR*</w:t>
            </w:r>
          </w:p>
        </w:tc>
        <w:tc>
          <w:tcPr>
            <w:tcW w:w="1801" w:type="dxa"/>
            <w:tcMar>
              <w:top w:w="28" w:type="dxa"/>
              <w:left w:w="28" w:type="dxa"/>
              <w:bottom w:w="28" w:type="dxa"/>
              <w:right w:w="28" w:type="dxa"/>
            </w:tcMar>
          </w:tcPr>
          <w:p w:rsidR="00F90BE8" w:rsidRDefault="00595360">
            <w:pPr>
              <w:autoSpaceDE w:val="0"/>
              <w:autoSpaceDN w:val="0"/>
              <w:adjustRightInd w:val="0"/>
              <w:jc w:val="center"/>
              <w:rPr>
                <w:b/>
                <w:szCs w:val="22"/>
              </w:rPr>
            </w:pPr>
            <w:r>
              <w:rPr>
                <w:b/>
                <w:szCs w:val="22"/>
              </w:rPr>
              <w:t>20</w:t>
            </w:r>
            <w:r w:rsidR="009E6556">
              <w:rPr>
                <w:b/>
                <w:szCs w:val="22"/>
              </w:rPr>
              <w:t>10</w:t>
            </w:r>
            <w:r>
              <w:rPr>
                <w:b/>
                <w:szCs w:val="22"/>
              </w:rPr>
              <w:t xml:space="preserve"> Census</w:t>
            </w:r>
          </w:p>
          <w:p w:rsidR="00F90BE8" w:rsidRDefault="00595360">
            <w:pPr>
              <w:autoSpaceDE w:val="0"/>
              <w:autoSpaceDN w:val="0"/>
              <w:adjustRightInd w:val="0"/>
              <w:jc w:val="center"/>
              <w:rPr>
                <w:b/>
                <w:szCs w:val="22"/>
              </w:rPr>
            </w:pPr>
            <w:r>
              <w:rPr>
                <w:b/>
                <w:szCs w:val="22"/>
              </w:rPr>
              <w:t>Households</w:t>
            </w:r>
          </w:p>
        </w:tc>
        <w:tc>
          <w:tcPr>
            <w:tcW w:w="1885" w:type="dxa"/>
            <w:tcMar>
              <w:top w:w="28" w:type="dxa"/>
              <w:left w:w="28" w:type="dxa"/>
              <w:bottom w:w="28" w:type="dxa"/>
              <w:right w:w="28" w:type="dxa"/>
            </w:tcMar>
          </w:tcPr>
          <w:p w:rsidR="00F90BE8" w:rsidRDefault="00595360">
            <w:pPr>
              <w:autoSpaceDE w:val="0"/>
              <w:autoSpaceDN w:val="0"/>
              <w:adjustRightInd w:val="0"/>
              <w:jc w:val="center"/>
              <w:rPr>
                <w:b/>
                <w:szCs w:val="22"/>
              </w:rPr>
            </w:pPr>
            <w:r>
              <w:rPr>
                <w:b/>
                <w:szCs w:val="22"/>
              </w:rPr>
              <w:t>Estimated DBS Subscribers</w:t>
            </w:r>
          </w:p>
        </w:tc>
      </w:tr>
      <w:tr w:rsidR="00F90BE8">
        <w:trPr>
          <w:trHeight w:val="252"/>
        </w:trPr>
        <w:tc>
          <w:tcPr>
            <w:tcW w:w="2522" w:type="dxa"/>
            <w:tcMar>
              <w:top w:w="28" w:type="dxa"/>
              <w:left w:w="28" w:type="dxa"/>
              <w:bottom w:w="28" w:type="dxa"/>
              <w:right w:w="28" w:type="dxa"/>
            </w:tcMar>
          </w:tcPr>
          <w:p w:rsidR="00F90BE8" w:rsidRDefault="0093702F" w:rsidP="0093702F">
            <w:pPr>
              <w:autoSpaceDE w:val="0"/>
              <w:autoSpaceDN w:val="0"/>
              <w:adjustRightInd w:val="0"/>
              <w:jc w:val="center"/>
              <w:rPr>
                <w:sz w:val="20"/>
              </w:rPr>
            </w:pPr>
            <w:r>
              <w:rPr>
                <w:sz w:val="20"/>
              </w:rPr>
              <w:t xml:space="preserve">Lacey </w:t>
            </w:r>
          </w:p>
        </w:tc>
        <w:tc>
          <w:tcPr>
            <w:tcW w:w="1351" w:type="dxa"/>
            <w:tcMar>
              <w:top w:w="28" w:type="dxa"/>
              <w:left w:w="28" w:type="dxa"/>
              <w:bottom w:w="28" w:type="dxa"/>
              <w:right w:w="28" w:type="dxa"/>
            </w:tcMar>
          </w:tcPr>
          <w:p w:rsidR="00F90BE8" w:rsidRDefault="00AB13C3" w:rsidP="0093702F">
            <w:pPr>
              <w:autoSpaceDE w:val="0"/>
              <w:autoSpaceDN w:val="0"/>
              <w:adjustRightInd w:val="0"/>
              <w:jc w:val="center"/>
              <w:rPr>
                <w:sz w:val="20"/>
              </w:rPr>
            </w:pPr>
            <w:r>
              <w:rPr>
                <w:sz w:val="20"/>
              </w:rPr>
              <w:t>WA0</w:t>
            </w:r>
            <w:r w:rsidR="0093702F">
              <w:rPr>
                <w:sz w:val="20"/>
              </w:rPr>
              <w:t>166</w:t>
            </w:r>
          </w:p>
        </w:tc>
        <w:tc>
          <w:tcPr>
            <w:tcW w:w="1441" w:type="dxa"/>
            <w:tcMar>
              <w:top w:w="28" w:type="dxa"/>
              <w:left w:w="28" w:type="dxa"/>
              <w:bottom w:w="28" w:type="dxa"/>
              <w:right w:w="28" w:type="dxa"/>
            </w:tcMar>
          </w:tcPr>
          <w:p w:rsidR="00F90BE8" w:rsidRDefault="0093702F" w:rsidP="0093702F">
            <w:pPr>
              <w:autoSpaceDE w:val="0"/>
              <w:autoSpaceDN w:val="0"/>
              <w:adjustRightInd w:val="0"/>
              <w:jc w:val="center"/>
              <w:rPr>
                <w:sz w:val="20"/>
              </w:rPr>
            </w:pPr>
            <w:r>
              <w:rPr>
                <w:sz w:val="20"/>
              </w:rPr>
              <w:t>16</w:t>
            </w:r>
            <w:r w:rsidR="00595360">
              <w:rPr>
                <w:sz w:val="20"/>
              </w:rPr>
              <w:t>.</w:t>
            </w:r>
            <w:r>
              <w:rPr>
                <w:sz w:val="20"/>
              </w:rPr>
              <w:t>90</w:t>
            </w:r>
            <w:r w:rsidR="00595360">
              <w:rPr>
                <w:sz w:val="20"/>
              </w:rPr>
              <w:t>%</w:t>
            </w:r>
          </w:p>
        </w:tc>
        <w:tc>
          <w:tcPr>
            <w:tcW w:w="1801" w:type="dxa"/>
            <w:tcMar>
              <w:top w:w="28" w:type="dxa"/>
              <w:left w:w="28" w:type="dxa"/>
              <w:bottom w:w="28" w:type="dxa"/>
              <w:right w:w="28" w:type="dxa"/>
            </w:tcMar>
          </w:tcPr>
          <w:p w:rsidR="00F90BE8" w:rsidRDefault="0093702F">
            <w:pPr>
              <w:autoSpaceDE w:val="0"/>
              <w:autoSpaceDN w:val="0"/>
              <w:adjustRightInd w:val="0"/>
              <w:jc w:val="center"/>
              <w:rPr>
                <w:sz w:val="20"/>
              </w:rPr>
            </w:pPr>
            <w:r>
              <w:rPr>
                <w:sz w:val="20"/>
              </w:rPr>
              <w:t>16, 949</w:t>
            </w:r>
          </w:p>
        </w:tc>
        <w:tc>
          <w:tcPr>
            <w:tcW w:w="1885" w:type="dxa"/>
            <w:tcMar>
              <w:top w:w="28" w:type="dxa"/>
              <w:left w:w="28" w:type="dxa"/>
              <w:bottom w:w="28" w:type="dxa"/>
              <w:right w:w="28" w:type="dxa"/>
            </w:tcMar>
          </w:tcPr>
          <w:p w:rsidR="00F90BE8" w:rsidRDefault="0093702F">
            <w:pPr>
              <w:autoSpaceDE w:val="0"/>
              <w:autoSpaceDN w:val="0"/>
              <w:adjustRightInd w:val="0"/>
              <w:jc w:val="center"/>
              <w:rPr>
                <w:sz w:val="20"/>
              </w:rPr>
            </w:pPr>
            <w:r>
              <w:rPr>
                <w:sz w:val="20"/>
              </w:rPr>
              <w:t>2,864</w:t>
            </w:r>
          </w:p>
        </w:tc>
      </w:tr>
    </w:tbl>
    <w:p w:rsidR="00325908" w:rsidRDefault="00325908">
      <w:pPr>
        <w:pStyle w:val="EndnoteText"/>
        <w:spacing w:after="0"/>
        <w:rPr>
          <w:sz w:val="20"/>
        </w:rPr>
      </w:pPr>
    </w:p>
    <w:p w:rsidR="00595360" w:rsidRDefault="00595360">
      <w:pPr>
        <w:pStyle w:val="EndnoteText"/>
        <w:spacing w:after="0"/>
        <w:rPr>
          <w:sz w:val="20"/>
        </w:rPr>
      </w:pPr>
      <w:r>
        <w:rPr>
          <w:sz w:val="20"/>
        </w:rPr>
        <w:t xml:space="preserve">   *CPR = Percent of competitive DBS penetration rate.</w:t>
      </w:r>
    </w:p>
    <w:sectPr w:rsidR="00595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05" w:rsidRDefault="00B71E05">
      <w:r>
        <w:separator/>
      </w:r>
    </w:p>
  </w:endnote>
  <w:endnote w:type="continuationSeparator" w:id="0">
    <w:p w:rsidR="00B71E05" w:rsidRDefault="00B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B1" w:rsidRDefault="00746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1C58C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B1" w:rsidRDefault="0074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05" w:rsidRDefault="00B71E05">
      <w:pPr>
        <w:rPr>
          <w:sz w:val="20"/>
        </w:rPr>
      </w:pPr>
      <w:r>
        <w:rPr>
          <w:sz w:val="20"/>
        </w:rPr>
        <w:separator/>
      </w:r>
    </w:p>
  </w:footnote>
  <w:footnote w:type="continuationSeparator" w:id="0">
    <w:p w:rsidR="00B71E05" w:rsidRDefault="00B71E05">
      <w:pPr>
        <w:rPr>
          <w:sz w:val="20"/>
        </w:rPr>
      </w:pPr>
      <w:r>
        <w:rPr>
          <w:sz w:val="20"/>
        </w:rPr>
        <w:separator/>
      </w:r>
    </w:p>
    <w:p w:rsidR="00B71E05" w:rsidRDefault="00B71E05">
      <w:pPr>
        <w:rPr>
          <w:sz w:val="20"/>
        </w:rPr>
      </w:pPr>
      <w:r>
        <w:rPr>
          <w:sz w:val="20"/>
        </w:rPr>
        <w:t>(...continued from previous page)</w:t>
      </w:r>
    </w:p>
  </w:footnote>
  <w:footnote w:type="continuationNotice" w:id="1">
    <w:p w:rsidR="00B71E05" w:rsidRDefault="00B71E05">
      <w:pPr>
        <w:jc w:val="right"/>
        <w:rPr>
          <w:sz w:val="20"/>
        </w:rPr>
      </w:pPr>
      <w:r>
        <w:rPr>
          <w:sz w:val="20"/>
        </w:rPr>
        <w:t>(continued....)</w:t>
      </w:r>
    </w:p>
  </w:footnote>
  <w:footnote w:id="2">
    <w:p w:rsidR="009D41CB" w:rsidRDefault="009D41CB" w:rsidP="00E74411">
      <w:pPr>
        <w:pStyle w:val="FootnoteText"/>
        <w:jc w:val="left"/>
      </w:pPr>
      <w:r>
        <w:rPr>
          <w:rStyle w:val="FootnoteReference"/>
        </w:rPr>
        <w:footnoteRef/>
      </w:r>
      <w:r>
        <w:t xml:space="preserve"> 47 U.S.C</w:t>
      </w:r>
      <w:r w:rsidR="00F857CD">
        <w:t>.</w:t>
      </w:r>
      <w:r>
        <w:t xml:space="preserve"> § 543(</w:t>
      </w:r>
      <w:r w:rsidR="001645EC">
        <w:t>l</w:t>
      </w:r>
      <w:r>
        <w:t>)(1)(B).</w:t>
      </w:r>
    </w:p>
  </w:footnote>
  <w:footnote w:id="3">
    <w:p w:rsidR="009D41CB" w:rsidRDefault="009D41CB" w:rsidP="00E74411">
      <w:pPr>
        <w:pStyle w:val="FootnoteText"/>
        <w:jc w:val="left"/>
      </w:pPr>
      <w:r>
        <w:rPr>
          <w:rStyle w:val="FootnoteReference"/>
        </w:rPr>
        <w:footnoteRef/>
      </w:r>
      <w:r>
        <w:t xml:space="preserve"> 47 C.F.R. § </w:t>
      </w:r>
      <w:r w:rsidR="001645EC">
        <w:t>76.</w:t>
      </w:r>
      <w:r>
        <w:t>905(b)(2).</w:t>
      </w:r>
    </w:p>
  </w:footnote>
  <w:footnote w:id="4">
    <w:p w:rsidR="008861C3" w:rsidRPr="008861C3" w:rsidRDefault="008861C3" w:rsidP="00E74411">
      <w:pPr>
        <w:pStyle w:val="FootnoteText"/>
        <w:jc w:val="left"/>
        <w:rPr>
          <w:i/>
        </w:rPr>
      </w:pPr>
      <w:r>
        <w:rPr>
          <w:rStyle w:val="FootnoteReference"/>
        </w:rPr>
        <w:footnoteRef/>
      </w:r>
      <w:r>
        <w:t xml:space="preserve"> </w:t>
      </w:r>
      <w:r>
        <w:rPr>
          <w:i/>
        </w:rPr>
        <w:t xml:space="preserve">See Amendment to the Commission’s Rules Concerning Effective Competition; Implementation of Section 111 of the STELA Reauthorization Act, </w:t>
      </w:r>
      <w:r>
        <w:t>Report and Order, 30 FCC Rcd 6574 (2015) (“</w:t>
      </w:r>
      <w:r>
        <w:rPr>
          <w:i/>
        </w:rPr>
        <w:t>Effective Competition Order</w:t>
      </w:r>
      <w:r>
        <w:t xml:space="preserve">”). </w:t>
      </w:r>
      <w:r>
        <w:rPr>
          <w:i/>
        </w:rPr>
        <w:t xml:space="preserve"> </w:t>
      </w:r>
    </w:p>
  </w:footnote>
  <w:footnote w:id="5">
    <w:p w:rsidR="006758C4" w:rsidRPr="006758C4" w:rsidRDefault="006758C4" w:rsidP="00E74411">
      <w:pPr>
        <w:pStyle w:val="FootnoteText"/>
        <w:jc w:val="left"/>
      </w:pPr>
      <w:r>
        <w:rPr>
          <w:rStyle w:val="FootnoteReference"/>
        </w:rPr>
        <w:footnoteRef/>
      </w:r>
      <w:r>
        <w:t xml:space="preserve"> </w:t>
      </w:r>
      <w:r>
        <w:rPr>
          <w:i/>
        </w:rPr>
        <w:t xml:space="preserve">See </w:t>
      </w:r>
      <w:r>
        <w:t>47 U.S.C. § 543(</w:t>
      </w:r>
      <w:r w:rsidR="001645EC">
        <w:t>l</w:t>
      </w:r>
      <w:r>
        <w:t>)(1); 47 C.F.R. §§ 76.905(b), 76.906.</w:t>
      </w:r>
    </w:p>
  </w:footnote>
  <w:footnote w:id="6">
    <w:p w:rsidR="00C472E5" w:rsidRPr="00C472E5" w:rsidRDefault="00C472E5" w:rsidP="00E74411">
      <w:pPr>
        <w:pStyle w:val="FootnoteText"/>
        <w:jc w:val="left"/>
      </w:pPr>
      <w:r>
        <w:rPr>
          <w:rStyle w:val="FootnoteReference"/>
        </w:rPr>
        <w:footnoteRef/>
      </w:r>
      <w:r>
        <w:t xml:space="preserve"> 47 U.S.C. § 543(</w:t>
      </w:r>
      <w:r w:rsidR="001645EC">
        <w:t>l</w:t>
      </w:r>
      <w:r>
        <w:t xml:space="preserve">)(1)(B); </w:t>
      </w:r>
      <w:r>
        <w:rPr>
          <w:i/>
        </w:rPr>
        <w:t xml:space="preserve">see also </w:t>
      </w:r>
      <w:r>
        <w:t>47 C.F.R. § 76.905(b)(2).</w:t>
      </w:r>
    </w:p>
  </w:footnote>
  <w:footnote w:id="7">
    <w:p w:rsidR="001E0FDA" w:rsidRDefault="001E0FDA" w:rsidP="00E74411">
      <w:pPr>
        <w:pStyle w:val="FootnoteText"/>
        <w:jc w:val="left"/>
      </w:pPr>
      <w:r>
        <w:rPr>
          <w:rStyle w:val="FootnoteReference"/>
        </w:rPr>
        <w:footnoteRef/>
      </w:r>
      <w:r>
        <w:t xml:space="preserve"> 47 C.F.R. § 76.905(b)(2)(i).</w:t>
      </w:r>
    </w:p>
  </w:footnote>
  <w:footnote w:id="8">
    <w:p w:rsidR="00F90BE8" w:rsidRDefault="00595360" w:rsidP="001645EC">
      <w:pPr>
        <w:pStyle w:val="FootnoteText"/>
        <w:jc w:val="left"/>
      </w:pPr>
      <w:r>
        <w:rPr>
          <w:rStyle w:val="FootnoteReference"/>
        </w:rPr>
        <w:footnoteRef/>
      </w:r>
      <w:r>
        <w:t xml:space="preserve"> </w:t>
      </w:r>
      <w:r>
        <w:rPr>
          <w:i/>
        </w:rPr>
        <w:t>Effective Competition Order</w:t>
      </w:r>
      <w:r>
        <w:t>, 30 FCC Rcd at 6580-81, ¶ 8.</w:t>
      </w:r>
    </w:p>
  </w:footnote>
  <w:footnote w:id="9">
    <w:p w:rsidR="00F90BE8" w:rsidRDefault="00595360">
      <w:pPr>
        <w:pStyle w:val="FootnoteText"/>
        <w:jc w:val="left"/>
      </w:pPr>
      <w:r>
        <w:rPr>
          <w:rStyle w:val="FootnoteReference"/>
        </w:rPr>
        <w:footnoteRef/>
      </w:r>
      <w:r>
        <w:t xml:space="preserve"> 47 C.F.R. § 76.905(b)(2)(ii).</w:t>
      </w:r>
    </w:p>
  </w:footnote>
  <w:footnote w:id="10">
    <w:p w:rsidR="00F90BE8" w:rsidRDefault="00595360">
      <w:pPr>
        <w:pStyle w:val="FootnoteText"/>
        <w:jc w:val="left"/>
      </w:pPr>
      <w:r>
        <w:rPr>
          <w:rStyle w:val="FootnoteReference"/>
        </w:rPr>
        <w:footnoteRef/>
      </w:r>
      <w:r>
        <w:t xml:space="preserve"> </w:t>
      </w:r>
      <w:r>
        <w:rPr>
          <w:i/>
        </w:rPr>
        <w:t>Effective Competition Order</w:t>
      </w:r>
      <w:r>
        <w:t>, 30 FCC Rcd at 6581-82, ¶ 9.</w:t>
      </w:r>
    </w:p>
  </w:footnote>
  <w:footnote w:id="11">
    <w:p w:rsidR="00CE77AF" w:rsidRDefault="00CE77AF">
      <w:pPr>
        <w:pStyle w:val="FootnoteText"/>
      </w:pPr>
      <w:r>
        <w:rPr>
          <w:rStyle w:val="FootnoteReference"/>
        </w:rPr>
        <w:footnoteRef/>
      </w:r>
      <w:r>
        <w:t xml:space="preserve"> City of Lacey Opposition at 2. </w:t>
      </w:r>
    </w:p>
  </w:footnote>
  <w:footnote w:id="12">
    <w:p w:rsidR="00D3285F" w:rsidRPr="00D3285F" w:rsidRDefault="00D3285F">
      <w:pPr>
        <w:pStyle w:val="FootnoteText"/>
      </w:pPr>
      <w:r>
        <w:rPr>
          <w:rStyle w:val="FootnoteReference"/>
        </w:rPr>
        <w:footnoteRef/>
      </w:r>
      <w:r>
        <w:t xml:space="preserve"> </w:t>
      </w:r>
      <w:r>
        <w:rPr>
          <w:i/>
        </w:rPr>
        <w:t>Id.</w:t>
      </w:r>
      <w:r>
        <w:t xml:space="preserve"> at 2-3. </w:t>
      </w:r>
    </w:p>
  </w:footnote>
  <w:footnote w:id="13">
    <w:p w:rsidR="00C654D1" w:rsidRDefault="00C654D1">
      <w:pPr>
        <w:pStyle w:val="FootnoteText"/>
      </w:pPr>
      <w:r>
        <w:rPr>
          <w:rStyle w:val="FootnoteReference"/>
        </w:rPr>
        <w:footnoteRef/>
      </w:r>
      <w:r>
        <w:t xml:space="preserve"> Comcast Reply at 3.</w:t>
      </w:r>
    </w:p>
  </w:footnote>
  <w:footnote w:id="14">
    <w:p w:rsidR="004325CF" w:rsidRPr="004325CF" w:rsidRDefault="004325CF">
      <w:pPr>
        <w:pStyle w:val="FootnoteText"/>
      </w:pPr>
      <w:r>
        <w:rPr>
          <w:rStyle w:val="FootnoteReference"/>
        </w:rPr>
        <w:footnoteRef/>
      </w:r>
      <w:r>
        <w:t xml:space="preserve"> </w:t>
      </w:r>
      <w:r>
        <w:rPr>
          <w:i/>
        </w:rPr>
        <w:t>Id.</w:t>
      </w:r>
    </w:p>
  </w:footnote>
  <w:footnote w:id="15">
    <w:p w:rsidR="00E429A9" w:rsidRPr="00E429A9" w:rsidRDefault="00E429A9">
      <w:pPr>
        <w:pStyle w:val="FootnoteText"/>
      </w:pPr>
      <w:r>
        <w:rPr>
          <w:rStyle w:val="FootnoteReference"/>
        </w:rPr>
        <w:footnoteRef/>
      </w:r>
      <w:r>
        <w:t xml:space="preserve"> </w:t>
      </w:r>
      <w:r>
        <w:rPr>
          <w:i/>
        </w:rPr>
        <w:t>Id.</w:t>
      </w:r>
    </w:p>
  </w:footnote>
  <w:footnote w:id="16">
    <w:p w:rsidR="00FB352B" w:rsidRPr="00FB352B" w:rsidRDefault="00FB352B">
      <w:pPr>
        <w:pStyle w:val="FootnoteText"/>
      </w:pPr>
      <w:r>
        <w:rPr>
          <w:rStyle w:val="FootnoteReference"/>
        </w:rPr>
        <w:footnoteRef/>
      </w:r>
      <w:r>
        <w:t xml:space="preserve"> </w:t>
      </w:r>
      <w:r>
        <w:rPr>
          <w:i/>
        </w:rPr>
        <w:t>Id.</w:t>
      </w:r>
    </w:p>
  </w:footnote>
  <w:footnote w:id="17">
    <w:p w:rsidR="00E4224B" w:rsidRPr="00E4224B" w:rsidRDefault="00E4224B">
      <w:pPr>
        <w:pStyle w:val="FootnoteText"/>
      </w:pPr>
      <w:r>
        <w:rPr>
          <w:rStyle w:val="FootnoteReference"/>
        </w:rPr>
        <w:footnoteRef/>
      </w:r>
      <w:r>
        <w:t xml:space="preserve"> </w:t>
      </w:r>
      <w:r>
        <w:rPr>
          <w:i/>
        </w:rPr>
        <w:t>Id</w:t>
      </w:r>
      <w:r>
        <w:t xml:space="preserve">., </w:t>
      </w:r>
      <w:r>
        <w:rPr>
          <w:i/>
        </w:rPr>
        <w:t xml:space="preserve">see also </w:t>
      </w:r>
      <w:r>
        <w:t>Petition at Exhibit 5 (2010 Census data for occupied and vacant housing units in Lacey).</w:t>
      </w:r>
    </w:p>
  </w:footnote>
  <w:footnote w:id="18">
    <w:p w:rsidR="00D41E0F" w:rsidRDefault="00D41E0F">
      <w:pPr>
        <w:pStyle w:val="FootnoteText"/>
      </w:pPr>
      <w:r>
        <w:rPr>
          <w:rStyle w:val="FootnoteReference"/>
        </w:rPr>
        <w:footnoteRef/>
      </w:r>
      <w:r>
        <w:t xml:space="preserve"> Comcast Reply at 3. </w:t>
      </w:r>
    </w:p>
  </w:footnote>
  <w:footnote w:id="19">
    <w:p w:rsidR="00F90BE8" w:rsidRDefault="00595360" w:rsidP="001645EC">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B1" w:rsidRDefault="00746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BD6E72">
      <w:rPr>
        <w:b/>
      </w:rPr>
      <w:t>263</w:t>
    </w:r>
    <w:r>
      <w:rPr>
        <w:b/>
      </w:rPr>
      <w:t xml:space="preserve"> </w:t>
    </w:r>
  </w:p>
  <w:p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8827024" wp14:editId="0F14CC7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7B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9" w:rsidRDefault="004E5D79" w:rsidP="004E5D79">
    <w:pPr>
      <w:pStyle w:val="Header"/>
      <w:tabs>
        <w:tab w:val="clear" w:pos="4320"/>
        <w:tab w:val="clear" w:pos="8640"/>
        <w:tab w:val="center" w:pos="4680"/>
        <w:tab w:val="right" w:pos="9360"/>
      </w:tabs>
      <w:rPr>
        <w:b/>
      </w:rPr>
    </w:pPr>
    <w:r>
      <w:rPr>
        <w:b/>
      </w:rPr>
      <w:tab/>
      <w:t>Federal Communications Commission</w:t>
    </w:r>
    <w:r>
      <w:rPr>
        <w:b/>
      </w:rPr>
      <w:tab/>
      <w:t>DA 16-</w:t>
    </w:r>
    <w:r w:rsidR="00BD6E72">
      <w:rPr>
        <w:b/>
      </w:rPr>
      <w:t>263</w:t>
    </w:r>
    <w:r>
      <w:rPr>
        <w:b/>
      </w:rPr>
      <w:t xml:space="preserve"> </w:t>
    </w:r>
  </w:p>
  <w:p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7ECE60EA" wp14:editId="4E68EBD1">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B53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0012C"/>
    <w:rsid w:val="000252F2"/>
    <w:rsid w:val="000355C5"/>
    <w:rsid w:val="00035908"/>
    <w:rsid w:val="00037875"/>
    <w:rsid w:val="00060059"/>
    <w:rsid w:val="00060DE0"/>
    <w:rsid w:val="000626F7"/>
    <w:rsid w:val="00073D99"/>
    <w:rsid w:val="00080038"/>
    <w:rsid w:val="00085B7D"/>
    <w:rsid w:val="000874DC"/>
    <w:rsid w:val="00090D29"/>
    <w:rsid w:val="00091016"/>
    <w:rsid w:val="0009518A"/>
    <w:rsid w:val="000969E8"/>
    <w:rsid w:val="000A6426"/>
    <w:rsid w:val="000E4886"/>
    <w:rsid w:val="000F0EDA"/>
    <w:rsid w:val="000F15F6"/>
    <w:rsid w:val="00130746"/>
    <w:rsid w:val="00153F89"/>
    <w:rsid w:val="001645EC"/>
    <w:rsid w:val="0017155B"/>
    <w:rsid w:val="00196C57"/>
    <w:rsid w:val="001C58CC"/>
    <w:rsid w:val="001C5EAF"/>
    <w:rsid w:val="001E0FDA"/>
    <w:rsid w:val="001E18E0"/>
    <w:rsid w:val="001F251F"/>
    <w:rsid w:val="002174C4"/>
    <w:rsid w:val="00217FAB"/>
    <w:rsid w:val="00222A69"/>
    <w:rsid w:val="00227F97"/>
    <w:rsid w:val="002318DB"/>
    <w:rsid w:val="002619E8"/>
    <w:rsid w:val="002623FF"/>
    <w:rsid w:val="00280611"/>
    <w:rsid w:val="002811DF"/>
    <w:rsid w:val="0029463A"/>
    <w:rsid w:val="002C260F"/>
    <w:rsid w:val="002C6A4E"/>
    <w:rsid w:val="002D6404"/>
    <w:rsid w:val="002F1E8B"/>
    <w:rsid w:val="00322F49"/>
    <w:rsid w:val="00325908"/>
    <w:rsid w:val="00327F76"/>
    <w:rsid w:val="00330290"/>
    <w:rsid w:val="003331F6"/>
    <w:rsid w:val="0033457C"/>
    <w:rsid w:val="00346CE0"/>
    <w:rsid w:val="0034752E"/>
    <w:rsid w:val="003542DC"/>
    <w:rsid w:val="00370631"/>
    <w:rsid w:val="00377DC6"/>
    <w:rsid w:val="00381BAC"/>
    <w:rsid w:val="003A2EBA"/>
    <w:rsid w:val="003A7A4D"/>
    <w:rsid w:val="003B3872"/>
    <w:rsid w:val="003C108B"/>
    <w:rsid w:val="003E0C30"/>
    <w:rsid w:val="00402168"/>
    <w:rsid w:val="00424F3F"/>
    <w:rsid w:val="004325CF"/>
    <w:rsid w:val="00434F06"/>
    <w:rsid w:val="00440FDA"/>
    <w:rsid w:val="00451939"/>
    <w:rsid w:val="00456254"/>
    <w:rsid w:val="0047559C"/>
    <w:rsid w:val="00481FED"/>
    <w:rsid w:val="00495435"/>
    <w:rsid w:val="00495FD7"/>
    <w:rsid w:val="004C09FB"/>
    <w:rsid w:val="004D1B04"/>
    <w:rsid w:val="004E5D79"/>
    <w:rsid w:val="0053290A"/>
    <w:rsid w:val="00571B5E"/>
    <w:rsid w:val="00590762"/>
    <w:rsid w:val="00595360"/>
    <w:rsid w:val="005A6BC7"/>
    <w:rsid w:val="005E5C07"/>
    <w:rsid w:val="005F21A2"/>
    <w:rsid w:val="005F3EE6"/>
    <w:rsid w:val="005F6379"/>
    <w:rsid w:val="00605C58"/>
    <w:rsid w:val="0061069D"/>
    <w:rsid w:val="00613A63"/>
    <w:rsid w:val="00624E5C"/>
    <w:rsid w:val="0063447F"/>
    <w:rsid w:val="006758C4"/>
    <w:rsid w:val="00685EB3"/>
    <w:rsid w:val="006977A3"/>
    <w:rsid w:val="006A2AEA"/>
    <w:rsid w:val="006C4165"/>
    <w:rsid w:val="006C5808"/>
    <w:rsid w:val="006D08BF"/>
    <w:rsid w:val="006F3076"/>
    <w:rsid w:val="006F52FB"/>
    <w:rsid w:val="00705F3C"/>
    <w:rsid w:val="007146CD"/>
    <w:rsid w:val="0073082A"/>
    <w:rsid w:val="007467B1"/>
    <w:rsid w:val="00773C09"/>
    <w:rsid w:val="007826C8"/>
    <w:rsid w:val="007843D5"/>
    <w:rsid w:val="00784629"/>
    <w:rsid w:val="007B066D"/>
    <w:rsid w:val="007B38B2"/>
    <w:rsid w:val="007C10F9"/>
    <w:rsid w:val="007C65F6"/>
    <w:rsid w:val="007D1B6D"/>
    <w:rsid w:val="007E1CA3"/>
    <w:rsid w:val="007E3719"/>
    <w:rsid w:val="007E77FB"/>
    <w:rsid w:val="007F1AE1"/>
    <w:rsid w:val="0080779F"/>
    <w:rsid w:val="00816377"/>
    <w:rsid w:val="00831883"/>
    <w:rsid w:val="008319A9"/>
    <w:rsid w:val="008345DE"/>
    <w:rsid w:val="0085455A"/>
    <w:rsid w:val="008655BC"/>
    <w:rsid w:val="00877C6C"/>
    <w:rsid w:val="008861C3"/>
    <w:rsid w:val="00895487"/>
    <w:rsid w:val="008D2B37"/>
    <w:rsid w:val="009036E7"/>
    <w:rsid w:val="0090392B"/>
    <w:rsid w:val="00920A22"/>
    <w:rsid w:val="00931C72"/>
    <w:rsid w:val="00936BE3"/>
    <w:rsid w:val="0093702F"/>
    <w:rsid w:val="009A26FB"/>
    <w:rsid w:val="009A4A0E"/>
    <w:rsid w:val="009C10AE"/>
    <w:rsid w:val="009D41CB"/>
    <w:rsid w:val="009D7E4C"/>
    <w:rsid w:val="009E4F9B"/>
    <w:rsid w:val="009E6556"/>
    <w:rsid w:val="009F674B"/>
    <w:rsid w:val="00A0523D"/>
    <w:rsid w:val="00A22C04"/>
    <w:rsid w:val="00A23D9A"/>
    <w:rsid w:val="00A34E90"/>
    <w:rsid w:val="00A472FB"/>
    <w:rsid w:val="00A72160"/>
    <w:rsid w:val="00A80DE9"/>
    <w:rsid w:val="00A9062F"/>
    <w:rsid w:val="00A96EBE"/>
    <w:rsid w:val="00AB13C3"/>
    <w:rsid w:val="00AD037A"/>
    <w:rsid w:val="00AD64FA"/>
    <w:rsid w:val="00AD6ED1"/>
    <w:rsid w:val="00AE5F01"/>
    <w:rsid w:val="00AF5D45"/>
    <w:rsid w:val="00AF5E34"/>
    <w:rsid w:val="00B1033F"/>
    <w:rsid w:val="00B219DA"/>
    <w:rsid w:val="00B6479F"/>
    <w:rsid w:val="00B67492"/>
    <w:rsid w:val="00B71E05"/>
    <w:rsid w:val="00B836F9"/>
    <w:rsid w:val="00BC310B"/>
    <w:rsid w:val="00BC66AE"/>
    <w:rsid w:val="00BD6E72"/>
    <w:rsid w:val="00BF3D30"/>
    <w:rsid w:val="00C17098"/>
    <w:rsid w:val="00C472E5"/>
    <w:rsid w:val="00C654D1"/>
    <w:rsid w:val="00C8502C"/>
    <w:rsid w:val="00C87FF9"/>
    <w:rsid w:val="00C90CF9"/>
    <w:rsid w:val="00CA102D"/>
    <w:rsid w:val="00CC6068"/>
    <w:rsid w:val="00CC61E7"/>
    <w:rsid w:val="00CC63B9"/>
    <w:rsid w:val="00CD619A"/>
    <w:rsid w:val="00CE77AF"/>
    <w:rsid w:val="00CF4231"/>
    <w:rsid w:val="00D05167"/>
    <w:rsid w:val="00D10053"/>
    <w:rsid w:val="00D1545C"/>
    <w:rsid w:val="00D1660D"/>
    <w:rsid w:val="00D21F23"/>
    <w:rsid w:val="00D27F8B"/>
    <w:rsid w:val="00D3285F"/>
    <w:rsid w:val="00D419BD"/>
    <w:rsid w:val="00D41E0F"/>
    <w:rsid w:val="00D74216"/>
    <w:rsid w:val="00D84B53"/>
    <w:rsid w:val="00DB1B8F"/>
    <w:rsid w:val="00DD11AD"/>
    <w:rsid w:val="00DF478F"/>
    <w:rsid w:val="00E113AB"/>
    <w:rsid w:val="00E21148"/>
    <w:rsid w:val="00E26303"/>
    <w:rsid w:val="00E41F7D"/>
    <w:rsid w:val="00E4224B"/>
    <w:rsid w:val="00E429A9"/>
    <w:rsid w:val="00E471CB"/>
    <w:rsid w:val="00E55054"/>
    <w:rsid w:val="00E74411"/>
    <w:rsid w:val="00E958FB"/>
    <w:rsid w:val="00E968B2"/>
    <w:rsid w:val="00EA6DE2"/>
    <w:rsid w:val="00EC45ED"/>
    <w:rsid w:val="00EF56B9"/>
    <w:rsid w:val="00F145B9"/>
    <w:rsid w:val="00F34FF5"/>
    <w:rsid w:val="00F35A46"/>
    <w:rsid w:val="00F37370"/>
    <w:rsid w:val="00F46B41"/>
    <w:rsid w:val="00F51B26"/>
    <w:rsid w:val="00F701A2"/>
    <w:rsid w:val="00F74A6A"/>
    <w:rsid w:val="00F8247F"/>
    <w:rsid w:val="00F857CD"/>
    <w:rsid w:val="00F90BE8"/>
    <w:rsid w:val="00F959EA"/>
    <w:rsid w:val="00FA43B5"/>
    <w:rsid w:val="00FB352B"/>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1260</Words>
  <Characters>6739</Characters>
  <Application>Microsoft Office Word</Application>
  <DocSecurity>0</DocSecurity>
  <Lines>139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2016-03-09T16:55:00Z</cp:lastPrinted>
  <dcterms:created xsi:type="dcterms:W3CDTF">2016-03-10T16:12:00Z</dcterms:created>
  <dcterms:modified xsi:type="dcterms:W3CDTF">2016-03-10T16:12:00Z</dcterms:modified>
  <cp:category> </cp:category>
  <cp:contentStatus> </cp:contentStatus>
</cp:coreProperties>
</file>