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E4051D" w:rsidRDefault="00602577">
      <w:pPr>
        <w:pStyle w:val="Header"/>
        <w:tabs>
          <w:tab w:val="clear" w:pos="4320"/>
          <w:tab w:val="clear" w:pos="8640"/>
        </w:tabs>
        <w:rPr>
          <w:szCs w:val="22"/>
        </w:rPr>
        <w:sectPr w:rsidR="00602577" w:rsidRPr="00E4051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E4051D" w:rsidRDefault="00881941">
      <w:pPr>
        <w:jc w:val="right"/>
        <w:rPr>
          <w:szCs w:val="22"/>
        </w:rPr>
      </w:pPr>
      <w:r>
        <w:rPr>
          <w:szCs w:val="22"/>
        </w:rPr>
        <w:lastRenderedPageBreak/>
        <w:t>DA 16</w:t>
      </w:r>
      <w:r w:rsidR="00854CA8" w:rsidRPr="00E4051D">
        <w:rPr>
          <w:szCs w:val="22"/>
        </w:rPr>
        <w:t>-</w:t>
      </w:r>
      <w:r w:rsidR="007051DC">
        <w:rPr>
          <w:szCs w:val="22"/>
        </w:rPr>
        <w:t>26</w:t>
      </w:r>
    </w:p>
    <w:p w:rsidR="00602577" w:rsidRPr="00E4051D" w:rsidRDefault="007051DC">
      <w:pPr>
        <w:spacing w:before="60"/>
        <w:jc w:val="right"/>
        <w:rPr>
          <w:szCs w:val="22"/>
        </w:rPr>
      </w:pPr>
      <w:r>
        <w:rPr>
          <w:szCs w:val="22"/>
        </w:rPr>
        <w:t>January 11, 2016</w:t>
      </w:r>
    </w:p>
    <w:p w:rsidR="00602577" w:rsidRPr="00E4051D" w:rsidRDefault="00602577">
      <w:pPr>
        <w:jc w:val="right"/>
        <w:rPr>
          <w:szCs w:val="22"/>
        </w:rPr>
      </w:pPr>
    </w:p>
    <w:p w:rsidR="00602577" w:rsidRPr="00E4051D" w:rsidRDefault="00881941">
      <w:pPr>
        <w:spacing w:after="240"/>
        <w:jc w:val="center"/>
        <w:rPr>
          <w:b/>
          <w:szCs w:val="22"/>
        </w:rPr>
      </w:pPr>
      <w:r>
        <w:rPr>
          <w:b/>
          <w:szCs w:val="22"/>
        </w:rPr>
        <w:t>FOURTEEN</w:t>
      </w:r>
      <w:r w:rsidR="00854CA8" w:rsidRPr="00E4051D">
        <w:rPr>
          <w:b/>
          <w:szCs w:val="22"/>
        </w:rPr>
        <w:t>-DAY EXTENSION OF TIME TO FILE COMMENTS AND REPLY COMMENTS ON NOTICE OF PROPOSED RULEMAKING REGARDING HEARING AID COMPATIBILITY BENCHMARKS</w:t>
      </w:r>
    </w:p>
    <w:p w:rsidR="00602577" w:rsidRDefault="00854CA8">
      <w:pPr>
        <w:spacing w:after="240"/>
        <w:jc w:val="center"/>
        <w:rPr>
          <w:b/>
          <w:szCs w:val="22"/>
        </w:rPr>
      </w:pPr>
      <w:r w:rsidRPr="00E4051D">
        <w:rPr>
          <w:b/>
          <w:szCs w:val="22"/>
        </w:rPr>
        <w:t>WT Docket No.</w:t>
      </w:r>
      <w:r w:rsidR="000751C6">
        <w:rPr>
          <w:b/>
          <w:szCs w:val="22"/>
        </w:rPr>
        <w:t xml:space="preserve"> 15-285</w:t>
      </w:r>
    </w:p>
    <w:p w:rsidR="00854CA8" w:rsidRPr="00854CA8" w:rsidRDefault="00854CA8" w:rsidP="00854CA8">
      <w:pPr>
        <w:rPr>
          <w:b/>
          <w:szCs w:val="22"/>
        </w:rPr>
      </w:pPr>
      <w:r w:rsidRPr="00854CA8">
        <w:rPr>
          <w:b/>
          <w:szCs w:val="22"/>
        </w:rPr>
        <w:t xml:space="preserve">Revised Comment Deadline:  </w:t>
      </w:r>
      <w:r w:rsidR="00881941">
        <w:rPr>
          <w:b/>
          <w:szCs w:val="22"/>
        </w:rPr>
        <w:t>January 28</w:t>
      </w:r>
      <w:r w:rsidR="000751C6">
        <w:rPr>
          <w:b/>
          <w:szCs w:val="22"/>
        </w:rPr>
        <w:t>, 2016</w:t>
      </w:r>
    </w:p>
    <w:p w:rsidR="00854CA8" w:rsidRPr="00854CA8" w:rsidRDefault="00854CA8" w:rsidP="00854CA8">
      <w:pPr>
        <w:rPr>
          <w:b/>
          <w:szCs w:val="22"/>
        </w:rPr>
      </w:pPr>
      <w:r w:rsidRPr="00854CA8">
        <w:rPr>
          <w:b/>
          <w:szCs w:val="22"/>
        </w:rPr>
        <w:t>Revised Reply C</w:t>
      </w:r>
      <w:r w:rsidR="00E4051D">
        <w:rPr>
          <w:b/>
          <w:szCs w:val="22"/>
        </w:rPr>
        <w:t xml:space="preserve">omment Deadline: </w:t>
      </w:r>
      <w:r w:rsidR="00881941">
        <w:rPr>
          <w:b/>
          <w:szCs w:val="22"/>
        </w:rPr>
        <w:t>February 12</w:t>
      </w:r>
      <w:r w:rsidR="000751C6">
        <w:rPr>
          <w:b/>
          <w:szCs w:val="22"/>
        </w:rPr>
        <w:t>, 2016</w:t>
      </w:r>
    </w:p>
    <w:p w:rsidR="00602577" w:rsidRPr="00E4051D" w:rsidRDefault="00602577" w:rsidP="00854CA8">
      <w:pPr>
        <w:rPr>
          <w:szCs w:val="22"/>
        </w:rPr>
      </w:pPr>
    </w:p>
    <w:p w:rsidR="00967EA9" w:rsidRPr="00D04988" w:rsidRDefault="00854CA8" w:rsidP="00D04988">
      <w:pPr>
        <w:rPr>
          <w:szCs w:val="22"/>
        </w:rPr>
      </w:pPr>
      <w:r w:rsidRPr="00E4051D">
        <w:rPr>
          <w:szCs w:val="22"/>
        </w:rPr>
        <w:tab/>
      </w:r>
      <w:r w:rsidRPr="00D04988">
        <w:rPr>
          <w:szCs w:val="22"/>
        </w:rPr>
        <w:t xml:space="preserve">On November 20, 2015, the Commission released the </w:t>
      </w:r>
      <w:r w:rsidRPr="00D04988">
        <w:rPr>
          <w:i/>
          <w:szCs w:val="22"/>
        </w:rPr>
        <w:t>Fourth Report and Order and Notice of Proposed Rulemaking</w:t>
      </w:r>
      <w:r w:rsidR="00D04988">
        <w:rPr>
          <w:i/>
          <w:szCs w:val="22"/>
        </w:rPr>
        <w:t xml:space="preserve"> </w:t>
      </w:r>
      <w:r w:rsidR="00D04988">
        <w:rPr>
          <w:szCs w:val="22"/>
        </w:rPr>
        <w:t>(</w:t>
      </w:r>
      <w:r w:rsidR="00D04988" w:rsidRPr="00D04988">
        <w:rPr>
          <w:i/>
          <w:szCs w:val="22"/>
        </w:rPr>
        <w:t>NPRM</w:t>
      </w:r>
      <w:r w:rsidR="00D04988">
        <w:rPr>
          <w:szCs w:val="22"/>
        </w:rPr>
        <w:t>)</w:t>
      </w:r>
      <w:r w:rsidRPr="00D04988">
        <w:rPr>
          <w:szCs w:val="22"/>
        </w:rPr>
        <w:t>, w</w:t>
      </w:r>
      <w:r w:rsidR="00967EA9" w:rsidRPr="00D04988">
        <w:rPr>
          <w:szCs w:val="22"/>
        </w:rPr>
        <w:t>hich provided that comments are</w:t>
      </w:r>
      <w:r w:rsidRPr="00D04988">
        <w:rPr>
          <w:szCs w:val="22"/>
        </w:rPr>
        <w:t xml:space="preserve"> due on January 14, 20</w:t>
      </w:r>
      <w:r w:rsidR="00967EA9" w:rsidRPr="00D04988">
        <w:rPr>
          <w:szCs w:val="22"/>
        </w:rPr>
        <w:t>16, and that reply comments are</w:t>
      </w:r>
      <w:r w:rsidRPr="00D04988">
        <w:rPr>
          <w:szCs w:val="22"/>
        </w:rPr>
        <w:t xml:space="preserve"> due on January 29, 2016.</w:t>
      </w:r>
      <w:r w:rsidRPr="00D04988">
        <w:rPr>
          <w:rStyle w:val="FootnoteReference"/>
          <w:szCs w:val="22"/>
        </w:rPr>
        <w:footnoteReference w:id="1"/>
      </w:r>
      <w:r w:rsidR="00967EA9" w:rsidRPr="00D04988">
        <w:rPr>
          <w:snapToGrid w:val="0"/>
          <w:kern w:val="28"/>
          <w:szCs w:val="22"/>
        </w:rPr>
        <w:t xml:space="preserve">  </w:t>
      </w:r>
      <w:r w:rsidR="00967EA9" w:rsidRPr="00D04988">
        <w:rPr>
          <w:szCs w:val="22"/>
        </w:rPr>
        <w:t>On January 8, 2016, the Law Firm of Blooston, Mordkofsky, Dickens, Duffy &amp; Prendergast, LLP and the Rural Wireless Association, Inc. filed a Joint Request for Extension of Time to File Comments seeking to “extend the comment deadline to February 15, 2016 . . . or if the Commission is unable to extend the deadline that far, then it should at a minimum be</w:t>
      </w:r>
      <w:r w:rsidR="00D04988">
        <w:rPr>
          <w:szCs w:val="22"/>
        </w:rPr>
        <w:t xml:space="preserve"> </w:t>
      </w:r>
      <w:r w:rsidR="00967EA9" w:rsidRPr="00D04988">
        <w:rPr>
          <w:szCs w:val="22"/>
        </w:rPr>
        <w:t>reset for a date that is at least 7 days after . . . January 15, 2016.</w:t>
      </w:r>
      <w:r w:rsidR="00D5721B" w:rsidRPr="00D04988">
        <w:rPr>
          <w:szCs w:val="22"/>
        </w:rPr>
        <w:t>”</w:t>
      </w:r>
      <w:r w:rsidR="00D5721B" w:rsidRPr="00D04988">
        <w:rPr>
          <w:szCs w:val="22"/>
          <w:vertAlign w:val="superscript"/>
        </w:rPr>
        <w:footnoteReference w:id="2"/>
      </w:r>
      <w:r w:rsidR="00D5721B" w:rsidRPr="00D04988">
        <w:rPr>
          <w:szCs w:val="22"/>
        </w:rPr>
        <w:t xml:space="preserve">  The Request states that the January 14</w:t>
      </w:r>
      <w:r w:rsidR="00D5721B" w:rsidRPr="00D04988">
        <w:rPr>
          <w:szCs w:val="22"/>
          <w:vertAlign w:val="superscript"/>
        </w:rPr>
        <w:t>th</w:t>
      </w:r>
      <w:r w:rsidR="00D5721B" w:rsidRPr="00D04988">
        <w:rPr>
          <w:szCs w:val="22"/>
        </w:rPr>
        <w:t xml:space="preserve"> comment deadline “falls just one day before CMRS service providers (including many Tier III service providers) are required to submit annual </w:t>
      </w:r>
      <w:r w:rsidR="00D04988">
        <w:rPr>
          <w:szCs w:val="22"/>
        </w:rPr>
        <w:t>[hearing aid compatibility]</w:t>
      </w:r>
      <w:r w:rsidR="00D5721B" w:rsidRPr="00D04988">
        <w:rPr>
          <w:szCs w:val="22"/>
        </w:rPr>
        <w:t xml:space="preserve"> reports for the 2015 reporting period,” and </w:t>
      </w:r>
      <w:r w:rsidR="004C0E19" w:rsidRPr="00D04988">
        <w:rPr>
          <w:szCs w:val="22"/>
        </w:rPr>
        <w:t xml:space="preserve">maintains that </w:t>
      </w:r>
      <w:r w:rsidR="00D5721B" w:rsidRPr="00D04988">
        <w:rPr>
          <w:szCs w:val="22"/>
        </w:rPr>
        <w:t>“the proximity of these deadlines means that attorneys and service provider staff who are</w:t>
      </w:r>
      <w:r w:rsidR="004C0E19" w:rsidRPr="00D04988">
        <w:rPr>
          <w:szCs w:val="22"/>
        </w:rPr>
        <w:t xml:space="preserve"> </w:t>
      </w:r>
      <w:r w:rsidR="00D5721B" w:rsidRPr="00D04988">
        <w:rPr>
          <w:szCs w:val="22"/>
        </w:rPr>
        <w:t>the most knowledgeable about int</w:t>
      </w:r>
      <w:r w:rsidR="00D04988">
        <w:rPr>
          <w:szCs w:val="22"/>
        </w:rPr>
        <w:t>ricacies of the Commission’s [hearing aid compatibility]</w:t>
      </w:r>
      <w:r w:rsidR="00D5721B" w:rsidRPr="00D04988">
        <w:rPr>
          <w:szCs w:val="22"/>
        </w:rPr>
        <w:t xml:space="preserve"> reporting and regulatory</w:t>
      </w:r>
      <w:r w:rsidR="004C0E19" w:rsidRPr="00D04988">
        <w:rPr>
          <w:szCs w:val="22"/>
        </w:rPr>
        <w:t xml:space="preserve"> </w:t>
      </w:r>
      <w:r w:rsidR="00D5721B" w:rsidRPr="00D04988">
        <w:rPr>
          <w:szCs w:val="22"/>
        </w:rPr>
        <w:t>compliance procedures (and therefore best positioned to draft informative comments) will be</w:t>
      </w:r>
      <w:r w:rsidR="004C0E19" w:rsidRPr="00D04988">
        <w:rPr>
          <w:szCs w:val="22"/>
        </w:rPr>
        <w:t xml:space="preserve"> </w:t>
      </w:r>
      <w:r w:rsidR="00D5721B" w:rsidRPr="00D04988">
        <w:rPr>
          <w:szCs w:val="22"/>
        </w:rPr>
        <w:t xml:space="preserve">immersed in preparing and filing service provider </w:t>
      </w:r>
      <w:r w:rsidR="00D04988">
        <w:rPr>
          <w:szCs w:val="22"/>
        </w:rPr>
        <w:t>[hearing aid compatibility] reports”</w:t>
      </w:r>
      <w:r w:rsidR="00D5721B" w:rsidRPr="00D04988">
        <w:rPr>
          <w:szCs w:val="22"/>
        </w:rPr>
        <w:t xml:space="preserve"> when the </w:t>
      </w:r>
      <w:r w:rsidR="00D5721B" w:rsidRPr="00D04988">
        <w:rPr>
          <w:i/>
          <w:szCs w:val="22"/>
        </w:rPr>
        <w:t>NPRM</w:t>
      </w:r>
      <w:r w:rsidR="00D04988" w:rsidRPr="00D04988">
        <w:rPr>
          <w:i/>
          <w:szCs w:val="22"/>
        </w:rPr>
        <w:t xml:space="preserve"> </w:t>
      </w:r>
      <w:r w:rsidR="00D5721B" w:rsidRPr="00D04988">
        <w:rPr>
          <w:szCs w:val="22"/>
        </w:rPr>
        <w:t>comments are due.</w:t>
      </w:r>
      <w:r w:rsidR="00967EA9" w:rsidRPr="00D04988">
        <w:rPr>
          <w:szCs w:val="22"/>
          <w:vertAlign w:val="superscript"/>
        </w:rPr>
        <w:footnoteReference w:id="3"/>
      </w:r>
      <w:r w:rsidR="00967EA9" w:rsidRPr="00D04988">
        <w:rPr>
          <w:szCs w:val="22"/>
        </w:rPr>
        <w:t xml:space="preserve">  </w:t>
      </w:r>
    </w:p>
    <w:p w:rsidR="00E4051D" w:rsidRPr="00D04988" w:rsidRDefault="00E4051D" w:rsidP="00854CA8">
      <w:pPr>
        <w:rPr>
          <w:szCs w:val="22"/>
        </w:rPr>
      </w:pPr>
    </w:p>
    <w:p w:rsidR="00602577" w:rsidRPr="00D04988" w:rsidRDefault="00E4051D" w:rsidP="00E4051D">
      <w:pPr>
        <w:widowControl w:val="0"/>
        <w:tabs>
          <w:tab w:val="left" w:pos="720"/>
        </w:tabs>
        <w:spacing w:after="220"/>
        <w:rPr>
          <w:szCs w:val="22"/>
        </w:rPr>
      </w:pPr>
      <w:r w:rsidRPr="00D04988">
        <w:rPr>
          <w:szCs w:val="22"/>
        </w:rPr>
        <w:tab/>
      </w:r>
      <w:r w:rsidR="00B4653F" w:rsidRPr="00D04988">
        <w:rPr>
          <w:szCs w:val="22"/>
        </w:rPr>
        <w:t xml:space="preserve">It is the policy of the Commission that extensions of time are </w:t>
      </w:r>
      <w:bookmarkStart w:id="2" w:name="SR;285"/>
      <w:bookmarkStart w:id="3" w:name="SearchTerm"/>
      <w:bookmarkEnd w:id="2"/>
      <w:r w:rsidR="00B4653F" w:rsidRPr="00D04988">
        <w:rPr>
          <w:bCs/>
          <w:szCs w:val="22"/>
        </w:rPr>
        <w:t>not</w:t>
      </w:r>
      <w:r w:rsidR="00B4653F" w:rsidRPr="00D04988">
        <w:rPr>
          <w:szCs w:val="22"/>
        </w:rPr>
        <w:t xml:space="preserve"> </w:t>
      </w:r>
      <w:bookmarkStart w:id="4" w:name="SR;286"/>
      <w:bookmarkEnd w:id="4"/>
      <w:r w:rsidR="00B4653F" w:rsidRPr="00D04988">
        <w:rPr>
          <w:bCs/>
          <w:szCs w:val="22"/>
        </w:rPr>
        <w:t>routinely</w:t>
      </w:r>
      <w:r w:rsidR="00B4653F" w:rsidRPr="00D04988">
        <w:rPr>
          <w:szCs w:val="22"/>
        </w:rPr>
        <w:t xml:space="preserve"> </w:t>
      </w:r>
      <w:bookmarkStart w:id="5" w:name="SR;287"/>
      <w:bookmarkEnd w:id="3"/>
      <w:bookmarkEnd w:id="5"/>
      <w:r w:rsidR="00B4653F" w:rsidRPr="00D04988">
        <w:rPr>
          <w:bCs/>
          <w:szCs w:val="22"/>
        </w:rPr>
        <w:t>granted</w:t>
      </w:r>
      <w:r w:rsidR="00B4653F" w:rsidRPr="00D04988">
        <w:rPr>
          <w:szCs w:val="22"/>
        </w:rPr>
        <w:t>.</w:t>
      </w:r>
      <w:bookmarkStart w:id="6" w:name="FN[FN5]"/>
      <w:bookmarkEnd w:id="6"/>
      <w:r w:rsidR="004C0E19" w:rsidRPr="00D04988">
        <w:rPr>
          <w:szCs w:val="22"/>
          <w:vertAlign w:val="superscript"/>
        </w:rPr>
        <w:footnoteReference w:id="4"/>
      </w:r>
      <w:r w:rsidR="004C0E19" w:rsidRPr="00D04988">
        <w:rPr>
          <w:szCs w:val="22"/>
        </w:rPr>
        <w:t xml:space="preserve">  </w:t>
      </w:r>
      <w:r w:rsidR="00B4653F" w:rsidRPr="00D04988">
        <w:rPr>
          <w:szCs w:val="22"/>
        </w:rPr>
        <w:t xml:space="preserve">Such extensions may be warranted when, among other things, the additional time will serve the public interest.  </w:t>
      </w:r>
      <w:r w:rsidRPr="00D04988">
        <w:rPr>
          <w:szCs w:val="22"/>
        </w:rPr>
        <w:t>We find</w:t>
      </w:r>
      <w:r w:rsidR="004C0E19" w:rsidRPr="00D04988">
        <w:rPr>
          <w:szCs w:val="22"/>
        </w:rPr>
        <w:t xml:space="preserve"> </w:t>
      </w:r>
      <w:r w:rsidRPr="00D04988">
        <w:rPr>
          <w:szCs w:val="22"/>
        </w:rPr>
        <w:t xml:space="preserve">that providing a limited extension </w:t>
      </w:r>
      <w:r w:rsidR="00B4653F" w:rsidRPr="00D04988">
        <w:rPr>
          <w:szCs w:val="22"/>
        </w:rPr>
        <w:t xml:space="preserve">in this proceeding </w:t>
      </w:r>
      <w:r w:rsidRPr="00D04988">
        <w:rPr>
          <w:szCs w:val="22"/>
        </w:rPr>
        <w:t xml:space="preserve">would be beneficial to the development of a </w:t>
      </w:r>
      <w:r w:rsidRPr="00D04988">
        <w:rPr>
          <w:szCs w:val="22"/>
        </w:rPr>
        <w:lastRenderedPageBreak/>
        <w:t xml:space="preserve">complete record on the issues and that an extension of time therefore serves the public interest.  Accordingly, we hereby grant a </w:t>
      </w:r>
      <w:r w:rsidR="004C0E19" w:rsidRPr="00D04988">
        <w:rPr>
          <w:szCs w:val="22"/>
        </w:rPr>
        <w:t>fourteen</w:t>
      </w:r>
      <w:r w:rsidRPr="00D04988">
        <w:rPr>
          <w:szCs w:val="22"/>
        </w:rPr>
        <w:t xml:space="preserve">-day extension of time for comments </w:t>
      </w:r>
      <w:r w:rsidR="005556C6" w:rsidRPr="00D04988">
        <w:rPr>
          <w:szCs w:val="22"/>
        </w:rPr>
        <w:t xml:space="preserve">filed in response to the </w:t>
      </w:r>
      <w:r w:rsidR="00D04988">
        <w:rPr>
          <w:i/>
          <w:szCs w:val="22"/>
        </w:rPr>
        <w:t>NPRM</w:t>
      </w:r>
      <w:r w:rsidR="005556C6" w:rsidRPr="00D04988">
        <w:rPr>
          <w:szCs w:val="22"/>
        </w:rPr>
        <w:t xml:space="preserve"> </w:t>
      </w:r>
      <w:r w:rsidR="00B4653F" w:rsidRPr="00D04988">
        <w:rPr>
          <w:szCs w:val="22"/>
        </w:rPr>
        <w:t xml:space="preserve">and </w:t>
      </w:r>
      <w:r w:rsidR="005556C6" w:rsidRPr="00D04988">
        <w:rPr>
          <w:szCs w:val="22"/>
        </w:rPr>
        <w:t xml:space="preserve">a similar extension of time for </w:t>
      </w:r>
      <w:r w:rsidR="00B4653F" w:rsidRPr="00D04988">
        <w:rPr>
          <w:szCs w:val="22"/>
        </w:rPr>
        <w:t>reply comments</w:t>
      </w:r>
      <w:r w:rsidRPr="00D04988">
        <w:rPr>
          <w:szCs w:val="22"/>
        </w:rPr>
        <w:t xml:space="preserve">.  The deadline for filing comments is therefore extended to </w:t>
      </w:r>
      <w:r w:rsidR="004C0E19" w:rsidRPr="00D04988">
        <w:rPr>
          <w:szCs w:val="22"/>
        </w:rPr>
        <w:t>January 28</w:t>
      </w:r>
      <w:r w:rsidRPr="00D04988">
        <w:rPr>
          <w:szCs w:val="22"/>
        </w:rPr>
        <w:t>, 201</w:t>
      </w:r>
      <w:r w:rsidR="000751C6" w:rsidRPr="00D04988">
        <w:rPr>
          <w:szCs w:val="22"/>
        </w:rPr>
        <w:t>6,</w:t>
      </w:r>
      <w:r w:rsidRPr="00D04988">
        <w:rPr>
          <w:szCs w:val="22"/>
        </w:rPr>
        <w:t xml:space="preserve"> and the deadline for filin</w:t>
      </w:r>
      <w:r w:rsidR="004C0E19" w:rsidRPr="00D04988">
        <w:rPr>
          <w:szCs w:val="22"/>
        </w:rPr>
        <w:t>g reply comments is extended to February 12</w:t>
      </w:r>
      <w:r w:rsidR="000751C6" w:rsidRPr="00D04988">
        <w:rPr>
          <w:szCs w:val="22"/>
        </w:rPr>
        <w:t>, 2016</w:t>
      </w:r>
      <w:r w:rsidRPr="00D04988">
        <w:rPr>
          <w:szCs w:val="22"/>
        </w:rPr>
        <w:t>.</w:t>
      </w:r>
    </w:p>
    <w:p w:rsidR="00E4051D" w:rsidRPr="00D04988" w:rsidRDefault="00E4051D" w:rsidP="007E001A">
      <w:pPr>
        <w:ind w:firstLine="720"/>
        <w:rPr>
          <w:szCs w:val="22"/>
        </w:rPr>
      </w:pPr>
      <w:r w:rsidRPr="00D04988">
        <w:rPr>
          <w:szCs w:val="22"/>
        </w:rPr>
        <w:t>This action is taken pursuant to authority found in Sections 4(i) of the Communications Act of 1934, as amended, 47 U.S.C. § 154(i), and Sections 0.131, 0.331, and 1.46 of the Commission’s rules, 47 C.F.R. §§ 0.131, 0.331, and 1.46.</w:t>
      </w:r>
    </w:p>
    <w:p w:rsidR="00E4051D" w:rsidRPr="00D04988" w:rsidRDefault="00E4051D" w:rsidP="00E4051D">
      <w:pPr>
        <w:rPr>
          <w:szCs w:val="22"/>
        </w:rPr>
      </w:pPr>
    </w:p>
    <w:p w:rsidR="00E4051D" w:rsidRPr="00D04988" w:rsidRDefault="00E4051D" w:rsidP="00E4051D">
      <w:pPr>
        <w:keepNext/>
        <w:keepLines/>
        <w:rPr>
          <w:szCs w:val="22"/>
        </w:rPr>
      </w:pPr>
      <w:r w:rsidRPr="00D04988">
        <w:rPr>
          <w:szCs w:val="22"/>
        </w:rPr>
        <w:tab/>
        <w:t xml:space="preserve">For further information, contact </w:t>
      </w:r>
      <w:r w:rsidR="004C0E19" w:rsidRPr="00D04988">
        <w:rPr>
          <w:szCs w:val="22"/>
        </w:rPr>
        <w:t>Eli Johnson</w:t>
      </w:r>
      <w:r w:rsidR="007E001A" w:rsidRPr="00D04988">
        <w:rPr>
          <w:szCs w:val="22"/>
        </w:rPr>
        <w:t xml:space="preserve">, Wireless Telecommunications Bureau, (202) 418-1395, e-mail </w:t>
      </w:r>
      <w:r w:rsidR="007E001A" w:rsidRPr="00D04988">
        <w:rPr>
          <w:szCs w:val="22"/>
          <w:u w:val="single"/>
        </w:rPr>
        <w:t>Eli.Johnson@fcc.gov</w:t>
      </w:r>
      <w:r w:rsidR="007E001A" w:rsidRPr="00D04988">
        <w:rPr>
          <w:szCs w:val="22"/>
        </w:rPr>
        <w:t xml:space="preserve">, or </w:t>
      </w:r>
      <w:r w:rsidRPr="00D04988">
        <w:rPr>
          <w:szCs w:val="22"/>
        </w:rPr>
        <w:t xml:space="preserve">Michael Rowan, Wireless Telecommunications Bureau, </w:t>
      </w:r>
      <w:r w:rsidR="005556C6" w:rsidRPr="00D04988">
        <w:rPr>
          <w:szCs w:val="22"/>
        </w:rPr>
        <w:t xml:space="preserve">(202) 418-1883, e-mail </w:t>
      </w:r>
      <w:r w:rsidR="005556C6" w:rsidRPr="00D04988">
        <w:rPr>
          <w:szCs w:val="22"/>
          <w:u w:val="single"/>
        </w:rPr>
        <w:t>Michael.Rowan@fcc.gov</w:t>
      </w:r>
      <w:r w:rsidR="007E001A" w:rsidRPr="00D04988">
        <w:rPr>
          <w:szCs w:val="22"/>
        </w:rPr>
        <w:t>.</w:t>
      </w:r>
    </w:p>
    <w:p w:rsidR="00E4051D" w:rsidRPr="00D04988" w:rsidRDefault="00E4051D" w:rsidP="00E4051D">
      <w:pPr>
        <w:keepNext/>
        <w:keepLines/>
        <w:spacing w:after="240"/>
        <w:rPr>
          <w:szCs w:val="22"/>
        </w:rPr>
      </w:pPr>
    </w:p>
    <w:p w:rsidR="00E4051D" w:rsidRPr="00D04988" w:rsidRDefault="00E4051D" w:rsidP="00E4051D">
      <w:pPr>
        <w:keepNext/>
        <w:keepLines/>
        <w:spacing w:after="240"/>
        <w:rPr>
          <w:szCs w:val="22"/>
        </w:rPr>
      </w:pPr>
      <w:r w:rsidRPr="00D04988">
        <w:rPr>
          <w:szCs w:val="22"/>
        </w:rPr>
        <w:t>By the Chief, Wireless Telecommunications Bureau.</w:t>
      </w:r>
    </w:p>
    <w:p w:rsidR="00E4051D" w:rsidRPr="00D04988" w:rsidRDefault="00E4051D" w:rsidP="00E4051D">
      <w:pPr>
        <w:keepNext/>
        <w:keepLines/>
        <w:spacing w:after="240"/>
        <w:rPr>
          <w:szCs w:val="22"/>
        </w:rPr>
      </w:pPr>
    </w:p>
    <w:p w:rsidR="00E4051D" w:rsidRPr="00D04988" w:rsidRDefault="00E4051D" w:rsidP="00E4051D">
      <w:pPr>
        <w:pStyle w:val="ParaNumCharChar1CharCharChar"/>
        <w:keepNext/>
        <w:keepLines/>
        <w:widowControl/>
        <w:numPr>
          <w:ilvl w:val="0"/>
          <w:numId w:val="0"/>
        </w:numPr>
        <w:jc w:val="center"/>
        <w:rPr>
          <w:b/>
          <w:szCs w:val="22"/>
        </w:rPr>
      </w:pPr>
      <w:r w:rsidRPr="00D04988">
        <w:rPr>
          <w:b/>
          <w:szCs w:val="22"/>
        </w:rPr>
        <w:t>- FCC -</w:t>
      </w:r>
    </w:p>
    <w:p w:rsidR="00E4051D" w:rsidRPr="00D04988" w:rsidRDefault="00E4051D" w:rsidP="00E4051D">
      <w:pPr>
        <w:keepNext/>
        <w:keepLines/>
        <w:rPr>
          <w:szCs w:val="22"/>
        </w:rPr>
      </w:pPr>
    </w:p>
    <w:sectPr w:rsidR="00E4051D" w:rsidRPr="00D0498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D6" w:rsidRDefault="009C57D6">
      <w:r>
        <w:separator/>
      </w:r>
    </w:p>
  </w:endnote>
  <w:endnote w:type="continuationSeparator" w:id="0">
    <w:p w:rsidR="009C57D6" w:rsidRDefault="009C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F" w:rsidRDefault="0033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F" w:rsidRDefault="0033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F" w:rsidRDefault="0033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D6" w:rsidRDefault="009C57D6">
      <w:r>
        <w:separator/>
      </w:r>
    </w:p>
  </w:footnote>
  <w:footnote w:type="continuationSeparator" w:id="0">
    <w:p w:rsidR="009C57D6" w:rsidRDefault="009C57D6">
      <w:r>
        <w:continuationSeparator/>
      </w:r>
    </w:p>
  </w:footnote>
  <w:footnote w:id="1">
    <w:p w:rsidR="00854CA8" w:rsidRPr="00E4051D" w:rsidRDefault="00854CA8">
      <w:pPr>
        <w:pStyle w:val="FootnoteText"/>
        <w:rPr>
          <w:sz w:val="20"/>
        </w:rPr>
      </w:pPr>
      <w:r w:rsidRPr="00E4051D">
        <w:rPr>
          <w:rStyle w:val="FootnoteReference"/>
          <w:sz w:val="20"/>
        </w:rPr>
        <w:footnoteRef/>
      </w:r>
      <w:r w:rsidRPr="00E4051D">
        <w:rPr>
          <w:sz w:val="20"/>
        </w:rPr>
        <w:t xml:space="preserve"> </w:t>
      </w:r>
      <w:r w:rsidRPr="00E4051D">
        <w:rPr>
          <w:i/>
          <w:sz w:val="20"/>
        </w:rPr>
        <w:t xml:space="preserve">See </w:t>
      </w:r>
      <w:r w:rsidRPr="00E4051D">
        <w:rPr>
          <w:sz w:val="20"/>
        </w:rPr>
        <w:t xml:space="preserve">Improvements to Benchmarks and Related Requirements Governing Hearing Aid-Compatible Mobile Handsets, WT Docket No. 15-285, Amendment of the Commission’s Rules Governing Hearing Aid-Compatible Mobile Handsets, WT Docket No. 07-250, </w:t>
      </w:r>
      <w:r w:rsidRPr="00E4051D">
        <w:rPr>
          <w:i/>
          <w:sz w:val="20"/>
        </w:rPr>
        <w:t>Fourth Report and Order and Notice of Proposed Rulemaking</w:t>
      </w:r>
      <w:r w:rsidRPr="00E4051D">
        <w:rPr>
          <w:sz w:val="20"/>
        </w:rPr>
        <w:t>, FCC 15-155 (rel. Nov. 20, 2015).</w:t>
      </w:r>
    </w:p>
  </w:footnote>
  <w:footnote w:id="2">
    <w:p w:rsidR="00D5721B" w:rsidRPr="00453EA7" w:rsidRDefault="00D5721B" w:rsidP="004C0E19">
      <w:pPr>
        <w:pStyle w:val="FootnoteText"/>
        <w:rPr>
          <w:i/>
          <w:sz w:val="20"/>
        </w:rPr>
      </w:pPr>
      <w:r>
        <w:rPr>
          <w:rStyle w:val="FootnoteReference"/>
        </w:rPr>
        <w:footnoteRef/>
      </w:r>
      <w:r>
        <w:t xml:space="preserve"> </w:t>
      </w:r>
      <w:r>
        <w:rPr>
          <w:i/>
          <w:sz w:val="20"/>
        </w:rPr>
        <w:t xml:space="preserve">See </w:t>
      </w:r>
      <w:r w:rsidRPr="00D5721B">
        <w:rPr>
          <w:sz w:val="20"/>
        </w:rPr>
        <w:t>Joint Request for Extension of Time to File Comments (Request)</w:t>
      </w:r>
      <w:r>
        <w:rPr>
          <w:sz w:val="20"/>
        </w:rPr>
        <w:t>, WT Docket Nos. 15-285 &amp; 07-250 (Jan. 8, 2016).</w:t>
      </w:r>
    </w:p>
  </w:footnote>
  <w:footnote w:id="3">
    <w:p w:rsidR="00967EA9" w:rsidRDefault="00967EA9" w:rsidP="00967EA9">
      <w:pPr>
        <w:pStyle w:val="FootnoteText"/>
      </w:pPr>
      <w:r>
        <w:rPr>
          <w:rStyle w:val="FootnoteReference"/>
        </w:rPr>
        <w:footnoteRef/>
      </w:r>
      <w:r>
        <w:t xml:space="preserve"> </w:t>
      </w:r>
      <w:r w:rsidRPr="004C0E19">
        <w:rPr>
          <w:i/>
          <w:sz w:val="20"/>
        </w:rPr>
        <w:t xml:space="preserve">See </w:t>
      </w:r>
      <w:r w:rsidR="004C0E19" w:rsidRPr="004C0E19">
        <w:rPr>
          <w:i/>
          <w:sz w:val="20"/>
        </w:rPr>
        <w:t>id</w:t>
      </w:r>
      <w:r w:rsidR="004C0E19">
        <w:rPr>
          <w:sz w:val="20"/>
        </w:rPr>
        <w:t>. at 1-2.</w:t>
      </w:r>
    </w:p>
  </w:footnote>
  <w:footnote w:id="4">
    <w:p w:rsidR="004C0E19" w:rsidRDefault="004C0E19" w:rsidP="004C0E19">
      <w:pPr>
        <w:pStyle w:val="FootnoteText"/>
      </w:pPr>
      <w:r>
        <w:rPr>
          <w:rStyle w:val="FootnoteReference"/>
        </w:rPr>
        <w:footnoteRef/>
      </w:r>
      <w:r>
        <w:t xml:space="preserve"> </w:t>
      </w:r>
      <w:r w:rsidRPr="004C0E19">
        <w:rPr>
          <w:i/>
          <w:sz w:val="20"/>
        </w:rPr>
        <w:t>See</w:t>
      </w:r>
      <w:r w:rsidRPr="004C0E19">
        <w:rPr>
          <w:sz w:val="20"/>
        </w:rPr>
        <w:t xml:space="preserve"> 47 C.F.R. § 1.46(a).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F" w:rsidRDefault="0033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F" w:rsidRDefault="00334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622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6226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1A9B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6C73A42"/>
    <w:multiLevelType w:val="hybridMultilevel"/>
    <w:tmpl w:val="F502F39A"/>
    <w:lvl w:ilvl="0" w:tplc="F03259A6">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AE03A6">
      <w:start w:val="1"/>
      <w:numFmt w:val="lowerLetter"/>
      <w:lvlText w:val="%2."/>
      <w:lvlJc w:val="left"/>
      <w:pPr>
        <w:tabs>
          <w:tab w:val="num" w:pos="1980"/>
        </w:tabs>
        <w:ind w:left="198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A8"/>
    <w:rsid w:val="000265AE"/>
    <w:rsid w:val="000751C6"/>
    <w:rsid w:val="001633BC"/>
    <w:rsid w:val="002C2EE0"/>
    <w:rsid w:val="0033462F"/>
    <w:rsid w:val="0047274C"/>
    <w:rsid w:val="004C0E19"/>
    <w:rsid w:val="005445EA"/>
    <w:rsid w:val="005556C6"/>
    <w:rsid w:val="00555F90"/>
    <w:rsid w:val="00602577"/>
    <w:rsid w:val="007051DC"/>
    <w:rsid w:val="00736610"/>
    <w:rsid w:val="0079459F"/>
    <w:rsid w:val="007E001A"/>
    <w:rsid w:val="00854CA8"/>
    <w:rsid w:val="00881941"/>
    <w:rsid w:val="009014AF"/>
    <w:rsid w:val="0091681D"/>
    <w:rsid w:val="00967EA9"/>
    <w:rsid w:val="009C57D6"/>
    <w:rsid w:val="00B4653F"/>
    <w:rsid w:val="00D04988"/>
    <w:rsid w:val="00D17DC0"/>
    <w:rsid w:val="00D5721B"/>
    <w:rsid w:val="00D60EFF"/>
    <w:rsid w:val="00E4051D"/>
    <w:rsid w:val="00F62265"/>
    <w:rsid w:val="00F8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CharChar1CharCharChar">
    <w:name w:val="ParaNum Char Char1 Char Char Char"/>
    <w:basedOn w:val="Normal"/>
    <w:rsid w:val="00E4051D"/>
    <w:pPr>
      <w:widowControl w:val="0"/>
      <w:numPr>
        <w:numId w:val="13"/>
      </w:numPr>
      <w:jc w:val="both"/>
    </w:pPr>
    <w:rPr>
      <w:snapToGrid w:val="0"/>
      <w:kern w:val="28"/>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B465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CharChar1CharCharChar">
    <w:name w:val="ParaNum Char Char1 Char Char Char"/>
    <w:basedOn w:val="Normal"/>
    <w:rsid w:val="00E4051D"/>
    <w:pPr>
      <w:widowControl w:val="0"/>
      <w:numPr>
        <w:numId w:val="13"/>
      </w:numPr>
      <w:jc w:val="both"/>
    </w:pPr>
    <w:rPr>
      <w:snapToGrid w:val="0"/>
      <w:kern w:val="28"/>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B46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447</Words>
  <Characters>2411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2857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2016-01-11T21:34:00Z</dcterms:created>
  <dcterms:modified xsi:type="dcterms:W3CDTF">2016-01-11T21:34:00Z</dcterms:modified>
  <cp:category> </cp:category>
  <cp:contentStatus> </cp:contentStatus>
</cp:coreProperties>
</file>