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11BAEE" w14:textId="5A5BB081" w:rsidR="00A352CB" w:rsidRDefault="0071004F">
      <w:pPr>
        <w:jc w:val="right"/>
        <w:rPr>
          <w:b/>
          <w:sz w:val="24"/>
          <w:szCs w:val="24"/>
        </w:rPr>
      </w:pPr>
      <w:bookmarkStart w:id="0" w:name="_GoBack"/>
      <w:bookmarkEnd w:id="0"/>
      <w:r>
        <w:rPr>
          <w:b/>
          <w:sz w:val="24"/>
          <w:szCs w:val="24"/>
        </w:rPr>
        <w:t>DA</w:t>
      </w:r>
      <w:r w:rsidR="008426C5">
        <w:rPr>
          <w:b/>
          <w:sz w:val="24"/>
          <w:szCs w:val="24"/>
        </w:rPr>
        <w:t xml:space="preserve"> </w:t>
      </w:r>
      <w:r w:rsidR="001B08D9" w:rsidRPr="001B08D9">
        <w:rPr>
          <w:b/>
          <w:sz w:val="24"/>
          <w:szCs w:val="24"/>
        </w:rPr>
        <w:t>16-271</w:t>
      </w:r>
    </w:p>
    <w:p w14:paraId="453D28A8" w14:textId="77777777" w:rsidR="00A352CB" w:rsidRDefault="00A352CB">
      <w:pPr>
        <w:jc w:val="right"/>
        <w:rPr>
          <w:b/>
          <w:sz w:val="24"/>
          <w:szCs w:val="24"/>
        </w:rPr>
      </w:pPr>
    </w:p>
    <w:p w14:paraId="564D99F5" w14:textId="77777777" w:rsidR="00A352CB" w:rsidRDefault="008426C5">
      <w:pPr>
        <w:jc w:val="center"/>
        <w:rPr>
          <w:b/>
          <w:sz w:val="36"/>
          <w:szCs w:val="36"/>
        </w:rPr>
      </w:pPr>
      <w:r>
        <w:rPr>
          <w:b/>
          <w:sz w:val="36"/>
          <w:szCs w:val="36"/>
        </w:rPr>
        <w:t>Small Entity Compliance Guide</w:t>
      </w:r>
    </w:p>
    <w:p w14:paraId="7A183F8A" w14:textId="77777777" w:rsidR="00A352CB" w:rsidRDefault="00A352CB">
      <w:pPr>
        <w:jc w:val="center"/>
        <w:rPr>
          <w:b/>
          <w:sz w:val="36"/>
          <w:szCs w:val="36"/>
        </w:rPr>
      </w:pPr>
    </w:p>
    <w:p w14:paraId="0F4A94C9" w14:textId="77777777" w:rsidR="00A352CB" w:rsidRDefault="0071004F">
      <w:pPr>
        <w:jc w:val="center"/>
        <w:rPr>
          <w:b/>
          <w:sz w:val="28"/>
          <w:szCs w:val="28"/>
        </w:rPr>
      </w:pPr>
      <w:r w:rsidRPr="0071004F">
        <w:rPr>
          <w:b/>
          <w:sz w:val="28"/>
          <w:szCs w:val="28"/>
        </w:rPr>
        <w:t>Protecting and Promoting the Open Internet</w:t>
      </w:r>
    </w:p>
    <w:p w14:paraId="3B3A9C0A" w14:textId="77777777" w:rsidR="00A352CB" w:rsidRDefault="00A352CB">
      <w:pPr>
        <w:jc w:val="center"/>
        <w:rPr>
          <w:sz w:val="24"/>
          <w:szCs w:val="24"/>
        </w:rPr>
      </w:pPr>
    </w:p>
    <w:p w14:paraId="52810E3D" w14:textId="77777777" w:rsidR="00A352CB" w:rsidRDefault="008426C5">
      <w:pPr>
        <w:jc w:val="center"/>
        <w:rPr>
          <w:bCs/>
          <w:sz w:val="24"/>
          <w:szCs w:val="24"/>
        </w:rPr>
      </w:pPr>
      <w:r>
        <w:rPr>
          <w:bCs/>
          <w:sz w:val="24"/>
          <w:szCs w:val="24"/>
        </w:rPr>
        <w:t>FCC 15-24</w:t>
      </w:r>
    </w:p>
    <w:p w14:paraId="3C0C1580" w14:textId="77777777" w:rsidR="00A352CB" w:rsidRDefault="008426C5">
      <w:pPr>
        <w:jc w:val="center"/>
        <w:rPr>
          <w:spacing w:val="-2"/>
          <w:sz w:val="24"/>
          <w:szCs w:val="24"/>
        </w:rPr>
      </w:pPr>
      <w:r>
        <w:rPr>
          <w:spacing w:val="-2"/>
          <w:sz w:val="24"/>
          <w:szCs w:val="24"/>
        </w:rPr>
        <w:t>GN Docket No. 14-28</w:t>
      </w:r>
    </w:p>
    <w:p w14:paraId="36A19316" w14:textId="77777777" w:rsidR="00A352CB" w:rsidRDefault="00A352CB">
      <w:pPr>
        <w:tabs>
          <w:tab w:val="left" w:pos="360"/>
        </w:tabs>
        <w:ind w:left="1080" w:right="720"/>
        <w:jc w:val="center"/>
        <w:rPr>
          <w:b/>
          <w:sz w:val="22"/>
          <w:szCs w:val="22"/>
        </w:rPr>
      </w:pPr>
    </w:p>
    <w:p w14:paraId="6F9486AF" w14:textId="77777777" w:rsidR="00A352CB" w:rsidRDefault="008426C5">
      <w:pPr>
        <w:tabs>
          <w:tab w:val="left" w:pos="360"/>
        </w:tabs>
        <w:ind w:left="1080" w:right="720"/>
        <w:jc w:val="both"/>
        <w:rPr>
          <w:b/>
          <w:sz w:val="22"/>
          <w:szCs w:val="22"/>
        </w:rPr>
      </w:pPr>
      <w:r>
        <w:rPr>
          <w:b/>
          <w:sz w:val="22"/>
          <w:szCs w:val="22"/>
        </w:rPr>
        <w:t xml:space="preserve">This Guide is prepared in accordance with the requirements of Section 212 of the Small Business Regulatory Enforcement Fairness Act of 1996.  It is intended to help small entities—small businesses, small organizations (non-profits), and small governmental jurisdictions—comply with the new rules adopted in the above-referenced FCC rulemaking docket(s).  This Guide is not intended to replace the rules and, therefore, final authority rests solely with the rules.  Although we have attempted to cover all parts of the rules that might be especially important to small entities, the coverage may not be exhaustive.  This Guide may, perhaps, not apply in a particular situation based upon the circumstances, and the FCC retains the discretion to adopt approaches on a case-by-case basis that may differ from this Guide, where appropriate.  Any decisions regarding a particular small entity will be based on the statute and regulations.  </w:t>
      </w:r>
    </w:p>
    <w:p w14:paraId="2FFFE3A8" w14:textId="77777777" w:rsidR="00A352CB" w:rsidRDefault="00A352CB">
      <w:pPr>
        <w:tabs>
          <w:tab w:val="left" w:pos="360"/>
        </w:tabs>
        <w:ind w:left="1080" w:right="720"/>
        <w:jc w:val="both"/>
        <w:rPr>
          <w:b/>
          <w:sz w:val="22"/>
          <w:szCs w:val="22"/>
        </w:rPr>
      </w:pPr>
    </w:p>
    <w:p w14:paraId="06CD7615" w14:textId="77777777" w:rsidR="00A352CB" w:rsidRDefault="008426C5">
      <w:pPr>
        <w:tabs>
          <w:tab w:val="left" w:pos="360"/>
        </w:tabs>
        <w:ind w:left="1080" w:right="720"/>
        <w:jc w:val="both"/>
        <w:rPr>
          <w:b/>
          <w:sz w:val="22"/>
          <w:szCs w:val="22"/>
        </w:rPr>
      </w:pPr>
      <w:r>
        <w:rPr>
          <w:b/>
          <w:sz w:val="22"/>
          <w:szCs w:val="22"/>
        </w:rPr>
        <w:t>In any civil or administrative action against a small entity for a violation of rules, the content of the Small Entity Compliance Guide may be considered as evidence of the reasonableness or appropriateness of proposed fines, penalties or damages.  Interested parties are free to file comments regarding this Guide and the appropriateness of its application to a particular situation; the FCC will consider whether the recommendations or interpretations in the Guide are appropriate in that situation.  The FCC may decide to revise this Guide without public notice to reflect changes in the FCC’s approach to implementing a rule, or to clarify or update the text of the Guide.  Direct your comments and recommendations, or calls for further assistance, to the FCC’s Consumer Center:</w:t>
      </w:r>
    </w:p>
    <w:p w14:paraId="1337B323" w14:textId="77777777" w:rsidR="00A352CB" w:rsidRDefault="00A352CB">
      <w:pPr>
        <w:rPr>
          <w:rFonts w:ascii="TimesNewRoman,Bold" w:hAnsi="TimesNewRoman,Bold" w:cs="TimesNewRoman,Bold"/>
          <w:b/>
          <w:bCs/>
          <w:color w:val="010101"/>
          <w:szCs w:val="24"/>
        </w:rPr>
      </w:pPr>
    </w:p>
    <w:p w14:paraId="5ADFFF55" w14:textId="77777777" w:rsidR="00A352CB" w:rsidRDefault="00A352CB">
      <w:pPr>
        <w:rPr>
          <w:b/>
          <w:sz w:val="22"/>
          <w:szCs w:val="22"/>
        </w:rPr>
      </w:pPr>
    </w:p>
    <w:p w14:paraId="5E5353DE" w14:textId="77777777" w:rsidR="00A352CB" w:rsidRDefault="008426C5">
      <w:pPr>
        <w:jc w:val="center"/>
        <w:rPr>
          <w:b/>
          <w:color w:val="000000"/>
          <w:sz w:val="22"/>
          <w:szCs w:val="22"/>
        </w:rPr>
      </w:pPr>
      <w:r>
        <w:rPr>
          <w:b/>
          <w:color w:val="000000"/>
          <w:sz w:val="22"/>
          <w:szCs w:val="22"/>
        </w:rPr>
        <w:t>1-888-CALL-FCC  (1-888-225-5322)  </w:t>
      </w:r>
      <w:r>
        <w:rPr>
          <w:b/>
          <w:color w:val="000000"/>
          <w:sz w:val="22"/>
          <w:szCs w:val="22"/>
        </w:rPr>
        <w:br/>
        <w:t>TTY: 1-888-TELL-FCC  (1-888-835-5322)  </w:t>
      </w:r>
      <w:r>
        <w:rPr>
          <w:b/>
          <w:color w:val="000000"/>
          <w:sz w:val="22"/>
          <w:szCs w:val="22"/>
        </w:rPr>
        <w:br/>
        <w:t>Fax: 202-418-0232</w:t>
      </w:r>
    </w:p>
    <w:p w14:paraId="3DC54C62" w14:textId="77777777" w:rsidR="00A352CB" w:rsidRDefault="00A352CB">
      <w:pPr>
        <w:jc w:val="right"/>
        <w:rPr>
          <w:sz w:val="24"/>
          <w:szCs w:val="24"/>
        </w:rPr>
      </w:pPr>
    </w:p>
    <w:p w14:paraId="5510122F" w14:textId="77777777" w:rsidR="00A352CB" w:rsidRDefault="00A352CB">
      <w:pPr>
        <w:jc w:val="center"/>
        <w:rPr>
          <w:b/>
          <w:color w:val="000000"/>
          <w:sz w:val="24"/>
          <w:szCs w:val="24"/>
        </w:rPr>
        <w:sectPr w:rsidR="00A352CB">
          <w:headerReference w:type="even" r:id="rId8"/>
          <w:headerReference w:type="default" r:id="rId9"/>
          <w:footerReference w:type="even" r:id="rId10"/>
          <w:footerReference w:type="default" r:id="rId11"/>
          <w:headerReference w:type="first" r:id="rId12"/>
          <w:footerReference w:type="first" r:id="rId13"/>
          <w:pgSz w:w="12240" w:h="15840" w:code="1"/>
          <w:pgMar w:top="1987" w:right="1440" w:bottom="1440" w:left="1440" w:header="720" w:footer="720" w:gutter="0"/>
          <w:cols w:space="720"/>
          <w:titlePg/>
        </w:sectPr>
      </w:pPr>
    </w:p>
    <w:p w14:paraId="649672F5" w14:textId="77777777" w:rsidR="00A352CB" w:rsidRDefault="008426C5">
      <w:pPr>
        <w:pStyle w:val="TOC1"/>
        <w:rPr>
          <w:sz w:val="22"/>
          <w:szCs w:val="22"/>
        </w:rPr>
      </w:pPr>
      <w:r>
        <w:rPr>
          <w:sz w:val="22"/>
          <w:szCs w:val="22"/>
        </w:rPr>
        <w:lastRenderedPageBreak/>
        <w:t xml:space="preserve">I. </w:t>
      </w:r>
      <w:r>
        <w:rPr>
          <w:sz w:val="22"/>
          <w:szCs w:val="22"/>
        </w:rPr>
        <w:tab/>
        <w:t>BACKGROUND</w:t>
      </w:r>
      <w:r>
        <w:rPr>
          <w:sz w:val="22"/>
          <w:szCs w:val="22"/>
        </w:rPr>
        <w:tab/>
        <w:t>1</w:t>
      </w:r>
    </w:p>
    <w:p w14:paraId="7AC511B1" w14:textId="77777777" w:rsidR="00A352CB" w:rsidRDefault="008426C5">
      <w:pPr>
        <w:tabs>
          <w:tab w:val="left" w:pos="720"/>
          <w:tab w:val="right" w:leader="dot" w:pos="9360"/>
        </w:tabs>
        <w:rPr>
          <w:sz w:val="22"/>
          <w:szCs w:val="22"/>
        </w:rPr>
      </w:pPr>
      <w:r>
        <w:rPr>
          <w:sz w:val="22"/>
          <w:szCs w:val="22"/>
        </w:rPr>
        <w:t>II.</w:t>
      </w:r>
      <w:r>
        <w:rPr>
          <w:sz w:val="22"/>
          <w:szCs w:val="22"/>
        </w:rPr>
        <w:tab/>
        <w:t xml:space="preserve">DEFINITIONS </w:t>
      </w:r>
      <w:r>
        <w:rPr>
          <w:sz w:val="22"/>
          <w:szCs w:val="22"/>
        </w:rPr>
        <w:tab/>
      </w:r>
      <w:r w:rsidR="00FD4065">
        <w:rPr>
          <w:sz w:val="22"/>
          <w:szCs w:val="22"/>
        </w:rPr>
        <w:t>1</w:t>
      </w:r>
    </w:p>
    <w:p w14:paraId="7544BAB1" w14:textId="77777777" w:rsidR="00A352CB" w:rsidRDefault="008426C5">
      <w:pPr>
        <w:tabs>
          <w:tab w:val="left" w:pos="720"/>
          <w:tab w:val="right" w:leader="dot" w:pos="9360"/>
        </w:tabs>
        <w:rPr>
          <w:sz w:val="22"/>
          <w:szCs w:val="22"/>
        </w:rPr>
      </w:pPr>
      <w:r>
        <w:rPr>
          <w:sz w:val="22"/>
          <w:szCs w:val="22"/>
        </w:rPr>
        <w:t>III.</w:t>
      </w:r>
      <w:r>
        <w:rPr>
          <w:sz w:val="22"/>
          <w:szCs w:val="22"/>
        </w:rPr>
        <w:tab/>
        <w:t>OBJECTIVES OF THE PROCEEDING</w:t>
      </w:r>
      <w:r>
        <w:rPr>
          <w:sz w:val="22"/>
          <w:szCs w:val="22"/>
        </w:rPr>
        <w:tab/>
        <w:t>2</w:t>
      </w:r>
    </w:p>
    <w:p w14:paraId="68BB2131" w14:textId="77777777" w:rsidR="00A352CB" w:rsidRDefault="008426C5">
      <w:pPr>
        <w:tabs>
          <w:tab w:val="left" w:pos="720"/>
          <w:tab w:val="right" w:leader="dot" w:pos="9360"/>
        </w:tabs>
        <w:rPr>
          <w:sz w:val="22"/>
          <w:szCs w:val="22"/>
        </w:rPr>
      </w:pPr>
      <w:r>
        <w:rPr>
          <w:sz w:val="22"/>
          <w:szCs w:val="22"/>
        </w:rPr>
        <w:t>IV.</w:t>
      </w:r>
      <w:r>
        <w:rPr>
          <w:sz w:val="22"/>
          <w:szCs w:val="22"/>
        </w:rPr>
        <w:tab/>
        <w:t>RULES</w:t>
      </w:r>
      <w:r>
        <w:rPr>
          <w:sz w:val="22"/>
          <w:szCs w:val="22"/>
        </w:rPr>
        <w:tab/>
        <w:t>2</w:t>
      </w:r>
    </w:p>
    <w:p w14:paraId="6DF54F9B" w14:textId="77777777" w:rsidR="00A352CB" w:rsidRDefault="008426C5">
      <w:pPr>
        <w:tabs>
          <w:tab w:val="left" w:pos="720"/>
          <w:tab w:val="right" w:leader="dot" w:pos="9360"/>
        </w:tabs>
        <w:rPr>
          <w:sz w:val="22"/>
          <w:szCs w:val="22"/>
        </w:rPr>
      </w:pPr>
      <w:r>
        <w:rPr>
          <w:sz w:val="22"/>
          <w:szCs w:val="22"/>
        </w:rPr>
        <w:t>V.</w:t>
      </w:r>
      <w:r>
        <w:rPr>
          <w:sz w:val="22"/>
          <w:szCs w:val="22"/>
        </w:rPr>
        <w:tab/>
        <w:t>COMPLIANCE REQUIREMENTS</w:t>
      </w:r>
      <w:r>
        <w:rPr>
          <w:sz w:val="22"/>
          <w:szCs w:val="22"/>
        </w:rPr>
        <w:tab/>
      </w:r>
      <w:r w:rsidR="0041488D">
        <w:rPr>
          <w:sz w:val="22"/>
          <w:szCs w:val="22"/>
        </w:rPr>
        <w:t>6</w:t>
      </w:r>
    </w:p>
    <w:p w14:paraId="76FBE258" w14:textId="71E9E133" w:rsidR="00A352CB" w:rsidRDefault="008426C5">
      <w:pPr>
        <w:tabs>
          <w:tab w:val="left" w:pos="720"/>
          <w:tab w:val="right" w:leader="dot" w:pos="9360"/>
        </w:tabs>
        <w:rPr>
          <w:sz w:val="22"/>
          <w:szCs w:val="22"/>
        </w:rPr>
      </w:pPr>
      <w:r>
        <w:rPr>
          <w:sz w:val="22"/>
          <w:szCs w:val="22"/>
        </w:rPr>
        <w:t>VI.</w:t>
      </w:r>
      <w:r>
        <w:rPr>
          <w:sz w:val="22"/>
          <w:szCs w:val="22"/>
        </w:rPr>
        <w:tab/>
        <w:t>EFFECTIVE DATE</w:t>
      </w:r>
      <w:r>
        <w:rPr>
          <w:sz w:val="22"/>
          <w:szCs w:val="22"/>
        </w:rPr>
        <w:tab/>
      </w:r>
      <w:r w:rsidR="00E87925">
        <w:rPr>
          <w:sz w:val="22"/>
          <w:szCs w:val="22"/>
        </w:rPr>
        <w:t>7</w:t>
      </w:r>
    </w:p>
    <w:p w14:paraId="38273FAF" w14:textId="34714D46" w:rsidR="00A352CB" w:rsidRDefault="008426C5">
      <w:pPr>
        <w:tabs>
          <w:tab w:val="left" w:pos="720"/>
          <w:tab w:val="right" w:leader="dot" w:pos="9360"/>
        </w:tabs>
        <w:rPr>
          <w:sz w:val="22"/>
          <w:szCs w:val="22"/>
        </w:rPr>
      </w:pPr>
      <w:r>
        <w:rPr>
          <w:sz w:val="22"/>
          <w:szCs w:val="22"/>
        </w:rPr>
        <w:t xml:space="preserve">VII. </w:t>
      </w:r>
      <w:r>
        <w:rPr>
          <w:sz w:val="22"/>
          <w:szCs w:val="22"/>
        </w:rPr>
        <w:tab/>
        <w:t>WEBLINKS</w:t>
      </w:r>
      <w:r>
        <w:rPr>
          <w:sz w:val="22"/>
          <w:szCs w:val="22"/>
        </w:rPr>
        <w:tab/>
      </w:r>
      <w:r w:rsidR="00E87925">
        <w:rPr>
          <w:sz w:val="22"/>
          <w:szCs w:val="22"/>
        </w:rPr>
        <w:t>7</w:t>
      </w:r>
    </w:p>
    <w:p w14:paraId="54C2DDD6" w14:textId="77777777" w:rsidR="00A352CB" w:rsidRDefault="00A352CB">
      <w:pPr>
        <w:pStyle w:val="TOC1"/>
      </w:pPr>
    </w:p>
    <w:p w14:paraId="52C53C99" w14:textId="77777777" w:rsidR="00A352CB" w:rsidRDefault="00A352CB">
      <w:pPr>
        <w:rPr>
          <w:caps/>
          <w:sz w:val="22"/>
          <w:szCs w:val="22"/>
          <w:u w:val="single"/>
        </w:rPr>
      </w:pPr>
    </w:p>
    <w:p w14:paraId="73B29BF6" w14:textId="77777777" w:rsidR="00A352CB" w:rsidRPr="00130DB7" w:rsidRDefault="008426C5">
      <w:pPr>
        <w:numPr>
          <w:ilvl w:val="0"/>
          <w:numId w:val="20"/>
        </w:numPr>
        <w:tabs>
          <w:tab w:val="clear" w:pos="1080"/>
          <w:tab w:val="num" w:pos="360"/>
        </w:tabs>
        <w:ind w:left="360" w:hanging="360"/>
        <w:outlineLvl w:val="0"/>
        <w:rPr>
          <w:caps/>
          <w:sz w:val="22"/>
          <w:szCs w:val="22"/>
          <w:u w:val="single"/>
        </w:rPr>
      </w:pPr>
      <w:bookmarkStart w:id="1" w:name="_Toc324333830"/>
      <w:bookmarkStart w:id="2" w:name="_Toc324334028"/>
      <w:r w:rsidRPr="00130DB7">
        <w:rPr>
          <w:caps/>
          <w:sz w:val="22"/>
          <w:szCs w:val="22"/>
          <w:u w:val="single"/>
        </w:rPr>
        <w:t>Background</w:t>
      </w:r>
      <w:bookmarkEnd w:id="1"/>
      <w:bookmarkEnd w:id="2"/>
    </w:p>
    <w:p w14:paraId="2616192A" w14:textId="77777777" w:rsidR="00A352CB" w:rsidRPr="00130DB7" w:rsidRDefault="00A352CB">
      <w:pPr>
        <w:tabs>
          <w:tab w:val="num" w:pos="0"/>
        </w:tabs>
        <w:rPr>
          <w:smallCaps/>
          <w:sz w:val="22"/>
          <w:szCs w:val="22"/>
        </w:rPr>
      </w:pPr>
    </w:p>
    <w:p w14:paraId="38D03035" w14:textId="77777777" w:rsidR="003B45F4" w:rsidRPr="00130DB7" w:rsidRDefault="00220A4A" w:rsidP="00130DB7">
      <w:pPr>
        <w:suppressAutoHyphens/>
        <w:rPr>
          <w:sz w:val="22"/>
          <w:szCs w:val="22"/>
        </w:rPr>
      </w:pPr>
      <w:r w:rsidRPr="00130DB7">
        <w:rPr>
          <w:sz w:val="22"/>
          <w:szCs w:val="22"/>
        </w:rPr>
        <w:t xml:space="preserve">On May 15, 2014, the </w:t>
      </w:r>
      <w:r w:rsidR="00A475FD">
        <w:rPr>
          <w:sz w:val="22"/>
          <w:szCs w:val="22"/>
        </w:rPr>
        <w:t xml:space="preserve">Federal Communications </w:t>
      </w:r>
      <w:r w:rsidRPr="00130DB7">
        <w:rPr>
          <w:sz w:val="22"/>
          <w:szCs w:val="22"/>
        </w:rPr>
        <w:t>Commission</w:t>
      </w:r>
      <w:r w:rsidR="00A475FD">
        <w:rPr>
          <w:sz w:val="22"/>
          <w:szCs w:val="22"/>
        </w:rPr>
        <w:t xml:space="preserve"> (Commission)</w:t>
      </w:r>
      <w:r w:rsidRPr="00130DB7">
        <w:rPr>
          <w:sz w:val="22"/>
          <w:szCs w:val="22"/>
        </w:rPr>
        <w:t xml:space="preserve"> issued the </w:t>
      </w:r>
      <w:r w:rsidRPr="00130DB7">
        <w:rPr>
          <w:i/>
          <w:sz w:val="22"/>
          <w:szCs w:val="22"/>
        </w:rPr>
        <w:t>Protecting and Promoting the Open Internet Notice of Proposed Rulemaking</w:t>
      </w:r>
      <w:r w:rsidRPr="00130DB7">
        <w:rPr>
          <w:sz w:val="22"/>
          <w:szCs w:val="22"/>
        </w:rPr>
        <w:t xml:space="preserve"> to address the </w:t>
      </w:r>
      <w:r w:rsidRPr="00130DB7">
        <w:rPr>
          <w:i/>
          <w:sz w:val="22"/>
          <w:szCs w:val="22"/>
        </w:rPr>
        <w:t>Verizon</w:t>
      </w:r>
      <w:r w:rsidRPr="00130DB7">
        <w:rPr>
          <w:sz w:val="22"/>
          <w:szCs w:val="22"/>
        </w:rPr>
        <w:t xml:space="preserve"> remand</w:t>
      </w:r>
      <w:r w:rsidR="00A475FD">
        <w:rPr>
          <w:sz w:val="22"/>
          <w:szCs w:val="22"/>
        </w:rPr>
        <w:t xml:space="preserve"> where t</w:t>
      </w:r>
      <w:r w:rsidR="00A475FD" w:rsidRPr="00130DB7">
        <w:rPr>
          <w:sz w:val="22"/>
          <w:szCs w:val="22"/>
        </w:rPr>
        <w:t>he D.C. Circuit</w:t>
      </w:r>
      <w:r w:rsidR="00A475FD" w:rsidRPr="00130DB7">
        <w:rPr>
          <w:i/>
          <w:sz w:val="22"/>
          <w:szCs w:val="22"/>
        </w:rPr>
        <w:t xml:space="preserve"> </w:t>
      </w:r>
      <w:r w:rsidR="00A475FD" w:rsidRPr="00130DB7">
        <w:rPr>
          <w:sz w:val="22"/>
          <w:szCs w:val="22"/>
        </w:rPr>
        <w:t xml:space="preserve">struck down the Commission’s 2010 </w:t>
      </w:r>
      <w:r w:rsidR="002E466A">
        <w:rPr>
          <w:sz w:val="22"/>
          <w:szCs w:val="22"/>
        </w:rPr>
        <w:t xml:space="preserve">Open Internet </w:t>
      </w:r>
      <w:r w:rsidR="00A475FD" w:rsidRPr="00130DB7">
        <w:rPr>
          <w:sz w:val="22"/>
          <w:szCs w:val="22"/>
        </w:rPr>
        <w:t xml:space="preserve">conduct rules </w:t>
      </w:r>
      <w:r w:rsidR="004E5507">
        <w:rPr>
          <w:sz w:val="22"/>
          <w:szCs w:val="22"/>
        </w:rPr>
        <w:t>prohibiting</w:t>
      </w:r>
      <w:r w:rsidR="00A475FD" w:rsidRPr="00130DB7">
        <w:rPr>
          <w:sz w:val="22"/>
          <w:szCs w:val="22"/>
        </w:rPr>
        <w:t xml:space="preserve"> blocking and unreasonable discrimination.</w:t>
      </w:r>
      <w:r w:rsidR="00A475FD">
        <w:rPr>
          <w:sz w:val="22"/>
          <w:szCs w:val="22"/>
        </w:rPr>
        <w:t xml:space="preserve">  T</w:t>
      </w:r>
      <w:r w:rsidRPr="00130DB7">
        <w:rPr>
          <w:sz w:val="22"/>
          <w:szCs w:val="22"/>
        </w:rPr>
        <w:t xml:space="preserve">he </w:t>
      </w:r>
      <w:r w:rsidR="00812807">
        <w:rPr>
          <w:sz w:val="22"/>
          <w:szCs w:val="22"/>
        </w:rPr>
        <w:t>Commission</w:t>
      </w:r>
      <w:r w:rsidRPr="00130DB7">
        <w:rPr>
          <w:sz w:val="22"/>
          <w:szCs w:val="22"/>
        </w:rPr>
        <w:t xml:space="preserve"> sought </w:t>
      </w:r>
      <w:r w:rsidR="00812807">
        <w:rPr>
          <w:sz w:val="22"/>
          <w:szCs w:val="22"/>
        </w:rPr>
        <w:t xml:space="preserve">and received </w:t>
      </w:r>
      <w:r w:rsidRPr="00130DB7">
        <w:rPr>
          <w:sz w:val="22"/>
          <w:szCs w:val="22"/>
        </w:rPr>
        <w:t>comment on the proper scope of the rules; the best ways to define, prevent, and treat violations of practices that may threaten an open Internet (including paid prioritization); enhancements to the transparency rule; and the appropriate source of legal authority to support new open Internet rules.</w:t>
      </w:r>
    </w:p>
    <w:p w14:paraId="25D633D4" w14:textId="77777777" w:rsidR="003B45F4" w:rsidRPr="00130DB7" w:rsidRDefault="003B45F4" w:rsidP="00130DB7">
      <w:pPr>
        <w:pStyle w:val="ParaNum"/>
        <w:numPr>
          <w:ilvl w:val="0"/>
          <w:numId w:val="0"/>
        </w:numPr>
        <w:spacing w:after="0"/>
        <w:rPr>
          <w:szCs w:val="22"/>
        </w:rPr>
      </w:pPr>
      <w:r w:rsidRPr="00130DB7">
        <w:rPr>
          <w:szCs w:val="22"/>
        </w:rPr>
        <w:t xml:space="preserve">  </w:t>
      </w:r>
    </w:p>
    <w:p w14:paraId="258F05F0" w14:textId="77777777" w:rsidR="003B45F4" w:rsidRPr="00130DB7" w:rsidRDefault="004E1884" w:rsidP="00130DB7">
      <w:pPr>
        <w:pStyle w:val="ParaNum"/>
        <w:widowControl/>
        <w:numPr>
          <w:ilvl w:val="0"/>
          <w:numId w:val="0"/>
        </w:numPr>
        <w:spacing w:after="0"/>
        <w:rPr>
          <w:szCs w:val="22"/>
        </w:rPr>
      </w:pPr>
      <w:r>
        <w:rPr>
          <w:szCs w:val="22"/>
        </w:rPr>
        <w:t>In February 2015, i</w:t>
      </w:r>
      <w:r w:rsidR="00907CCD" w:rsidRPr="00130DB7">
        <w:rPr>
          <w:szCs w:val="22"/>
        </w:rPr>
        <w:t xml:space="preserve">nformed by the views of nearly 4 million commenters, staff-led roundtables, numerous </w:t>
      </w:r>
      <w:r w:rsidR="00907CCD" w:rsidRPr="00130DB7">
        <w:rPr>
          <w:i/>
          <w:szCs w:val="22"/>
        </w:rPr>
        <w:t>ex parte</w:t>
      </w:r>
      <w:r w:rsidR="00907CCD" w:rsidRPr="00130DB7">
        <w:rPr>
          <w:szCs w:val="22"/>
        </w:rPr>
        <w:t xml:space="preserve"> presentations, meetings with individual Commissioners and staff, and more, </w:t>
      </w:r>
      <w:r w:rsidR="00CF0515">
        <w:rPr>
          <w:szCs w:val="22"/>
        </w:rPr>
        <w:t>the</w:t>
      </w:r>
      <w:r w:rsidR="00907CCD" w:rsidRPr="00130DB7">
        <w:rPr>
          <w:szCs w:val="22"/>
        </w:rPr>
        <w:t xml:space="preserve"> </w:t>
      </w:r>
      <w:r w:rsidRPr="004E1884">
        <w:rPr>
          <w:i/>
          <w:szCs w:val="22"/>
        </w:rPr>
        <w:t>2015 Open Internet Order</w:t>
      </w:r>
      <w:r w:rsidR="00A475FD">
        <w:rPr>
          <w:szCs w:val="22"/>
        </w:rPr>
        <w:t xml:space="preserve"> (</w:t>
      </w:r>
      <w:r w:rsidR="00A475FD" w:rsidRPr="00A475FD">
        <w:rPr>
          <w:i/>
          <w:szCs w:val="22"/>
        </w:rPr>
        <w:t>2015 Order</w:t>
      </w:r>
      <w:r w:rsidR="00A475FD">
        <w:rPr>
          <w:szCs w:val="22"/>
        </w:rPr>
        <w:t xml:space="preserve">) </w:t>
      </w:r>
      <w:r w:rsidRPr="00A475FD">
        <w:rPr>
          <w:szCs w:val="22"/>
        </w:rPr>
        <w:t>put</w:t>
      </w:r>
      <w:r w:rsidR="00907CCD" w:rsidRPr="00130DB7">
        <w:rPr>
          <w:szCs w:val="22"/>
        </w:rPr>
        <w:t xml:space="preserve"> into p</w:t>
      </w:r>
      <w:r w:rsidR="00A475FD">
        <w:rPr>
          <w:szCs w:val="22"/>
        </w:rPr>
        <w:t xml:space="preserve">lace strong, sustainable rules </w:t>
      </w:r>
      <w:r w:rsidR="00907CCD" w:rsidRPr="00130DB7">
        <w:rPr>
          <w:szCs w:val="22"/>
        </w:rPr>
        <w:t xml:space="preserve">to ensure that Americans reap the economic, social, and civic benefits of an open Internet.  </w:t>
      </w:r>
      <w:r w:rsidR="00A07F75" w:rsidRPr="00130DB7">
        <w:rPr>
          <w:szCs w:val="22"/>
        </w:rPr>
        <w:t>The overwh</w:t>
      </w:r>
      <w:r w:rsidR="00CF0515">
        <w:rPr>
          <w:szCs w:val="22"/>
        </w:rPr>
        <w:t>elming consensus in the record wa</w:t>
      </w:r>
      <w:r w:rsidR="00A07F75" w:rsidRPr="00130DB7">
        <w:rPr>
          <w:szCs w:val="22"/>
        </w:rPr>
        <w:t>s that carefully-tailored rules to protect Internet openness will allow investment and innovation to continue</w:t>
      </w:r>
      <w:r w:rsidR="00F96E56">
        <w:rPr>
          <w:szCs w:val="22"/>
        </w:rPr>
        <w:t xml:space="preserve"> to flourish.  The Commission </w:t>
      </w:r>
      <w:r w:rsidR="00F96E56">
        <w:t xml:space="preserve">adopted rules to prevent specific practices it knows are harmful to Internet openness— blocking, throttling, and paid prioritization—as well as a strong standard of conduct designed to prevent the deployment of new practices that would harm Internet openness.  </w:t>
      </w:r>
      <w:r w:rsidR="00CF0515">
        <w:rPr>
          <w:szCs w:val="22"/>
        </w:rPr>
        <w:t>The Commission</w:t>
      </w:r>
      <w:r w:rsidR="00A07F75" w:rsidRPr="00130DB7">
        <w:rPr>
          <w:szCs w:val="22"/>
        </w:rPr>
        <w:t xml:space="preserve"> also enhance</w:t>
      </w:r>
      <w:r w:rsidR="008E681D" w:rsidRPr="00130DB7">
        <w:rPr>
          <w:szCs w:val="22"/>
        </w:rPr>
        <w:t>d</w:t>
      </w:r>
      <w:r w:rsidR="00A07F75" w:rsidRPr="00130DB7">
        <w:rPr>
          <w:szCs w:val="22"/>
        </w:rPr>
        <w:t xml:space="preserve"> </w:t>
      </w:r>
      <w:r w:rsidR="00CF0515">
        <w:rPr>
          <w:szCs w:val="22"/>
        </w:rPr>
        <w:t>the</w:t>
      </w:r>
      <w:r w:rsidR="00A07F75" w:rsidRPr="00130DB7">
        <w:rPr>
          <w:szCs w:val="22"/>
        </w:rPr>
        <w:t xml:space="preserve"> transparency rule to ensure that consumers are fully informed as to whether the services they purchase are delivering what they expect.</w:t>
      </w:r>
      <w:r w:rsidR="008E681D" w:rsidRPr="00130DB7">
        <w:rPr>
          <w:szCs w:val="22"/>
        </w:rPr>
        <w:t xml:space="preserve"> </w:t>
      </w:r>
    </w:p>
    <w:p w14:paraId="7AE38B52" w14:textId="77777777" w:rsidR="00A352CB" w:rsidRPr="00130DB7" w:rsidRDefault="00A352CB" w:rsidP="00A475FD">
      <w:pPr>
        <w:tabs>
          <w:tab w:val="num" w:pos="0"/>
        </w:tabs>
        <w:rPr>
          <w:caps/>
          <w:sz w:val="22"/>
          <w:szCs w:val="22"/>
          <w:u w:val="single"/>
        </w:rPr>
      </w:pPr>
    </w:p>
    <w:p w14:paraId="0664BF68" w14:textId="77777777" w:rsidR="00A352CB" w:rsidRPr="00130DB7" w:rsidRDefault="008426C5" w:rsidP="00611EB4">
      <w:pPr>
        <w:numPr>
          <w:ilvl w:val="0"/>
          <w:numId w:val="20"/>
        </w:numPr>
        <w:tabs>
          <w:tab w:val="clear" w:pos="1080"/>
          <w:tab w:val="num" w:pos="360"/>
        </w:tabs>
        <w:ind w:left="360" w:hanging="360"/>
        <w:outlineLvl w:val="0"/>
        <w:rPr>
          <w:caps/>
          <w:sz w:val="22"/>
          <w:szCs w:val="22"/>
          <w:u w:val="single"/>
        </w:rPr>
      </w:pPr>
      <w:bookmarkStart w:id="3" w:name="_Toc324333831"/>
      <w:bookmarkStart w:id="4" w:name="_Toc324334029"/>
      <w:r w:rsidRPr="00130DB7">
        <w:rPr>
          <w:caps/>
          <w:sz w:val="22"/>
          <w:szCs w:val="22"/>
          <w:u w:val="single"/>
        </w:rPr>
        <w:t>Definitions</w:t>
      </w:r>
      <w:bookmarkEnd w:id="3"/>
      <w:bookmarkEnd w:id="4"/>
    </w:p>
    <w:p w14:paraId="620F9A92" w14:textId="77777777" w:rsidR="00A352CB" w:rsidRPr="00130DB7" w:rsidRDefault="00A352CB" w:rsidP="00611EB4">
      <w:pPr>
        <w:tabs>
          <w:tab w:val="left" w:pos="720"/>
        </w:tabs>
        <w:rPr>
          <w:caps/>
          <w:sz w:val="22"/>
          <w:szCs w:val="22"/>
          <w:u w:val="single"/>
        </w:rPr>
      </w:pPr>
    </w:p>
    <w:p w14:paraId="0BA9D02C" w14:textId="77777777" w:rsidR="008E681D" w:rsidRPr="00130DB7" w:rsidRDefault="008E681D" w:rsidP="00611EB4">
      <w:pPr>
        <w:numPr>
          <w:ilvl w:val="0"/>
          <w:numId w:val="13"/>
        </w:numPr>
        <w:rPr>
          <w:bCs/>
          <w:sz w:val="22"/>
          <w:szCs w:val="22"/>
        </w:rPr>
      </w:pPr>
      <w:r w:rsidRPr="00130DB7">
        <w:rPr>
          <w:b/>
          <w:bCs/>
          <w:sz w:val="22"/>
          <w:szCs w:val="22"/>
        </w:rPr>
        <w:t>Broadband Internet access service.</w:t>
      </w:r>
      <w:r w:rsidRPr="00130DB7">
        <w:rPr>
          <w:sz w:val="22"/>
          <w:szCs w:val="22"/>
        </w:rPr>
        <w:t xml:space="preserve">  </w:t>
      </w:r>
      <w:r w:rsidRPr="00130DB7">
        <w:rPr>
          <w:sz w:val="22"/>
          <w:szCs w:val="22"/>
          <w:lang w:bidi="en-US"/>
        </w:rPr>
        <w:t xml:space="preserve">A </w:t>
      </w:r>
      <w:bookmarkStart w:id="5" w:name="RetailMassMarket1"/>
      <w:r w:rsidRPr="00130DB7">
        <w:rPr>
          <w:sz w:val="22"/>
          <w:szCs w:val="22"/>
          <w:lang w:bidi="en-US"/>
        </w:rPr>
        <w:t xml:space="preserve">mass-market retail </w:t>
      </w:r>
      <w:bookmarkEnd w:id="5"/>
      <w:r w:rsidRPr="00130DB7">
        <w:rPr>
          <w:sz w:val="22"/>
          <w:szCs w:val="22"/>
          <w:lang w:bidi="en-US"/>
        </w:rPr>
        <w:t>service by wire or radio that provides the capability to transmit data to and receive data from all or substantially all Internet endpoints, including any capabilities that are incidental to and enable the operation of the communications service, but excluding dial-up Internet access service.  This term also encompasses any service that the Commission finds to be providing a functional equivalent of the service described in the previous sentence, or that is used to evade the protections set forth in this Part</w:t>
      </w:r>
      <w:r w:rsidRPr="00130DB7">
        <w:rPr>
          <w:sz w:val="22"/>
          <w:szCs w:val="22"/>
        </w:rPr>
        <w:t xml:space="preserve">.  </w:t>
      </w:r>
      <w:r w:rsidRPr="00130DB7">
        <w:rPr>
          <w:b/>
          <w:bCs/>
          <w:sz w:val="22"/>
          <w:szCs w:val="22"/>
        </w:rPr>
        <w:t>[</w:t>
      </w:r>
      <w:r w:rsidRPr="00130DB7">
        <w:rPr>
          <w:b/>
          <w:sz w:val="22"/>
          <w:szCs w:val="22"/>
        </w:rPr>
        <w:t>47 C.F.R. § 8.2(a)]</w:t>
      </w:r>
    </w:p>
    <w:p w14:paraId="0CA3E880" w14:textId="77777777" w:rsidR="008E681D" w:rsidRPr="00130DB7" w:rsidRDefault="008E681D" w:rsidP="00611EB4">
      <w:pPr>
        <w:ind w:left="720"/>
        <w:rPr>
          <w:bCs/>
          <w:sz w:val="22"/>
          <w:szCs w:val="22"/>
        </w:rPr>
      </w:pPr>
    </w:p>
    <w:p w14:paraId="071B390A" w14:textId="77777777" w:rsidR="008E681D" w:rsidRPr="00130DB7" w:rsidRDefault="008E681D" w:rsidP="00611EB4">
      <w:pPr>
        <w:numPr>
          <w:ilvl w:val="0"/>
          <w:numId w:val="13"/>
        </w:numPr>
        <w:rPr>
          <w:bCs/>
          <w:sz w:val="22"/>
          <w:szCs w:val="22"/>
        </w:rPr>
      </w:pPr>
      <w:r w:rsidRPr="00130DB7">
        <w:rPr>
          <w:b/>
          <w:bCs/>
          <w:sz w:val="22"/>
          <w:szCs w:val="22"/>
        </w:rPr>
        <w:t>Edge provider.</w:t>
      </w:r>
      <w:r w:rsidRPr="00130DB7">
        <w:rPr>
          <w:bCs/>
          <w:sz w:val="22"/>
          <w:szCs w:val="22"/>
        </w:rPr>
        <w:t xml:space="preserve">  Any individual or entity that provides any content, application, or service over the Internet, and any individual or entity that provides a device used for accessing any content, application, or service over the Internet.  </w:t>
      </w:r>
      <w:r w:rsidRPr="00130DB7">
        <w:rPr>
          <w:b/>
          <w:bCs/>
          <w:sz w:val="22"/>
          <w:szCs w:val="22"/>
        </w:rPr>
        <w:t>[</w:t>
      </w:r>
      <w:r w:rsidRPr="00130DB7">
        <w:rPr>
          <w:b/>
          <w:sz w:val="22"/>
          <w:szCs w:val="22"/>
        </w:rPr>
        <w:t>47 C.F.R. § 8.2(b)]</w:t>
      </w:r>
    </w:p>
    <w:p w14:paraId="3A67F380" w14:textId="77777777" w:rsidR="008E681D" w:rsidRPr="00130DB7" w:rsidRDefault="008E681D" w:rsidP="00611EB4">
      <w:pPr>
        <w:ind w:left="720"/>
        <w:rPr>
          <w:bCs/>
          <w:sz w:val="22"/>
          <w:szCs w:val="22"/>
        </w:rPr>
      </w:pPr>
    </w:p>
    <w:p w14:paraId="40F53830" w14:textId="77777777" w:rsidR="008E681D" w:rsidRPr="00130DB7" w:rsidRDefault="008E681D" w:rsidP="00611EB4">
      <w:pPr>
        <w:numPr>
          <w:ilvl w:val="0"/>
          <w:numId w:val="13"/>
        </w:numPr>
        <w:rPr>
          <w:bCs/>
          <w:sz w:val="22"/>
          <w:szCs w:val="22"/>
        </w:rPr>
      </w:pPr>
      <w:r w:rsidRPr="00130DB7">
        <w:rPr>
          <w:b/>
          <w:bCs/>
          <w:sz w:val="22"/>
          <w:szCs w:val="22"/>
        </w:rPr>
        <w:t>End user.</w:t>
      </w:r>
      <w:r w:rsidRPr="00130DB7">
        <w:rPr>
          <w:bCs/>
          <w:sz w:val="22"/>
          <w:szCs w:val="22"/>
        </w:rPr>
        <w:t xml:space="preserve">  Any individual or entity that uses a broadband Internet access service.  </w:t>
      </w:r>
      <w:r w:rsidRPr="00130DB7">
        <w:rPr>
          <w:b/>
          <w:bCs/>
          <w:sz w:val="22"/>
          <w:szCs w:val="22"/>
        </w:rPr>
        <w:t>[</w:t>
      </w:r>
      <w:r w:rsidRPr="00130DB7">
        <w:rPr>
          <w:b/>
          <w:sz w:val="22"/>
          <w:szCs w:val="22"/>
        </w:rPr>
        <w:t>47 C.F.R. § 8.2(c)]</w:t>
      </w:r>
    </w:p>
    <w:p w14:paraId="1A79563E" w14:textId="77777777" w:rsidR="008E681D" w:rsidRPr="00130DB7" w:rsidRDefault="008E681D" w:rsidP="00611EB4">
      <w:pPr>
        <w:pStyle w:val="ListParagraph"/>
        <w:contextualSpacing w:val="0"/>
        <w:rPr>
          <w:b/>
          <w:bCs/>
          <w:sz w:val="22"/>
          <w:szCs w:val="22"/>
        </w:rPr>
      </w:pPr>
    </w:p>
    <w:p w14:paraId="3BEE42F8" w14:textId="77777777" w:rsidR="008E681D" w:rsidRPr="00130DB7" w:rsidRDefault="008E681D" w:rsidP="00611EB4">
      <w:pPr>
        <w:numPr>
          <w:ilvl w:val="0"/>
          <w:numId w:val="13"/>
        </w:numPr>
        <w:rPr>
          <w:bCs/>
          <w:sz w:val="22"/>
          <w:szCs w:val="22"/>
        </w:rPr>
      </w:pPr>
      <w:r w:rsidRPr="00130DB7">
        <w:rPr>
          <w:b/>
          <w:bCs/>
          <w:sz w:val="22"/>
          <w:szCs w:val="22"/>
        </w:rPr>
        <w:t>Fixed broadband Internet access service.</w:t>
      </w:r>
      <w:r w:rsidRPr="00130DB7">
        <w:rPr>
          <w:bCs/>
          <w:sz w:val="22"/>
          <w:szCs w:val="22"/>
        </w:rPr>
        <w:t xml:space="preserve">  A broadband Internet access service that serves end users primarily at fixed endpoints using </w:t>
      </w:r>
      <w:r w:rsidRPr="00130DB7">
        <w:rPr>
          <w:sz w:val="22"/>
          <w:szCs w:val="22"/>
          <w:lang w:bidi="en-US"/>
        </w:rPr>
        <w:t>stationary equipment</w:t>
      </w:r>
      <w:r w:rsidRPr="00130DB7">
        <w:rPr>
          <w:bCs/>
          <w:sz w:val="22"/>
          <w:szCs w:val="22"/>
        </w:rPr>
        <w:t xml:space="preserve">.  Fixed broadband Internet access </w:t>
      </w:r>
      <w:r w:rsidRPr="00130DB7">
        <w:rPr>
          <w:bCs/>
          <w:sz w:val="22"/>
          <w:szCs w:val="22"/>
        </w:rPr>
        <w:lastRenderedPageBreak/>
        <w:t xml:space="preserve">service includes fixed wireless services (including fixed unlicensed wireless services), and fixed satellite services.  </w:t>
      </w:r>
      <w:r w:rsidRPr="00130DB7">
        <w:rPr>
          <w:b/>
          <w:bCs/>
          <w:sz w:val="22"/>
          <w:szCs w:val="22"/>
        </w:rPr>
        <w:t>[</w:t>
      </w:r>
      <w:r w:rsidRPr="00130DB7">
        <w:rPr>
          <w:b/>
          <w:sz w:val="22"/>
          <w:szCs w:val="22"/>
        </w:rPr>
        <w:t>47 C.F.R. § 8.2(d)]</w:t>
      </w:r>
    </w:p>
    <w:p w14:paraId="3E8BF1A5" w14:textId="77777777" w:rsidR="008E681D" w:rsidRPr="00130DB7" w:rsidRDefault="008E681D" w:rsidP="00611EB4">
      <w:pPr>
        <w:pStyle w:val="ListParagraph"/>
        <w:contextualSpacing w:val="0"/>
        <w:rPr>
          <w:b/>
          <w:bCs/>
          <w:sz w:val="22"/>
          <w:szCs w:val="22"/>
        </w:rPr>
      </w:pPr>
    </w:p>
    <w:p w14:paraId="19C220B5" w14:textId="77777777" w:rsidR="008E681D" w:rsidRPr="00130DB7" w:rsidRDefault="008E681D" w:rsidP="00611EB4">
      <w:pPr>
        <w:numPr>
          <w:ilvl w:val="0"/>
          <w:numId w:val="13"/>
        </w:numPr>
        <w:rPr>
          <w:bCs/>
          <w:sz w:val="22"/>
          <w:szCs w:val="22"/>
        </w:rPr>
      </w:pPr>
      <w:r w:rsidRPr="00130DB7">
        <w:rPr>
          <w:b/>
          <w:bCs/>
          <w:sz w:val="22"/>
          <w:szCs w:val="22"/>
        </w:rPr>
        <w:t>Mobile broadband Internet access service.</w:t>
      </w:r>
      <w:r w:rsidRPr="00130DB7">
        <w:rPr>
          <w:bCs/>
          <w:sz w:val="22"/>
          <w:szCs w:val="22"/>
        </w:rPr>
        <w:t xml:space="preserve">  A broadband Internet access service that serves end users primarily using mobile stations.  </w:t>
      </w:r>
      <w:r w:rsidRPr="00130DB7">
        <w:rPr>
          <w:b/>
          <w:bCs/>
          <w:sz w:val="22"/>
          <w:szCs w:val="22"/>
        </w:rPr>
        <w:t>[</w:t>
      </w:r>
      <w:r w:rsidRPr="00130DB7">
        <w:rPr>
          <w:b/>
          <w:sz w:val="22"/>
          <w:szCs w:val="22"/>
        </w:rPr>
        <w:t>47 C.F.R. § 8.2(e)]</w:t>
      </w:r>
    </w:p>
    <w:p w14:paraId="476D8A75" w14:textId="77777777" w:rsidR="008E681D" w:rsidRPr="00130DB7" w:rsidRDefault="008E681D" w:rsidP="00611EB4">
      <w:pPr>
        <w:pStyle w:val="ListParagraph"/>
        <w:contextualSpacing w:val="0"/>
        <w:rPr>
          <w:b/>
          <w:bCs/>
          <w:sz w:val="22"/>
          <w:szCs w:val="22"/>
        </w:rPr>
      </w:pPr>
    </w:p>
    <w:p w14:paraId="50658804" w14:textId="77777777" w:rsidR="008E681D" w:rsidRPr="00130DB7" w:rsidRDefault="008E681D" w:rsidP="00611EB4">
      <w:pPr>
        <w:numPr>
          <w:ilvl w:val="0"/>
          <w:numId w:val="13"/>
        </w:numPr>
        <w:rPr>
          <w:bCs/>
          <w:sz w:val="22"/>
          <w:szCs w:val="22"/>
        </w:rPr>
      </w:pPr>
      <w:r w:rsidRPr="00130DB7">
        <w:rPr>
          <w:b/>
          <w:bCs/>
          <w:sz w:val="22"/>
          <w:szCs w:val="22"/>
        </w:rPr>
        <w:t>Reasonable network management.</w:t>
      </w:r>
      <w:r w:rsidRPr="00130DB7">
        <w:rPr>
          <w:bCs/>
          <w:sz w:val="22"/>
          <w:szCs w:val="22"/>
        </w:rPr>
        <w:t xml:space="preserve">  </w:t>
      </w:r>
      <w:r w:rsidRPr="00130DB7">
        <w:rPr>
          <w:sz w:val="22"/>
          <w:szCs w:val="22"/>
        </w:rPr>
        <w:t>A network management practice is a practice that has a primarily technical network management justification, but does not include other business practices.</w:t>
      </w:r>
      <w:r w:rsidRPr="00130DB7">
        <w:rPr>
          <w:i/>
          <w:sz w:val="22"/>
          <w:szCs w:val="22"/>
        </w:rPr>
        <w:t xml:space="preserve">  </w:t>
      </w:r>
      <w:r w:rsidRPr="00130DB7">
        <w:rPr>
          <w:sz w:val="22"/>
          <w:szCs w:val="22"/>
        </w:rPr>
        <w:t xml:space="preserve">A network management practice is reasonable if it is primarily used for and tailored to achieving a legitimate network management purpose, taking into account the particular network architecture and technology of the broadband Internet access service.  </w:t>
      </w:r>
      <w:r w:rsidRPr="00130DB7">
        <w:rPr>
          <w:b/>
          <w:bCs/>
          <w:sz w:val="22"/>
          <w:szCs w:val="22"/>
        </w:rPr>
        <w:t>[</w:t>
      </w:r>
      <w:r w:rsidRPr="00130DB7">
        <w:rPr>
          <w:b/>
          <w:sz w:val="22"/>
          <w:szCs w:val="22"/>
        </w:rPr>
        <w:t>47 C.F.R. § 8.2(f)]</w:t>
      </w:r>
      <w:r w:rsidRPr="00130DB7">
        <w:rPr>
          <w:sz w:val="22"/>
          <w:szCs w:val="22"/>
        </w:rPr>
        <w:t xml:space="preserve"> </w:t>
      </w:r>
    </w:p>
    <w:p w14:paraId="621FCF4D" w14:textId="77777777" w:rsidR="00A352CB" w:rsidRPr="00130DB7" w:rsidRDefault="00A352CB" w:rsidP="00611EB4">
      <w:pPr>
        <w:rPr>
          <w:sz w:val="22"/>
          <w:szCs w:val="22"/>
        </w:rPr>
      </w:pPr>
    </w:p>
    <w:p w14:paraId="7960B29B" w14:textId="77777777" w:rsidR="00A352CB" w:rsidRPr="00130DB7" w:rsidRDefault="008426C5" w:rsidP="00611EB4">
      <w:pPr>
        <w:numPr>
          <w:ilvl w:val="0"/>
          <w:numId w:val="20"/>
        </w:numPr>
        <w:tabs>
          <w:tab w:val="clear" w:pos="1080"/>
          <w:tab w:val="num" w:pos="360"/>
        </w:tabs>
        <w:ind w:left="360" w:hanging="360"/>
        <w:outlineLvl w:val="0"/>
        <w:rPr>
          <w:caps/>
          <w:sz w:val="22"/>
          <w:szCs w:val="22"/>
          <w:u w:val="single"/>
        </w:rPr>
      </w:pPr>
      <w:bookmarkStart w:id="6" w:name="_Toc324333832"/>
      <w:bookmarkStart w:id="7" w:name="_Toc324334030"/>
      <w:r w:rsidRPr="00130DB7">
        <w:rPr>
          <w:caps/>
          <w:sz w:val="22"/>
          <w:szCs w:val="22"/>
          <w:u w:val="single"/>
        </w:rPr>
        <w:t>Objectives of the proceeding</w:t>
      </w:r>
      <w:bookmarkEnd w:id="6"/>
      <w:bookmarkEnd w:id="7"/>
    </w:p>
    <w:p w14:paraId="0DB0EB42" w14:textId="77777777" w:rsidR="00A352CB" w:rsidRPr="00130DB7" w:rsidRDefault="00A352CB" w:rsidP="00611EB4">
      <w:pPr>
        <w:tabs>
          <w:tab w:val="num" w:pos="0"/>
          <w:tab w:val="left" w:pos="720"/>
        </w:tabs>
        <w:rPr>
          <w:sz w:val="22"/>
          <w:szCs w:val="22"/>
        </w:rPr>
      </w:pPr>
    </w:p>
    <w:p w14:paraId="573DFBB2" w14:textId="77777777" w:rsidR="00A352CB" w:rsidRPr="00130DB7" w:rsidRDefault="008426C5" w:rsidP="00611EB4">
      <w:pPr>
        <w:tabs>
          <w:tab w:val="num" w:pos="0"/>
          <w:tab w:val="left" w:pos="720"/>
        </w:tabs>
        <w:ind w:left="360"/>
        <w:rPr>
          <w:sz w:val="22"/>
          <w:szCs w:val="22"/>
        </w:rPr>
      </w:pPr>
      <w:r w:rsidRPr="00130DB7">
        <w:rPr>
          <w:sz w:val="22"/>
          <w:szCs w:val="22"/>
        </w:rPr>
        <w:t xml:space="preserve">The purpose of the </w:t>
      </w:r>
      <w:r w:rsidR="00130DB7" w:rsidRPr="00130DB7">
        <w:rPr>
          <w:i/>
          <w:sz w:val="22"/>
          <w:szCs w:val="22"/>
        </w:rPr>
        <w:t xml:space="preserve">2015 Order </w:t>
      </w:r>
      <w:r w:rsidRPr="00130DB7">
        <w:rPr>
          <w:sz w:val="22"/>
          <w:szCs w:val="22"/>
        </w:rPr>
        <w:t xml:space="preserve">is to </w:t>
      </w:r>
      <w:r w:rsidR="00CE29A3" w:rsidRPr="00130DB7">
        <w:rPr>
          <w:sz w:val="22"/>
          <w:szCs w:val="22"/>
        </w:rPr>
        <w:t xml:space="preserve">protect and promote the Internet as an open platform enabling consumer choice, freedom of expression, end-user control, competition, and the freedom to innovate without permission, and thereby to encourage the deployment of advanced telecommunications capability and remove barriers to infrastructure investment. </w:t>
      </w:r>
      <w:r w:rsidRPr="00130DB7">
        <w:rPr>
          <w:b/>
          <w:sz w:val="22"/>
          <w:szCs w:val="22"/>
        </w:rPr>
        <w:t>[47 C.F.R. § 8.1]</w:t>
      </w:r>
      <w:r w:rsidRPr="00130DB7">
        <w:rPr>
          <w:sz w:val="22"/>
          <w:szCs w:val="22"/>
        </w:rPr>
        <w:t xml:space="preserve">  </w:t>
      </w:r>
    </w:p>
    <w:p w14:paraId="7FEDC8C2" w14:textId="77777777" w:rsidR="00A352CB" w:rsidRPr="00130DB7" w:rsidRDefault="00A352CB" w:rsidP="00611EB4">
      <w:pPr>
        <w:rPr>
          <w:caps/>
          <w:sz w:val="22"/>
          <w:szCs w:val="22"/>
          <w:u w:val="single"/>
        </w:rPr>
      </w:pPr>
    </w:p>
    <w:p w14:paraId="603BA64C" w14:textId="79AE580F" w:rsidR="00A352CB" w:rsidRPr="00130DB7" w:rsidRDefault="00F806DD" w:rsidP="00611EB4">
      <w:pPr>
        <w:numPr>
          <w:ilvl w:val="0"/>
          <w:numId w:val="20"/>
        </w:numPr>
        <w:tabs>
          <w:tab w:val="clear" w:pos="1080"/>
          <w:tab w:val="num" w:pos="360"/>
        </w:tabs>
        <w:ind w:left="360" w:hanging="360"/>
        <w:outlineLvl w:val="0"/>
        <w:rPr>
          <w:caps/>
          <w:sz w:val="22"/>
          <w:szCs w:val="22"/>
          <w:u w:val="single"/>
        </w:rPr>
      </w:pPr>
      <w:r w:rsidRPr="00130DB7">
        <w:rPr>
          <w:caps/>
          <w:sz w:val="22"/>
          <w:szCs w:val="22"/>
          <w:u w:val="single"/>
        </w:rPr>
        <w:t>R</w:t>
      </w:r>
      <w:r>
        <w:rPr>
          <w:caps/>
          <w:sz w:val="22"/>
          <w:szCs w:val="22"/>
          <w:u w:val="single"/>
        </w:rPr>
        <w:t>ules</w:t>
      </w:r>
    </w:p>
    <w:p w14:paraId="6B679A22" w14:textId="77777777" w:rsidR="00A352CB" w:rsidRPr="00130DB7" w:rsidRDefault="00A352CB" w:rsidP="00611EB4">
      <w:pPr>
        <w:ind w:left="360"/>
        <w:rPr>
          <w:caps/>
          <w:sz w:val="22"/>
          <w:szCs w:val="22"/>
          <w:u w:val="single"/>
        </w:rPr>
      </w:pPr>
    </w:p>
    <w:p w14:paraId="0090F31B" w14:textId="77777777" w:rsidR="00AE6464" w:rsidRPr="00130DB7" w:rsidRDefault="00AE6464" w:rsidP="00AE6464">
      <w:pPr>
        <w:numPr>
          <w:ilvl w:val="0"/>
          <w:numId w:val="17"/>
        </w:numPr>
        <w:rPr>
          <w:b/>
          <w:sz w:val="22"/>
          <w:szCs w:val="22"/>
        </w:rPr>
      </w:pPr>
      <w:r w:rsidRPr="00130DB7">
        <w:rPr>
          <w:b/>
          <w:sz w:val="22"/>
          <w:szCs w:val="22"/>
        </w:rPr>
        <w:t>No Blocking, No Throttling, No Paid Prioritization, and the No Unreasonable Interference/Disadvantage Standard</w:t>
      </w:r>
    </w:p>
    <w:p w14:paraId="53CB03E3" w14:textId="77777777" w:rsidR="00AE6464" w:rsidRPr="00130DB7" w:rsidRDefault="00AE6464" w:rsidP="00AE6464">
      <w:pPr>
        <w:tabs>
          <w:tab w:val="num" w:pos="0"/>
        </w:tabs>
        <w:rPr>
          <w:sz w:val="22"/>
          <w:szCs w:val="22"/>
        </w:rPr>
      </w:pPr>
    </w:p>
    <w:p w14:paraId="2E60F455" w14:textId="77777777" w:rsidR="00AE6464" w:rsidRPr="00130DB7" w:rsidRDefault="00CF0515" w:rsidP="00AE6464">
      <w:pPr>
        <w:tabs>
          <w:tab w:val="num" w:pos="0"/>
        </w:tabs>
        <w:ind w:left="720"/>
        <w:rPr>
          <w:sz w:val="22"/>
          <w:szCs w:val="22"/>
        </w:rPr>
      </w:pPr>
      <w:r>
        <w:rPr>
          <w:sz w:val="22"/>
          <w:szCs w:val="22"/>
        </w:rPr>
        <w:t>In</w:t>
      </w:r>
      <w:r w:rsidR="00625D06">
        <w:rPr>
          <w:sz w:val="22"/>
          <w:szCs w:val="22"/>
        </w:rPr>
        <w:t xml:space="preserve"> light of</w:t>
      </w:r>
      <w:r>
        <w:rPr>
          <w:sz w:val="22"/>
          <w:szCs w:val="22"/>
        </w:rPr>
        <w:t xml:space="preserve"> the</w:t>
      </w:r>
      <w:r w:rsidR="00AE6464" w:rsidRPr="00130DB7">
        <w:rPr>
          <w:sz w:val="22"/>
          <w:szCs w:val="22"/>
        </w:rPr>
        <w:t xml:space="preserve"> </w:t>
      </w:r>
      <w:r w:rsidR="00625D06">
        <w:rPr>
          <w:i/>
          <w:sz w:val="22"/>
          <w:szCs w:val="22"/>
        </w:rPr>
        <w:t>Verizon</w:t>
      </w:r>
      <w:r w:rsidR="00625D06">
        <w:rPr>
          <w:sz w:val="22"/>
          <w:szCs w:val="22"/>
        </w:rPr>
        <w:t xml:space="preserve"> remand and the absence of </w:t>
      </w:r>
      <w:r w:rsidR="0047102F">
        <w:rPr>
          <w:sz w:val="22"/>
          <w:szCs w:val="22"/>
        </w:rPr>
        <w:t>o</w:t>
      </w:r>
      <w:r w:rsidR="00625D06">
        <w:rPr>
          <w:sz w:val="22"/>
          <w:szCs w:val="22"/>
        </w:rPr>
        <w:t xml:space="preserve">pen Internet </w:t>
      </w:r>
      <w:r w:rsidR="00812807">
        <w:rPr>
          <w:sz w:val="22"/>
          <w:szCs w:val="22"/>
        </w:rPr>
        <w:t>safeguards</w:t>
      </w:r>
      <w:r w:rsidR="00625D06">
        <w:rPr>
          <w:sz w:val="22"/>
          <w:szCs w:val="22"/>
        </w:rPr>
        <w:t>,</w:t>
      </w:r>
      <w:r w:rsidR="00AE6464" w:rsidRPr="00130DB7">
        <w:rPr>
          <w:sz w:val="22"/>
          <w:szCs w:val="22"/>
        </w:rPr>
        <w:t xml:space="preserve"> </w:t>
      </w:r>
      <w:r w:rsidR="00625D06">
        <w:rPr>
          <w:sz w:val="22"/>
          <w:szCs w:val="22"/>
        </w:rPr>
        <w:t>the Commission in February 2015</w:t>
      </w:r>
      <w:r w:rsidR="00AE6464" w:rsidRPr="00130DB7">
        <w:rPr>
          <w:sz w:val="22"/>
          <w:szCs w:val="22"/>
        </w:rPr>
        <w:t xml:space="preserve"> reinstated strong, enforceable open Internet rules.   As in 2010, </w:t>
      </w:r>
      <w:r w:rsidR="0047102F">
        <w:rPr>
          <w:sz w:val="22"/>
          <w:szCs w:val="22"/>
        </w:rPr>
        <w:t xml:space="preserve">the Commission </w:t>
      </w:r>
      <w:r w:rsidR="00AE6464" w:rsidRPr="00130DB7">
        <w:rPr>
          <w:sz w:val="22"/>
          <w:szCs w:val="22"/>
        </w:rPr>
        <w:t>believe</w:t>
      </w:r>
      <w:r w:rsidR="0047102F">
        <w:rPr>
          <w:sz w:val="22"/>
          <w:szCs w:val="22"/>
        </w:rPr>
        <w:t>d</w:t>
      </w:r>
      <w:r w:rsidR="00AE6464" w:rsidRPr="00130DB7">
        <w:rPr>
          <w:sz w:val="22"/>
          <w:szCs w:val="22"/>
        </w:rPr>
        <w:t xml:space="preserve"> that conduct-based rules targeting specific practices </w:t>
      </w:r>
      <w:r w:rsidR="00812807">
        <w:rPr>
          <w:sz w:val="22"/>
          <w:szCs w:val="22"/>
        </w:rPr>
        <w:t>we</w:t>
      </w:r>
      <w:r w:rsidR="00AE6464" w:rsidRPr="00130DB7">
        <w:rPr>
          <w:sz w:val="22"/>
          <w:szCs w:val="22"/>
        </w:rPr>
        <w:t xml:space="preserve">re necessary.  </w:t>
      </w:r>
    </w:p>
    <w:p w14:paraId="588A3027" w14:textId="77777777" w:rsidR="00AE6464" w:rsidRPr="00130DB7" w:rsidRDefault="00AE6464" w:rsidP="00AE6464">
      <w:pPr>
        <w:tabs>
          <w:tab w:val="num" w:pos="0"/>
        </w:tabs>
        <w:rPr>
          <w:sz w:val="22"/>
          <w:szCs w:val="22"/>
        </w:rPr>
      </w:pPr>
    </w:p>
    <w:p w14:paraId="486628C0" w14:textId="77777777" w:rsidR="00AE6464" w:rsidRPr="00130DB7" w:rsidRDefault="00AE6464" w:rsidP="00AE6464">
      <w:pPr>
        <w:numPr>
          <w:ilvl w:val="0"/>
          <w:numId w:val="1"/>
        </w:numPr>
        <w:rPr>
          <w:b/>
          <w:sz w:val="22"/>
          <w:szCs w:val="22"/>
        </w:rPr>
      </w:pPr>
      <w:r w:rsidRPr="00130DB7">
        <w:rPr>
          <w:b/>
          <w:sz w:val="22"/>
          <w:szCs w:val="22"/>
        </w:rPr>
        <w:t xml:space="preserve">No </w:t>
      </w:r>
      <w:r w:rsidR="004E1884">
        <w:rPr>
          <w:b/>
          <w:sz w:val="22"/>
          <w:szCs w:val="22"/>
        </w:rPr>
        <w:t>B</w:t>
      </w:r>
      <w:r w:rsidRPr="00130DB7">
        <w:rPr>
          <w:b/>
          <w:sz w:val="22"/>
          <w:szCs w:val="22"/>
        </w:rPr>
        <w:t>locking  [47 C.F.R. § 8.5]</w:t>
      </w:r>
    </w:p>
    <w:p w14:paraId="12362CC3" w14:textId="77777777" w:rsidR="00AE6464" w:rsidRPr="00130DB7" w:rsidRDefault="00AE6464" w:rsidP="00AE6464">
      <w:pPr>
        <w:tabs>
          <w:tab w:val="num" w:pos="0"/>
        </w:tabs>
        <w:ind w:left="1080"/>
        <w:rPr>
          <w:i/>
          <w:sz w:val="22"/>
          <w:szCs w:val="22"/>
        </w:rPr>
      </w:pPr>
    </w:p>
    <w:p w14:paraId="435FF49B" w14:textId="77777777" w:rsidR="00AE6464" w:rsidRPr="00130DB7" w:rsidRDefault="00AE6464" w:rsidP="00AE6464">
      <w:pPr>
        <w:ind w:left="1440"/>
        <w:rPr>
          <w:sz w:val="22"/>
          <w:szCs w:val="22"/>
        </w:rPr>
      </w:pPr>
      <w:r w:rsidRPr="00130DB7">
        <w:rPr>
          <w:sz w:val="22"/>
          <w:szCs w:val="22"/>
        </w:rPr>
        <w:t>A person engaged in the provision of broadband Internet access service, insofar as such person is so engaged, shall not block lawful content, applications, services, or non-harmful devices, subject to reasonable network management.</w:t>
      </w:r>
    </w:p>
    <w:p w14:paraId="5337A7E3" w14:textId="77777777" w:rsidR="00AE6464" w:rsidRPr="00130DB7" w:rsidRDefault="00AE6464" w:rsidP="00AE6464">
      <w:pPr>
        <w:ind w:left="1080"/>
        <w:rPr>
          <w:b/>
          <w:sz w:val="22"/>
          <w:szCs w:val="22"/>
        </w:rPr>
      </w:pPr>
    </w:p>
    <w:p w14:paraId="1930978B" w14:textId="77777777" w:rsidR="00AE6464" w:rsidRPr="00130DB7" w:rsidRDefault="00AE6464" w:rsidP="00AE6464">
      <w:pPr>
        <w:numPr>
          <w:ilvl w:val="0"/>
          <w:numId w:val="1"/>
        </w:numPr>
        <w:tabs>
          <w:tab w:val="num" w:pos="0"/>
        </w:tabs>
        <w:rPr>
          <w:b/>
          <w:sz w:val="22"/>
          <w:szCs w:val="22"/>
        </w:rPr>
      </w:pPr>
      <w:r w:rsidRPr="00130DB7">
        <w:rPr>
          <w:b/>
          <w:sz w:val="22"/>
          <w:szCs w:val="22"/>
        </w:rPr>
        <w:t xml:space="preserve">No </w:t>
      </w:r>
      <w:r w:rsidR="004E1884">
        <w:rPr>
          <w:b/>
          <w:sz w:val="22"/>
          <w:szCs w:val="22"/>
        </w:rPr>
        <w:t>T</w:t>
      </w:r>
      <w:r w:rsidRPr="00130DB7">
        <w:rPr>
          <w:b/>
          <w:sz w:val="22"/>
          <w:szCs w:val="22"/>
        </w:rPr>
        <w:t>hrottling  [47 C.F.R. § 8.7]</w:t>
      </w:r>
    </w:p>
    <w:p w14:paraId="78326E6F" w14:textId="77777777" w:rsidR="00AE6464" w:rsidRPr="00130DB7" w:rsidRDefault="00AE6464" w:rsidP="00AE6464">
      <w:pPr>
        <w:ind w:left="1080"/>
        <w:rPr>
          <w:sz w:val="22"/>
          <w:szCs w:val="22"/>
        </w:rPr>
      </w:pPr>
    </w:p>
    <w:p w14:paraId="41C38858" w14:textId="77777777" w:rsidR="00AE6464" w:rsidRPr="00130DB7" w:rsidRDefault="00AE6464" w:rsidP="00AE6464">
      <w:pPr>
        <w:ind w:left="1440"/>
        <w:rPr>
          <w:sz w:val="22"/>
          <w:szCs w:val="22"/>
        </w:rPr>
      </w:pPr>
      <w:r w:rsidRPr="00130DB7">
        <w:rPr>
          <w:sz w:val="22"/>
          <w:szCs w:val="22"/>
        </w:rPr>
        <w:t xml:space="preserve">A person engaged in the provision of broadband Internet access service, insofar as such person is so engaged, shall not impair or degrade lawful Internet traffic on the basis of Internet content, application, or service, or use of a non-harmful device, subject to reasonable network management.  </w:t>
      </w:r>
    </w:p>
    <w:p w14:paraId="055260BA" w14:textId="77777777" w:rsidR="00AE6464" w:rsidRPr="00130DB7" w:rsidRDefault="00AE6464" w:rsidP="00AE6464">
      <w:pPr>
        <w:ind w:left="1440"/>
        <w:rPr>
          <w:sz w:val="22"/>
          <w:szCs w:val="22"/>
        </w:rPr>
      </w:pPr>
    </w:p>
    <w:p w14:paraId="4455815B" w14:textId="77777777" w:rsidR="00AE6464" w:rsidRPr="00130DB7" w:rsidRDefault="00AE6464" w:rsidP="00AE6464">
      <w:pPr>
        <w:numPr>
          <w:ilvl w:val="0"/>
          <w:numId w:val="1"/>
        </w:numPr>
        <w:tabs>
          <w:tab w:val="num" w:pos="0"/>
        </w:tabs>
        <w:rPr>
          <w:b/>
          <w:sz w:val="22"/>
          <w:szCs w:val="22"/>
        </w:rPr>
      </w:pPr>
      <w:r w:rsidRPr="00130DB7">
        <w:rPr>
          <w:b/>
          <w:sz w:val="22"/>
          <w:szCs w:val="22"/>
        </w:rPr>
        <w:t xml:space="preserve">No </w:t>
      </w:r>
      <w:r w:rsidR="004E1884">
        <w:rPr>
          <w:b/>
          <w:sz w:val="22"/>
          <w:szCs w:val="22"/>
        </w:rPr>
        <w:t>P</w:t>
      </w:r>
      <w:r w:rsidRPr="00130DB7">
        <w:rPr>
          <w:b/>
          <w:sz w:val="22"/>
          <w:szCs w:val="22"/>
        </w:rPr>
        <w:t xml:space="preserve">aid </w:t>
      </w:r>
      <w:r w:rsidR="004E1884">
        <w:rPr>
          <w:b/>
          <w:sz w:val="22"/>
          <w:szCs w:val="22"/>
        </w:rPr>
        <w:t>P</w:t>
      </w:r>
      <w:r w:rsidRPr="00130DB7">
        <w:rPr>
          <w:b/>
          <w:sz w:val="22"/>
          <w:szCs w:val="22"/>
        </w:rPr>
        <w:t>rioritization  [47 C.F.R. § 8.9]</w:t>
      </w:r>
    </w:p>
    <w:p w14:paraId="1F506C55" w14:textId="77777777" w:rsidR="00AE6464" w:rsidRPr="00130DB7" w:rsidRDefault="00AE6464" w:rsidP="00AE6464">
      <w:pPr>
        <w:tabs>
          <w:tab w:val="num" w:pos="0"/>
        </w:tabs>
        <w:ind w:left="720"/>
        <w:rPr>
          <w:sz w:val="22"/>
          <w:szCs w:val="22"/>
        </w:rPr>
      </w:pPr>
    </w:p>
    <w:p w14:paraId="6B58BE69" w14:textId="77777777" w:rsidR="00AE6464" w:rsidRPr="00130DB7" w:rsidRDefault="00AE6464" w:rsidP="00AE6464">
      <w:pPr>
        <w:tabs>
          <w:tab w:val="num" w:pos="0"/>
          <w:tab w:val="left" w:pos="1440"/>
        </w:tabs>
        <w:ind w:left="1440"/>
        <w:rPr>
          <w:sz w:val="22"/>
          <w:szCs w:val="22"/>
        </w:rPr>
      </w:pPr>
      <w:r w:rsidRPr="00130DB7">
        <w:rPr>
          <w:sz w:val="22"/>
          <w:szCs w:val="22"/>
        </w:rPr>
        <w:t>(a) A person engaged in the provision of broadband Internet access service, insofar as such person is so engaged, shall not engage in paid prioritization.</w:t>
      </w:r>
    </w:p>
    <w:p w14:paraId="468DB190" w14:textId="77777777" w:rsidR="00AE6464" w:rsidRPr="00130DB7" w:rsidRDefault="00AE6464" w:rsidP="00AE6464">
      <w:pPr>
        <w:tabs>
          <w:tab w:val="num" w:pos="0"/>
          <w:tab w:val="left" w:pos="1440"/>
        </w:tabs>
        <w:rPr>
          <w:sz w:val="22"/>
          <w:szCs w:val="22"/>
        </w:rPr>
      </w:pPr>
    </w:p>
    <w:p w14:paraId="44E1BF0C" w14:textId="77777777" w:rsidR="00AE6464" w:rsidRPr="00130DB7" w:rsidRDefault="00AE6464" w:rsidP="00AE6464">
      <w:pPr>
        <w:tabs>
          <w:tab w:val="num" w:pos="0"/>
          <w:tab w:val="left" w:pos="1440"/>
        </w:tabs>
        <w:ind w:left="1440"/>
        <w:rPr>
          <w:sz w:val="22"/>
          <w:szCs w:val="22"/>
        </w:rPr>
      </w:pPr>
      <w:r w:rsidRPr="00130DB7">
        <w:rPr>
          <w:sz w:val="22"/>
          <w:szCs w:val="22"/>
        </w:rPr>
        <w:t>(b) “Paid prioritization” refers to the management of a broadband provider’s network to directly or indirectly favor some traffic over other traffic, including through use of techniques such as traffic shaping, prioritization, resource reservation, or other forms of preferential traffic management, either (a) in exchange for consideration (monetary or otherwise) from a third party, or (b) to benefit an affiliated entity.</w:t>
      </w:r>
    </w:p>
    <w:p w14:paraId="236B121E" w14:textId="77777777" w:rsidR="00AE6464" w:rsidRPr="00130DB7" w:rsidRDefault="00AE6464" w:rsidP="00AE6464">
      <w:pPr>
        <w:tabs>
          <w:tab w:val="num" w:pos="0"/>
          <w:tab w:val="left" w:pos="1440"/>
        </w:tabs>
        <w:rPr>
          <w:sz w:val="22"/>
          <w:szCs w:val="22"/>
        </w:rPr>
      </w:pPr>
    </w:p>
    <w:p w14:paraId="5DA2CBCF" w14:textId="77777777" w:rsidR="00AE6464" w:rsidRPr="00130DB7" w:rsidRDefault="00AE6464" w:rsidP="00AE6464">
      <w:pPr>
        <w:tabs>
          <w:tab w:val="num" w:pos="0"/>
          <w:tab w:val="left" w:pos="1440"/>
        </w:tabs>
        <w:ind w:left="1440"/>
        <w:rPr>
          <w:sz w:val="22"/>
          <w:szCs w:val="22"/>
        </w:rPr>
      </w:pPr>
      <w:r w:rsidRPr="00130DB7">
        <w:rPr>
          <w:sz w:val="22"/>
          <w:szCs w:val="22"/>
        </w:rPr>
        <w:t>(c) The Commission may waive the ban on paid prioritization only if the petitioner demonstrates that the practice would provide some significant public interest benefit and would not harm the open nature of the Internet.</w:t>
      </w:r>
    </w:p>
    <w:p w14:paraId="4971A5E8" w14:textId="77777777" w:rsidR="00AE6464" w:rsidRPr="00130DB7" w:rsidRDefault="00AE6464" w:rsidP="00AE6464">
      <w:pPr>
        <w:tabs>
          <w:tab w:val="num" w:pos="0"/>
          <w:tab w:val="left" w:pos="1440"/>
        </w:tabs>
        <w:rPr>
          <w:sz w:val="22"/>
          <w:szCs w:val="22"/>
        </w:rPr>
      </w:pPr>
    </w:p>
    <w:p w14:paraId="27F689BA" w14:textId="77777777" w:rsidR="00AE6464" w:rsidRPr="00130DB7" w:rsidRDefault="00AE6464" w:rsidP="00AE6464">
      <w:pPr>
        <w:pStyle w:val="ListParagraph"/>
        <w:numPr>
          <w:ilvl w:val="0"/>
          <w:numId w:val="1"/>
        </w:numPr>
        <w:tabs>
          <w:tab w:val="num" w:pos="0"/>
          <w:tab w:val="left" w:pos="1440"/>
        </w:tabs>
        <w:contextualSpacing w:val="0"/>
        <w:rPr>
          <w:sz w:val="22"/>
          <w:szCs w:val="22"/>
        </w:rPr>
      </w:pPr>
      <w:r w:rsidRPr="00130DB7">
        <w:rPr>
          <w:b/>
          <w:sz w:val="22"/>
          <w:szCs w:val="22"/>
        </w:rPr>
        <w:t xml:space="preserve">No </w:t>
      </w:r>
      <w:r w:rsidR="004E1884">
        <w:rPr>
          <w:b/>
          <w:sz w:val="22"/>
          <w:szCs w:val="22"/>
        </w:rPr>
        <w:t>U</w:t>
      </w:r>
      <w:r w:rsidRPr="00130DB7">
        <w:rPr>
          <w:b/>
          <w:sz w:val="22"/>
          <w:szCs w:val="22"/>
        </w:rPr>
        <w:t xml:space="preserve">nreasonable </w:t>
      </w:r>
      <w:r w:rsidR="004E1884">
        <w:rPr>
          <w:b/>
          <w:sz w:val="22"/>
          <w:szCs w:val="22"/>
        </w:rPr>
        <w:t>I</w:t>
      </w:r>
      <w:r w:rsidRPr="00130DB7">
        <w:rPr>
          <w:b/>
          <w:sz w:val="22"/>
          <w:szCs w:val="22"/>
        </w:rPr>
        <w:t xml:space="preserve">nterference or </w:t>
      </w:r>
      <w:r w:rsidR="004E1884">
        <w:rPr>
          <w:b/>
          <w:sz w:val="22"/>
          <w:szCs w:val="22"/>
        </w:rPr>
        <w:t>U</w:t>
      </w:r>
      <w:r w:rsidRPr="00130DB7">
        <w:rPr>
          <w:b/>
          <w:sz w:val="22"/>
          <w:szCs w:val="22"/>
        </w:rPr>
        <w:t xml:space="preserve">nreasonable </w:t>
      </w:r>
      <w:r w:rsidR="004E1884">
        <w:rPr>
          <w:b/>
          <w:sz w:val="22"/>
          <w:szCs w:val="22"/>
        </w:rPr>
        <w:t>D</w:t>
      </w:r>
      <w:r w:rsidRPr="00130DB7">
        <w:rPr>
          <w:b/>
          <w:sz w:val="22"/>
          <w:szCs w:val="22"/>
        </w:rPr>
        <w:t xml:space="preserve">isadvantage </w:t>
      </w:r>
      <w:r w:rsidR="004E1884">
        <w:rPr>
          <w:b/>
          <w:sz w:val="22"/>
          <w:szCs w:val="22"/>
        </w:rPr>
        <w:t>S</w:t>
      </w:r>
      <w:r w:rsidRPr="00130DB7">
        <w:rPr>
          <w:b/>
          <w:sz w:val="22"/>
          <w:szCs w:val="22"/>
        </w:rPr>
        <w:t xml:space="preserve">tandard for Internet </w:t>
      </w:r>
      <w:r w:rsidR="004E1884">
        <w:rPr>
          <w:b/>
          <w:sz w:val="22"/>
          <w:szCs w:val="22"/>
        </w:rPr>
        <w:t>C</w:t>
      </w:r>
      <w:r w:rsidRPr="00130DB7">
        <w:rPr>
          <w:b/>
          <w:sz w:val="22"/>
          <w:szCs w:val="22"/>
        </w:rPr>
        <w:t>onduct [47 C.F.R. § 8.11]</w:t>
      </w:r>
    </w:p>
    <w:p w14:paraId="380E733F" w14:textId="77777777" w:rsidR="00AE6464" w:rsidRPr="00130DB7" w:rsidRDefault="00AE6464" w:rsidP="00AE6464">
      <w:pPr>
        <w:pStyle w:val="ListParagraph"/>
        <w:tabs>
          <w:tab w:val="num" w:pos="0"/>
          <w:tab w:val="left" w:pos="1440"/>
        </w:tabs>
        <w:ind w:left="1440"/>
        <w:contextualSpacing w:val="0"/>
        <w:rPr>
          <w:b/>
          <w:sz w:val="22"/>
          <w:szCs w:val="22"/>
        </w:rPr>
      </w:pPr>
    </w:p>
    <w:p w14:paraId="1D680717" w14:textId="77777777" w:rsidR="00AE6464" w:rsidRPr="00130DB7" w:rsidRDefault="00AE6464" w:rsidP="00AE6464">
      <w:pPr>
        <w:pStyle w:val="ListParagraph"/>
        <w:tabs>
          <w:tab w:val="num" w:pos="0"/>
          <w:tab w:val="left" w:pos="1440"/>
        </w:tabs>
        <w:ind w:left="1440"/>
        <w:contextualSpacing w:val="0"/>
        <w:rPr>
          <w:sz w:val="22"/>
          <w:szCs w:val="22"/>
        </w:rPr>
      </w:pPr>
      <w:r w:rsidRPr="00130DB7">
        <w:rPr>
          <w:sz w:val="22"/>
          <w:szCs w:val="22"/>
        </w:rPr>
        <w:t>Any person engaged in the provision of broadband Internet access service, insofar as such person is so engaged, shall not unreasonably interfere with or unreasonably disadvantage (i) end users’ ability to select, access, and use broadband Internet access service or the lawful Internet content, applications, services, or devices of their choice, or (ii) edge providers’ ability to make lawful content, applications, services, or devices available to end users.  Reasonable network management shall not be considered a violation of this rule.</w:t>
      </w:r>
    </w:p>
    <w:p w14:paraId="3AE4B09B" w14:textId="77777777" w:rsidR="00AE6464" w:rsidRPr="00130DB7" w:rsidRDefault="00AE6464" w:rsidP="00AE6464">
      <w:pPr>
        <w:tabs>
          <w:tab w:val="num" w:pos="0"/>
        </w:tabs>
        <w:rPr>
          <w:sz w:val="22"/>
          <w:szCs w:val="22"/>
        </w:rPr>
      </w:pPr>
    </w:p>
    <w:p w14:paraId="72580D70" w14:textId="77777777" w:rsidR="00AE6464" w:rsidRPr="00130DB7" w:rsidRDefault="00AE6464" w:rsidP="00AE6464">
      <w:pPr>
        <w:numPr>
          <w:ilvl w:val="0"/>
          <w:numId w:val="13"/>
        </w:numPr>
        <w:tabs>
          <w:tab w:val="num" w:pos="0"/>
        </w:tabs>
        <w:rPr>
          <w:b/>
          <w:sz w:val="22"/>
          <w:szCs w:val="22"/>
        </w:rPr>
      </w:pPr>
      <w:r w:rsidRPr="00130DB7">
        <w:rPr>
          <w:b/>
          <w:sz w:val="22"/>
          <w:szCs w:val="22"/>
        </w:rPr>
        <w:t>Transparency Requirements</w:t>
      </w:r>
    </w:p>
    <w:p w14:paraId="37086771" w14:textId="77777777" w:rsidR="00EB55A5" w:rsidRPr="00130DB7" w:rsidRDefault="00EB55A5" w:rsidP="00EB55A5">
      <w:pPr>
        <w:rPr>
          <w:b/>
          <w:sz w:val="22"/>
          <w:szCs w:val="22"/>
        </w:rPr>
      </w:pPr>
    </w:p>
    <w:p w14:paraId="5875274D" w14:textId="77777777" w:rsidR="00EB55A5" w:rsidRPr="00130DB7" w:rsidRDefault="00EB55A5" w:rsidP="00EB55A5">
      <w:pPr>
        <w:pStyle w:val="ListParagraph"/>
        <w:numPr>
          <w:ilvl w:val="0"/>
          <w:numId w:val="32"/>
        </w:numPr>
        <w:rPr>
          <w:b/>
          <w:sz w:val="22"/>
          <w:szCs w:val="22"/>
        </w:rPr>
      </w:pPr>
      <w:r w:rsidRPr="00130DB7">
        <w:rPr>
          <w:b/>
          <w:sz w:val="22"/>
          <w:szCs w:val="22"/>
        </w:rPr>
        <w:t xml:space="preserve">The </w:t>
      </w:r>
      <w:r w:rsidR="004E1884">
        <w:rPr>
          <w:b/>
          <w:sz w:val="22"/>
          <w:szCs w:val="22"/>
        </w:rPr>
        <w:t>T</w:t>
      </w:r>
      <w:r w:rsidRPr="00130DB7">
        <w:rPr>
          <w:b/>
          <w:sz w:val="22"/>
          <w:szCs w:val="22"/>
        </w:rPr>
        <w:t xml:space="preserve">ransparency </w:t>
      </w:r>
      <w:r w:rsidR="004E1884">
        <w:rPr>
          <w:b/>
          <w:sz w:val="22"/>
          <w:szCs w:val="22"/>
        </w:rPr>
        <w:t>R</w:t>
      </w:r>
      <w:r w:rsidRPr="00130DB7">
        <w:rPr>
          <w:b/>
          <w:sz w:val="22"/>
          <w:szCs w:val="22"/>
        </w:rPr>
        <w:t xml:space="preserve">ule </w:t>
      </w:r>
    </w:p>
    <w:p w14:paraId="2171993B" w14:textId="77777777" w:rsidR="00EB55A5" w:rsidRPr="00130DB7" w:rsidRDefault="00EB55A5" w:rsidP="009D090E">
      <w:pPr>
        <w:ind w:left="1440"/>
        <w:rPr>
          <w:sz w:val="22"/>
          <w:szCs w:val="22"/>
        </w:rPr>
      </w:pPr>
    </w:p>
    <w:p w14:paraId="1E102143" w14:textId="2745382F" w:rsidR="009D090E" w:rsidRPr="00130DB7" w:rsidRDefault="009D090E" w:rsidP="009D090E">
      <w:pPr>
        <w:ind w:left="1440"/>
        <w:rPr>
          <w:sz w:val="22"/>
          <w:szCs w:val="22"/>
        </w:rPr>
      </w:pPr>
      <w:r w:rsidRPr="00130DB7">
        <w:rPr>
          <w:sz w:val="22"/>
          <w:szCs w:val="22"/>
        </w:rPr>
        <w:t xml:space="preserve">The Commission enhanced the </w:t>
      </w:r>
      <w:r w:rsidR="00A475FD" w:rsidRPr="00A475FD">
        <w:rPr>
          <w:i/>
          <w:sz w:val="22"/>
          <w:szCs w:val="22"/>
        </w:rPr>
        <w:t xml:space="preserve">2010 </w:t>
      </w:r>
      <w:r w:rsidRPr="00A475FD">
        <w:rPr>
          <w:i/>
          <w:sz w:val="22"/>
          <w:szCs w:val="22"/>
        </w:rPr>
        <w:t>Open Internet</w:t>
      </w:r>
      <w:r w:rsidRPr="00130DB7">
        <w:rPr>
          <w:sz w:val="22"/>
          <w:szCs w:val="22"/>
        </w:rPr>
        <w:t xml:space="preserve"> </w:t>
      </w:r>
      <w:r w:rsidR="00A475FD">
        <w:rPr>
          <w:i/>
          <w:sz w:val="22"/>
          <w:szCs w:val="22"/>
        </w:rPr>
        <w:t xml:space="preserve">Order </w:t>
      </w:r>
      <w:r w:rsidRPr="00130DB7">
        <w:rPr>
          <w:sz w:val="22"/>
          <w:szCs w:val="22"/>
        </w:rPr>
        <w:t xml:space="preserve">transparency rule, which had been upheld by the court in its decision </w:t>
      </w:r>
      <w:r w:rsidR="00521464">
        <w:rPr>
          <w:sz w:val="22"/>
          <w:szCs w:val="22"/>
        </w:rPr>
        <w:t>in 2014</w:t>
      </w:r>
      <w:r w:rsidRPr="00130DB7">
        <w:rPr>
          <w:sz w:val="22"/>
          <w:szCs w:val="22"/>
        </w:rPr>
        <w:t xml:space="preserve">.  The original rule, which the Commission reaffirmed, requires </w:t>
      </w:r>
      <w:r w:rsidR="004E1884">
        <w:rPr>
          <w:sz w:val="22"/>
          <w:szCs w:val="22"/>
        </w:rPr>
        <w:t>b</w:t>
      </w:r>
      <w:r w:rsidRPr="00130DB7">
        <w:rPr>
          <w:sz w:val="22"/>
          <w:szCs w:val="22"/>
        </w:rPr>
        <w:t xml:space="preserve">roadband Internet </w:t>
      </w:r>
      <w:r w:rsidR="004E1884">
        <w:rPr>
          <w:sz w:val="22"/>
          <w:szCs w:val="22"/>
        </w:rPr>
        <w:t>a</w:t>
      </w:r>
      <w:r w:rsidRPr="00130DB7">
        <w:rPr>
          <w:sz w:val="22"/>
          <w:szCs w:val="22"/>
        </w:rPr>
        <w:t xml:space="preserve">ccess </w:t>
      </w:r>
      <w:r w:rsidR="004E1884">
        <w:rPr>
          <w:sz w:val="22"/>
          <w:szCs w:val="22"/>
        </w:rPr>
        <w:t>s</w:t>
      </w:r>
      <w:r w:rsidRPr="00130DB7">
        <w:rPr>
          <w:sz w:val="22"/>
          <w:szCs w:val="22"/>
        </w:rPr>
        <w:t xml:space="preserve">ervice providers to publicly disclose </w:t>
      </w:r>
      <w:r w:rsidR="00023289">
        <w:rPr>
          <w:sz w:val="22"/>
          <w:szCs w:val="22"/>
        </w:rPr>
        <w:t xml:space="preserve">accurate </w:t>
      </w:r>
      <w:r w:rsidRPr="00130DB7">
        <w:rPr>
          <w:sz w:val="22"/>
          <w:szCs w:val="22"/>
        </w:rPr>
        <w:t>information regarding the network management practices, performance, and commercial terms of their offerings</w:t>
      </w:r>
      <w:r w:rsidR="00023289">
        <w:rPr>
          <w:sz w:val="22"/>
          <w:szCs w:val="22"/>
        </w:rPr>
        <w:t xml:space="preserve"> sufficient for consumers to make informed choices</w:t>
      </w:r>
      <w:r w:rsidRPr="00130DB7">
        <w:rPr>
          <w:sz w:val="22"/>
          <w:szCs w:val="22"/>
        </w:rPr>
        <w:t xml:space="preserve">.  In </w:t>
      </w:r>
      <w:r w:rsidR="00130DB7">
        <w:rPr>
          <w:sz w:val="22"/>
          <w:szCs w:val="22"/>
        </w:rPr>
        <w:t xml:space="preserve">the </w:t>
      </w:r>
      <w:r w:rsidR="00130DB7" w:rsidRPr="00130DB7">
        <w:rPr>
          <w:i/>
          <w:sz w:val="22"/>
          <w:szCs w:val="22"/>
        </w:rPr>
        <w:t>2015 Order</w:t>
      </w:r>
      <w:r w:rsidR="00A475FD">
        <w:rPr>
          <w:sz w:val="22"/>
          <w:szCs w:val="22"/>
        </w:rPr>
        <w:t xml:space="preserve">, the Commission </w:t>
      </w:r>
      <w:r w:rsidR="00023289">
        <w:rPr>
          <w:sz w:val="22"/>
          <w:szCs w:val="22"/>
        </w:rPr>
        <w:t xml:space="preserve">clarified that </w:t>
      </w:r>
      <w:r w:rsidRPr="00130DB7">
        <w:rPr>
          <w:sz w:val="22"/>
          <w:szCs w:val="22"/>
        </w:rPr>
        <w:t xml:space="preserve">providers </w:t>
      </w:r>
      <w:r w:rsidR="00023289">
        <w:rPr>
          <w:sz w:val="22"/>
          <w:szCs w:val="22"/>
        </w:rPr>
        <w:t xml:space="preserve">were required </w:t>
      </w:r>
      <w:r w:rsidR="004E5507">
        <w:rPr>
          <w:sz w:val="22"/>
          <w:szCs w:val="22"/>
        </w:rPr>
        <w:t xml:space="preserve">to </w:t>
      </w:r>
      <w:r w:rsidRPr="00130DB7">
        <w:rPr>
          <w:sz w:val="22"/>
          <w:szCs w:val="22"/>
        </w:rPr>
        <w:t xml:space="preserve">disclose promotional rates, fees and surcharges, and data caps, as well as more detailed information about network performance. </w:t>
      </w:r>
      <w:r w:rsidR="00130DB7">
        <w:rPr>
          <w:sz w:val="22"/>
          <w:szCs w:val="22"/>
        </w:rPr>
        <w:t xml:space="preserve"> </w:t>
      </w:r>
    </w:p>
    <w:p w14:paraId="6BD8BCFC" w14:textId="77777777" w:rsidR="009D090E" w:rsidRPr="00130DB7" w:rsidRDefault="009D090E" w:rsidP="009D090E">
      <w:pPr>
        <w:ind w:left="1440"/>
        <w:rPr>
          <w:sz w:val="22"/>
          <w:szCs w:val="22"/>
        </w:rPr>
      </w:pPr>
    </w:p>
    <w:p w14:paraId="74D711D8" w14:textId="355F97DD" w:rsidR="00AE6464" w:rsidRPr="00130DB7" w:rsidRDefault="009D090E" w:rsidP="009D090E">
      <w:pPr>
        <w:ind w:left="1440"/>
        <w:rPr>
          <w:sz w:val="22"/>
          <w:szCs w:val="22"/>
        </w:rPr>
      </w:pPr>
      <w:r w:rsidRPr="00130DB7">
        <w:rPr>
          <w:sz w:val="22"/>
          <w:szCs w:val="22"/>
        </w:rPr>
        <w:t xml:space="preserve">While the </w:t>
      </w:r>
      <w:r w:rsidR="00130DB7" w:rsidRPr="00130DB7">
        <w:rPr>
          <w:i/>
          <w:sz w:val="22"/>
          <w:szCs w:val="22"/>
        </w:rPr>
        <w:t xml:space="preserve">2015 </w:t>
      </w:r>
      <w:r w:rsidR="00130DB7" w:rsidRPr="00896AD6">
        <w:rPr>
          <w:i/>
          <w:sz w:val="22"/>
          <w:szCs w:val="22"/>
        </w:rPr>
        <w:t>Order</w:t>
      </w:r>
      <w:r w:rsidR="00896AD6">
        <w:rPr>
          <w:sz w:val="22"/>
          <w:szCs w:val="22"/>
        </w:rPr>
        <w:t xml:space="preserve">’s </w:t>
      </w:r>
      <w:r w:rsidRPr="00896AD6">
        <w:rPr>
          <w:sz w:val="22"/>
          <w:szCs w:val="22"/>
        </w:rPr>
        <w:t>bright</w:t>
      </w:r>
      <w:r w:rsidRPr="00130DB7">
        <w:rPr>
          <w:sz w:val="22"/>
          <w:szCs w:val="22"/>
        </w:rPr>
        <w:t xml:space="preserve"> line rules and general conduct standard went into effect earlier this year, the enhancements to the </w:t>
      </w:r>
      <w:r w:rsidR="008D3273">
        <w:rPr>
          <w:sz w:val="22"/>
          <w:szCs w:val="22"/>
        </w:rPr>
        <w:t>t</w:t>
      </w:r>
      <w:r w:rsidRPr="00130DB7">
        <w:rPr>
          <w:sz w:val="22"/>
          <w:szCs w:val="22"/>
        </w:rPr>
        <w:t xml:space="preserve">ransparency rule are still pending approval </w:t>
      </w:r>
      <w:r w:rsidR="00521464">
        <w:rPr>
          <w:sz w:val="22"/>
          <w:szCs w:val="22"/>
        </w:rPr>
        <w:t xml:space="preserve">from the Office of Management and Budget </w:t>
      </w:r>
      <w:r w:rsidR="00384AA7">
        <w:rPr>
          <w:sz w:val="22"/>
          <w:szCs w:val="22"/>
        </w:rPr>
        <w:t xml:space="preserve">(OMB) </w:t>
      </w:r>
      <w:r w:rsidR="00521464">
        <w:rPr>
          <w:sz w:val="22"/>
          <w:szCs w:val="22"/>
        </w:rPr>
        <w:t>because</w:t>
      </w:r>
      <w:r w:rsidR="00521464" w:rsidRPr="00130DB7">
        <w:rPr>
          <w:sz w:val="22"/>
          <w:szCs w:val="22"/>
        </w:rPr>
        <w:t xml:space="preserve"> </w:t>
      </w:r>
      <w:r w:rsidRPr="00130DB7">
        <w:rPr>
          <w:sz w:val="22"/>
          <w:szCs w:val="22"/>
        </w:rPr>
        <w:t>they were enhancement</w:t>
      </w:r>
      <w:r w:rsidR="00130DB7">
        <w:rPr>
          <w:sz w:val="22"/>
          <w:szCs w:val="22"/>
        </w:rPr>
        <w:t>s to an already existing rule.</w:t>
      </w:r>
      <w:r w:rsidR="00E33E50">
        <w:rPr>
          <w:sz w:val="22"/>
          <w:szCs w:val="22"/>
        </w:rPr>
        <w:t xml:space="preserve">  </w:t>
      </w:r>
    </w:p>
    <w:p w14:paraId="79D486DF" w14:textId="77777777" w:rsidR="00EB55A5" w:rsidRPr="00130DB7" w:rsidRDefault="00EB55A5" w:rsidP="009D090E">
      <w:pPr>
        <w:ind w:left="1440"/>
        <w:rPr>
          <w:sz w:val="22"/>
          <w:szCs w:val="22"/>
        </w:rPr>
      </w:pPr>
    </w:p>
    <w:p w14:paraId="69471F81" w14:textId="77777777" w:rsidR="009D090E" w:rsidRPr="00130DB7" w:rsidRDefault="00EB55A5" w:rsidP="00EB55A5">
      <w:pPr>
        <w:pStyle w:val="ListParagraph"/>
        <w:numPr>
          <w:ilvl w:val="0"/>
          <w:numId w:val="32"/>
        </w:numPr>
        <w:rPr>
          <w:b/>
          <w:sz w:val="22"/>
          <w:szCs w:val="22"/>
        </w:rPr>
      </w:pPr>
      <w:r w:rsidRPr="00130DB7">
        <w:rPr>
          <w:b/>
          <w:sz w:val="22"/>
          <w:szCs w:val="22"/>
        </w:rPr>
        <w:t xml:space="preserve">Small </w:t>
      </w:r>
      <w:r w:rsidR="004E1884">
        <w:rPr>
          <w:b/>
          <w:sz w:val="22"/>
          <w:szCs w:val="22"/>
        </w:rPr>
        <w:t>P</w:t>
      </w:r>
      <w:r w:rsidRPr="00130DB7">
        <w:rPr>
          <w:b/>
          <w:sz w:val="22"/>
          <w:szCs w:val="22"/>
        </w:rPr>
        <w:t xml:space="preserve">rovider </w:t>
      </w:r>
      <w:r w:rsidR="004E1884">
        <w:rPr>
          <w:b/>
          <w:sz w:val="22"/>
          <w:szCs w:val="22"/>
        </w:rPr>
        <w:t>E</w:t>
      </w:r>
      <w:r w:rsidRPr="00130DB7">
        <w:rPr>
          <w:b/>
          <w:sz w:val="22"/>
          <w:szCs w:val="22"/>
        </w:rPr>
        <w:t xml:space="preserve">xemption to the </w:t>
      </w:r>
      <w:r w:rsidR="004E1884">
        <w:rPr>
          <w:b/>
          <w:sz w:val="22"/>
          <w:szCs w:val="22"/>
        </w:rPr>
        <w:t>T</w:t>
      </w:r>
      <w:r w:rsidRPr="00130DB7">
        <w:rPr>
          <w:b/>
          <w:sz w:val="22"/>
          <w:szCs w:val="22"/>
        </w:rPr>
        <w:t xml:space="preserve">ransparency </w:t>
      </w:r>
      <w:r w:rsidR="004E1884">
        <w:rPr>
          <w:b/>
          <w:sz w:val="22"/>
          <w:szCs w:val="22"/>
        </w:rPr>
        <w:t>R</w:t>
      </w:r>
      <w:r w:rsidRPr="00130DB7">
        <w:rPr>
          <w:b/>
          <w:sz w:val="22"/>
          <w:szCs w:val="22"/>
        </w:rPr>
        <w:t>ule</w:t>
      </w:r>
    </w:p>
    <w:p w14:paraId="689099DD" w14:textId="77777777" w:rsidR="00EB55A5" w:rsidRPr="00130DB7" w:rsidRDefault="00EB55A5" w:rsidP="00EB55A5">
      <w:pPr>
        <w:pStyle w:val="ListParagraph"/>
        <w:ind w:left="1440"/>
        <w:rPr>
          <w:b/>
          <w:sz w:val="22"/>
          <w:szCs w:val="22"/>
        </w:rPr>
      </w:pPr>
    </w:p>
    <w:p w14:paraId="0E6B92BF" w14:textId="18574E66" w:rsidR="00EB55A5" w:rsidRPr="00130DB7" w:rsidRDefault="00234D49" w:rsidP="00EB55A5">
      <w:pPr>
        <w:pStyle w:val="ListParagraph"/>
        <w:ind w:left="1440"/>
        <w:rPr>
          <w:sz w:val="22"/>
          <w:szCs w:val="22"/>
        </w:rPr>
      </w:pPr>
      <w:r>
        <w:rPr>
          <w:sz w:val="22"/>
          <w:szCs w:val="22"/>
        </w:rPr>
        <w:t>B</w:t>
      </w:r>
      <w:r w:rsidR="00EB55A5" w:rsidRPr="00130DB7">
        <w:rPr>
          <w:sz w:val="22"/>
          <w:szCs w:val="22"/>
        </w:rPr>
        <w:t>roadband providers with 100,000 or fewer subscribers</w:t>
      </w:r>
      <w:r>
        <w:rPr>
          <w:sz w:val="22"/>
          <w:szCs w:val="22"/>
        </w:rPr>
        <w:t xml:space="preserve"> are exempt from the enhanced transparency requirements until December 15, 2016</w:t>
      </w:r>
      <w:r w:rsidRPr="00130DB7">
        <w:rPr>
          <w:sz w:val="22"/>
          <w:szCs w:val="22"/>
        </w:rPr>
        <w:t xml:space="preserve">.  </w:t>
      </w:r>
    </w:p>
    <w:p w14:paraId="4FE96C99" w14:textId="77777777" w:rsidR="00EB55A5" w:rsidRPr="00130DB7" w:rsidRDefault="00EB55A5" w:rsidP="00EB55A5">
      <w:pPr>
        <w:pStyle w:val="ListParagraph"/>
        <w:ind w:left="1440"/>
        <w:rPr>
          <w:b/>
          <w:sz w:val="22"/>
          <w:szCs w:val="22"/>
        </w:rPr>
      </w:pPr>
    </w:p>
    <w:p w14:paraId="48F800CC" w14:textId="77777777" w:rsidR="00A352CB" w:rsidRPr="00130DB7" w:rsidRDefault="008426C5" w:rsidP="00611EB4">
      <w:pPr>
        <w:numPr>
          <w:ilvl w:val="0"/>
          <w:numId w:val="12"/>
        </w:numPr>
        <w:tabs>
          <w:tab w:val="clear" w:pos="2520"/>
          <w:tab w:val="num" w:pos="720"/>
        </w:tabs>
        <w:ind w:left="720"/>
        <w:rPr>
          <w:b/>
          <w:sz w:val="22"/>
          <w:szCs w:val="22"/>
        </w:rPr>
      </w:pPr>
      <w:r w:rsidRPr="00130DB7">
        <w:rPr>
          <w:b/>
          <w:sz w:val="22"/>
          <w:szCs w:val="22"/>
        </w:rPr>
        <w:t>Scope of the Rules</w:t>
      </w:r>
    </w:p>
    <w:p w14:paraId="6D437C6E" w14:textId="77777777" w:rsidR="00A352CB" w:rsidRPr="00130DB7" w:rsidRDefault="00A352CB" w:rsidP="00611EB4">
      <w:pPr>
        <w:tabs>
          <w:tab w:val="num" w:pos="360"/>
        </w:tabs>
        <w:rPr>
          <w:caps/>
          <w:sz w:val="22"/>
          <w:szCs w:val="22"/>
          <w:u w:val="single"/>
        </w:rPr>
      </w:pPr>
    </w:p>
    <w:p w14:paraId="51097E7F" w14:textId="77777777" w:rsidR="00611EB4" w:rsidRPr="00130DB7" w:rsidRDefault="00611EB4" w:rsidP="00611EB4">
      <w:pPr>
        <w:numPr>
          <w:ilvl w:val="0"/>
          <w:numId w:val="29"/>
        </w:numPr>
        <w:rPr>
          <w:b/>
          <w:sz w:val="22"/>
          <w:szCs w:val="22"/>
        </w:rPr>
      </w:pPr>
      <w:r w:rsidRPr="00130DB7">
        <w:rPr>
          <w:b/>
          <w:sz w:val="22"/>
          <w:szCs w:val="22"/>
        </w:rPr>
        <w:t xml:space="preserve">Broadband Internet </w:t>
      </w:r>
      <w:r w:rsidR="004E1884">
        <w:rPr>
          <w:b/>
          <w:sz w:val="22"/>
          <w:szCs w:val="22"/>
        </w:rPr>
        <w:t>A</w:t>
      </w:r>
      <w:r w:rsidRPr="00130DB7">
        <w:rPr>
          <w:b/>
          <w:sz w:val="22"/>
          <w:szCs w:val="22"/>
        </w:rPr>
        <w:t xml:space="preserve">ccess </w:t>
      </w:r>
      <w:r w:rsidR="004E1884">
        <w:rPr>
          <w:b/>
          <w:sz w:val="22"/>
          <w:szCs w:val="22"/>
        </w:rPr>
        <w:t>S</w:t>
      </w:r>
      <w:r w:rsidRPr="00130DB7">
        <w:rPr>
          <w:b/>
          <w:sz w:val="22"/>
          <w:szCs w:val="22"/>
        </w:rPr>
        <w:t>ervice</w:t>
      </w:r>
    </w:p>
    <w:p w14:paraId="7446B5C2" w14:textId="77777777" w:rsidR="00611EB4" w:rsidRPr="00130DB7" w:rsidRDefault="00611EB4" w:rsidP="00611EB4">
      <w:pPr>
        <w:ind w:left="1080"/>
        <w:rPr>
          <w:b/>
          <w:sz w:val="22"/>
          <w:szCs w:val="22"/>
        </w:rPr>
      </w:pPr>
    </w:p>
    <w:p w14:paraId="57B7DBB2" w14:textId="73D3E2C1" w:rsidR="00611EB4" w:rsidRPr="00130DB7" w:rsidRDefault="0060401C" w:rsidP="00611EB4">
      <w:pPr>
        <w:pStyle w:val="ParaNum"/>
        <w:numPr>
          <w:ilvl w:val="0"/>
          <w:numId w:val="0"/>
        </w:numPr>
        <w:spacing w:after="0"/>
        <w:ind w:left="1080"/>
        <w:rPr>
          <w:color w:val="010101"/>
          <w:szCs w:val="22"/>
        </w:rPr>
      </w:pPr>
      <w:r w:rsidRPr="00130DB7">
        <w:rPr>
          <w:szCs w:val="22"/>
        </w:rPr>
        <w:t xml:space="preserve">The open Internet rules </w:t>
      </w:r>
      <w:r w:rsidR="001947A3" w:rsidRPr="00130DB7">
        <w:rPr>
          <w:szCs w:val="22"/>
        </w:rPr>
        <w:t>adopt</w:t>
      </w:r>
      <w:r w:rsidR="00DD7F60">
        <w:rPr>
          <w:szCs w:val="22"/>
        </w:rPr>
        <w:t>ed by the Commission</w:t>
      </w:r>
      <w:r w:rsidR="001947A3" w:rsidRPr="00130DB7">
        <w:rPr>
          <w:szCs w:val="22"/>
        </w:rPr>
        <w:t xml:space="preserve"> </w:t>
      </w:r>
      <w:r w:rsidRPr="00130DB7">
        <w:rPr>
          <w:szCs w:val="22"/>
        </w:rPr>
        <w:t>apply to fixed and mobile broadband Internet access service</w:t>
      </w:r>
      <w:r w:rsidR="004E1884">
        <w:rPr>
          <w:szCs w:val="22"/>
        </w:rPr>
        <w:t xml:space="preserve">.  </w:t>
      </w:r>
      <w:r w:rsidR="00A475FD">
        <w:rPr>
          <w:szCs w:val="22"/>
        </w:rPr>
        <w:t>W</w:t>
      </w:r>
      <w:r w:rsidRPr="00130DB7">
        <w:rPr>
          <w:szCs w:val="22"/>
        </w:rPr>
        <w:t xml:space="preserve">hile the definition of broadband Internet access service encompasses arrangements for the exchange of Internet traffic, the open Internet rules do not apply to that portion of broadband Internet access service.  </w:t>
      </w:r>
      <w:r w:rsidR="008426C5" w:rsidRPr="00130DB7">
        <w:rPr>
          <w:color w:val="010101"/>
          <w:szCs w:val="22"/>
        </w:rPr>
        <w:t>[</w:t>
      </w:r>
      <w:r w:rsidR="008426C5" w:rsidRPr="004E1884">
        <w:rPr>
          <w:i/>
          <w:color w:val="010101"/>
          <w:szCs w:val="22"/>
        </w:rPr>
        <w:t>See also</w:t>
      </w:r>
      <w:r w:rsidR="008426C5" w:rsidRPr="00130DB7">
        <w:rPr>
          <w:color w:val="010101"/>
          <w:szCs w:val="22"/>
        </w:rPr>
        <w:t xml:space="preserve"> 47 C.F.R. §§ 8.</w:t>
      </w:r>
      <w:r w:rsidRPr="00130DB7">
        <w:rPr>
          <w:color w:val="010101"/>
          <w:szCs w:val="22"/>
        </w:rPr>
        <w:t>5</w:t>
      </w:r>
      <w:r w:rsidR="008426C5" w:rsidRPr="00130DB7">
        <w:rPr>
          <w:color w:val="010101"/>
          <w:szCs w:val="22"/>
        </w:rPr>
        <w:t>, 8.</w:t>
      </w:r>
      <w:r w:rsidRPr="00130DB7">
        <w:rPr>
          <w:color w:val="010101"/>
          <w:szCs w:val="22"/>
        </w:rPr>
        <w:t>7</w:t>
      </w:r>
      <w:r w:rsidR="008426C5" w:rsidRPr="00130DB7">
        <w:rPr>
          <w:color w:val="010101"/>
          <w:szCs w:val="22"/>
        </w:rPr>
        <w:t>, 8.</w:t>
      </w:r>
      <w:r w:rsidRPr="00130DB7">
        <w:rPr>
          <w:color w:val="010101"/>
          <w:szCs w:val="22"/>
        </w:rPr>
        <w:t>9</w:t>
      </w:r>
      <w:r w:rsidR="008426C5" w:rsidRPr="00130DB7">
        <w:rPr>
          <w:color w:val="010101"/>
          <w:szCs w:val="22"/>
        </w:rPr>
        <w:t>]</w:t>
      </w:r>
    </w:p>
    <w:p w14:paraId="43741E32" w14:textId="77777777" w:rsidR="00611EB4" w:rsidRPr="00130DB7" w:rsidRDefault="00611EB4" w:rsidP="00611EB4">
      <w:pPr>
        <w:pStyle w:val="ParaNum"/>
        <w:numPr>
          <w:ilvl w:val="0"/>
          <w:numId w:val="0"/>
        </w:numPr>
        <w:spacing w:after="0"/>
        <w:ind w:left="1080"/>
        <w:rPr>
          <w:color w:val="010101"/>
          <w:szCs w:val="22"/>
        </w:rPr>
      </w:pPr>
    </w:p>
    <w:p w14:paraId="58B73888" w14:textId="77777777" w:rsidR="004E1884" w:rsidRDefault="0060401C" w:rsidP="00611EB4">
      <w:pPr>
        <w:pStyle w:val="ParaNum"/>
        <w:numPr>
          <w:ilvl w:val="0"/>
          <w:numId w:val="0"/>
        </w:numPr>
        <w:spacing w:after="0"/>
        <w:ind w:left="1080"/>
        <w:rPr>
          <w:szCs w:val="22"/>
        </w:rPr>
      </w:pPr>
      <w:r w:rsidRPr="00130DB7">
        <w:rPr>
          <w:szCs w:val="22"/>
          <w:lang w:bidi="en-US"/>
        </w:rPr>
        <w:t>Br</w:t>
      </w:r>
      <w:r w:rsidR="004E1884">
        <w:rPr>
          <w:szCs w:val="22"/>
          <w:lang w:bidi="en-US"/>
        </w:rPr>
        <w:t>oadband Internet access service</w:t>
      </w:r>
      <w:r w:rsidRPr="00130DB7">
        <w:rPr>
          <w:szCs w:val="22"/>
          <w:lang w:bidi="en-US"/>
        </w:rPr>
        <w:t xml:space="preserve"> continues to include services provided over any technology platform, including but not limited to wire, terrestrial wireless (including fixed and mobile wireless services using licensed or unlicensed spectrum), and satellite. </w:t>
      </w:r>
      <w:r w:rsidRPr="00130DB7">
        <w:rPr>
          <w:szCs w:val="22"/>
        </w:rPr>
        <w:t xml:space="preserve"> </w:t>
      </w:r>
    </w:p>
    <w:p w14:paraId="0800A77B" w14:textId="77777777" w:rsidR="004E1884" w:rsidRDefault="004E1884" w:rsidP="00611EB4">
      <w:pPr>
        <w:pStyle w:val="ParaNum"/>
        <w:numPr>
          <w:ilvl w:val="0"/>
          <w:numId w:val="0"/>
        </w:numPr>
        <w:spacing w:after="0"/>
        <w:ind w:left="1080"/>
        <w:rPr>
          <w:szCs w:val="22"/>
        </w:rPr>
      </w:pPr>
    </w:p>
    <w:p w14:paraId="1C25C6A5" w14:textId="0B843913" w:rsidR="00AE0E28" w:rsidRPr="00130DB7" w:rsidRDefault="0060401C" w:rsidP="00611EB4">
      <w:pPr>
        <w:pStyle w:val="ParaNum"/>
        <w:numPr>
          <w:ilvl w:val="0"/>
          <w:numId w:val="0"/>
        </w:numPr>
        <w:spacing w:after="0"/>
        <w:ind w:left="1080"/>
        <w:rPr>
          <w:szCs w:val="22"/>
        </w:rPr>
      </w:pPr>
      <w:r w:rsidRPr="00130DB7">
        <w:rPr>
          <w:szCs w:val="22"/>
        </w:rPr>
        <w:t>Broadband Internet access service</w:t>
      </w:r>
      <w:r w:rsidRPr="00130DB7">
        <w:rPr>
          <w:szCs w:val="22"/>
          <w:lang w:bidi="en-US"/>
        </w:rPr>
        <w:t xml:space="preserve"> </w:t>
      </w:r>
      <w:r w:rsidRPr="00130DB7">
        <w:rPr>
          <w:szCs w:val="22"/>
        </w:rPr>
        <w:t>encompasses all providers of broadband Internet access service, as we delineate them here, regardless of whether they lease or own the facilities used to provide the service.</w:t>
      </w:r>
      <w:r w:rsidRPr="00130DB7">
        <w:rPr>
          <w:szCs w:val="22"/>
          <w:lang w:bidi="en-US"/>
        </w:rPr>
        <w:t xml:space="preserve">  </w:t>
      </w:r>
    </w:p>
    <w:p w14:paraId="70425AD1" w14:textId="77777777" w:rsidR="00611EB4" w:rsidRPr="00130DB7" w:rsidRDefault="00611EB4" w:rsidP="00611EB4">
      <w:pPr>
        <w:pStyle w:val="ParaNum"/>
        <w:numPr>
          <w:ilvl w:val="0"/>
          <w:numId w:val="0"/>
        </w:numPr>
        <w:spacing w:after="0"/>
        <w:ind w:left="1080"/>
        <w:rPr>
          <w:szCs w:val="22"/>
        </w:rPr>
      </w:pPr>
    </w:p>
    <w:p w14:paraId="3CA2EA94" w14:textId="77777777" w:rsidR="00611EB4" w:rsidRPr="00130DB7" w:rsidRDefault="00611EB4" w:rsidP="00611EB4">
      <w:pPr>
        <w:pStyle w:val="ParaNum"/>
        <w:numPr>
          <w:ilvl w:val="0"/>
          <w:numId w:val="29"/>
        </w:numPr>
        <w:spacing w:after="0"/>
        <w:rPr>
          <w:b/>
          <w:szCs w:val="22"/>
        </w:rPr>
      </w:pPr>
      <w:r w:rsidRPr="00130DB7">
        <w:rPr>
          <w:b/>
          <w:szCs w:val="22"/>
        </w:rPr>
        <w:t xml:space="preserve">Internet </w:t>
      </w:r>
      <w:r w:rsidR="00B94D4E">
        <w:rPr>
          <w:b/>
          <w:szCs w:val="22"/>
        </w:rPr>
        <w:t>T</w:t>
      </w:r>
      <w:r w:rsidRPr="00130DB7">
        <w:rPr>
          <w:b/>
          <w:szCs w:val="22"/>
        </w:rPr>
        <w:t xml:space="preserve">raffic </w:t>
      </w:r>
      <w:r w:rsidR="00B94D4E">
        <w:rPr>
          <w:b/>
          <w:szCs w:val="22"/>
        </w:rPr>
        <w:t>E</w:t>
      </w:r>
      <w:r w:rsidRPr="00130DB7">
        <w:rPr>
          <w:b/>
          <w:szCs w:val="22"/>
        </w:rPr>
        <w:t>xchange</w:t>
      </w:r>
    </w:p>
    <w:p w14:paraId="4BAF16E2" w14:textId="77777777" w:rsidR="00611EB4" w:rsidRDefault="00611EB4" w:rsidP="00371777">
      <w:pPr>
        <w:pStyle w:val="ParaNum"/>
        <w:numPr>
          <w:ilvl w:val="0"/>
          <w:numId w:val="0"/>
        </w:numPr>
        <w:spacing w:after="0"/>
        <w:rPr>
          <w:szCs w:val="22"/>
        </w:rPr>
      </w:pPr>
    </w:p>
    <w:p w14:paraId="26715056" w14:textId="56E25373" w:rsidR="00371777" w:rsidRPr="00130DB7" w:rsidRDefault="00371777" w:rsidP="00371777">
      <w:pPr>
        <w:pStyle w:val="ParaNum"/>
        <w:numPr>
          <w:ilvl w:val="0"/>
          <w:numId w:val="0"/>
        </w:numPr>
        <w:spacing w:after="0"/>
        <w:ind w:left="1080"/>
        <w:rPr>
          <w:szCs w:val="22"/>
        </w:rPr>
      </w:pPr>
      <w:r w:rsidRPr="00130DB7">
        <w:rPr>
          <w:szCs w:val="22"/>
        </w:rPr>
        <w:t xml:space="preserve">The </w:t>
      </w:r>
      <w:r>
        <w:rPr>
          <w:szCs w:val="22"/>
        </w:rPr>
        <w:t>d</w:t>
      </w:r>
      <w:r w:rsidRPr="00130DB7">
        <w:rPr>
          <w:szCs w:val="22"/>
        </w:rPr>
        <w:t xml:space="preserve">efinition </w:t>
      </w:r>
      <w:r>
        <w:rPr>
          <w:szCs w:val="22"/>
        </w:rPr>
        <w:t>of</w:t>
      </w:r>
      <w:r w:rsidRPr="00130DB7">
        <w:rPr>
          <w:szCs w:val="22"/>
          <w:lang w:bidi="en-US"/>
        </w:rPr>
        <w:t xml:space="preserve"> broadband </w:t>
      </w:r>
      <w:r w:rsidRPr="00130DB7">
        <w:rPr>
          <w:szCs w:val="22"/>
        </w:rPr>
        <w:t>Internet</w:t>
      </w:r>
      <w:r w:rsidRPr="00130DB7">
        <w:rPr>
          <w:szCs w:val="22"/>
          <w:lang w:bidi="en-US"/>
        </w:rPr>
        <w:t xml:space="preserve"> access service includes the exchange of Internet traffic by an edge provider or an intermediary with the broadband provider’s network.  </w:t>
      </w:r>
      <w:r>
        <w:rPr>
          <w:szCs w:val="22"/>
          <w:lang w:bidi="en-US"/>
        </w:rPr>
        <w:t>The Commission</w:t>
      </w:r>
      <w:r w:rsidRPr="00130DB7">
        <w:rPr>
          <w:szCs w:val="22"/>
        </w:rPr>
        <w:t xml:space="preserve"> note</w:t>
      </w:r>
      <w:r>
        <w:rPr>
          <w:szCs w:val="22"/>
        </w:rPr>
        <w:t>d</w:t>
      </w:r>
      <w:r w:rsidRPr="00130DB7">
        <w:rPr>
          <w:szCs w:val="22"/>
        </w:rPr>
        <w:t xml:space="preserve"> that anticompetitive and discriminatory practices in this portion of broadband Internet access service can have a deleterious effect on the open Internet, and </w:t>
      </w:r>
      <w:r>
        <w:rPr>
          <w:szCs w:val="22"/>
        </w:rPr>
        <w:t xml:space="preserve">will review practices on a case-by-case basis under sections 201 and 202 of the Communications Act of 1934, as amended (Act). </w:t>
      </w:r>
    </w:p>
    <w:p w14:paraId="73F8AF7D" w14:textId="26FF5886" w:rsidR="00371777" w:rsidRPr="00130DB7" w:rsidRDefault="00371777" w:rsidP="00EE67DC">
      <w:pPr>
        <w:pStyle w:val="ParaNum"/>
        <w:numPr>
          <w:ilvl w:val="0"/>
          <w:numId w:val="0"/>
        </w:numPr>
        <w:spacing w:after="0"/>
        <w:ind w:left="1080"/>
        <w:rPr>
          <w:szCs w:val="22"/>
        </w:rPr>
      </w:pPr>
    </w:p>
    <w:p w14:paraId="170DB438" w14:textId="77777777" w:rsidR="00611EB4" w:rsidRPr="00130DB7" w:rsidRDefault="00611EB4" w:rsidP="00611EB4">
      <w:pPr>
        <w:pStyle w:val="ParaNum"/>
        <w:numPr>
          <w:ilvl w:val="0"/>
          <w:numId w:val="29"/>
        </w:numPr>
        <w:spacing w:after="0"/>
        <w:rPr>
          <w:b/>
          <w:szCs w:val="22"/>
        </w:rPr>
      </w:pPr>
      <w:r w:rsidRPr="00130DB7">
        <w:rPr>
          <w:b/>
          <w:szCs w:val="22"/>
        </w:rPr>
        <w:t xml:space="preserve">Non-BIAS </w:t>
      </w:r>
      <w:r w:rsidR="00DF6594">
        <w:rPr>
          <w:b/>
          <w:szCs w:val="22"/>
        </w:rPr>
        <w:t>Data S</w:t>
      </w:r>
      <w:r w:rsidRPr="00130DB7">
        <w:rPr>
          <w:b/>
          <w:szCs w:val="22"/>
        </w:rPr>
        <w:t>ervices</w:t>
      </w:r>
    </w:p>
    <w:p w14:paraId="03C79333" w14:textId="77777777" w:rsidR="00611EB4" w:rsidRPr="00130DB7" w:rsidRDefault="00611EB4" w:rsidP="00611EB4">
      <w:pPr>
        <w:pStyle w:val="ParaNum"/>
        <w:numPr>
          <w:ilvl w:val="0"/>
          <w:numId w:val="0"/>
        </w:numPr>
        <w:spacing w:after="0"/>
        <w:ind w:firstLine="720"/>
        <w:rPr>
          <w:b/>
          <w:szCs w:val="22"/>
        </w:rPr>
      </w:pPr>
    </w:p>
    <w:p w14:paraId="1A66D09D" w14:textId="7EDC7978" w:rsidR="00DF6594" w:rsidRDefault="00611EB4" w:rsidP="00DF6594">
      <w:pPr>
        <w:pStyle w:val="ParaNum"/>
        <w:numPr>
          <w:ilvl w:val="0"/>
          <w:numId w:val="0"/>
        </w:numPr>
        <w:spacing w:after="0"/>
        <w:ind w:left="1080"/>
        <w:rPr>
          <w:szCs w:val="22"/>
        </w:rPr>
      </w:pPr>
      <w:r w:rsidRPr="00130DB7">
        <w:rPr>
          <w:szCs w:val="22"/>
        </w:rPr>
        <w:t>Non-BIAS data services</w:t>
      </w:r>
      <w:r w:rsidR="00FD567B">
        <w:rPr>
          <w:szCs w:val="22"/>
        </w:rPr>
        <w:t>, which are not subject to the conduct-based rules,</w:t>
      </w:r>
      <w:r w:rsidRPr="00130DB7">
        <w:rPr>
          <w:szCs w:val="22"/>
        </w:rPr>
        <w:t xml:space="preserve"> may generally share the following characteristics.  First, these services are not used to reach large parts of the Internet.  Second, these services are not a generic platform—but rather a specific “application level” service.  </w:t>
      </w:r>
      <w:r w:rsidR="00DF6594">
        <w:rPr>
          <w:szCs w:val="22"/>
        </w:rPr>
        <w:t>T</w:t>
      </w:r>
      <w:r w:rsidRPr="00130DB7">
        <w:rPr>
          <w:szCs w:val="22"/>
        </w:rPr>
        <w:t xml:space="preserve">hird, these services use some form of network management to isolate the capacity used by these services from that used by broadband Internet access services. </w:t>
      </w:r>
    </w:p>
    <w:p w14:paraId="755DDCA4" w14:textId="77777777" w:rsidR="00611EB4" w:rsidRPr="00130DB7" w:rsidRDefault="00611EB4" w:rsidP="00DF6594">
      <w:pPr>
        <w:pStyle w:val="ParaNum"/>
        <w:numPr>
          <w:ilvl w:val="0"/>
          <w:numId w:val="0"/>
        </w:numPr>
        <w:spacing w:after="0"/>
        <w:ind w:left="1080"/>
        <w:rPr>
          <w:szCs w:val="22"/>
        </w:rPr>
      </w:pPr>
      <w:r w:rsidRPr="00130DB7">
        <w:rPr>
          <w:szCs w:val="22"/>
        </w:rPr>
        <w:t xml:space="preserve">     </w:t>
      </w:r>
    </w:p>
    <w:p w14:paraId="2CE675F7" w14:textId="482EAD95" w:rsidR="00D55BF6" w:rsidRPr="00130DB7" w:rsidRDefault="003D347A" w:rsidP="00DF6594">
      <w:pPr>
        <w:pStyle w:val="ParaNum"/>
        <w:numPr>
          <w:ilvl w:val="0"/>
          <w:numId w:val="0"/>
        </w:numPr>
        <w:spacing w:after="0"/>
        <w:ind w:left="1080"/>
        <w:rPr>
          <w:szCs w:val="22"/>
        </w:rPr>
      </w:pPr>
      <w:r>
        <w:rPr>
          <w:szCs w:val="22"/>
        </w:rPr>
        <w:t>The Commission</w:t>
      </w:r>
      <w:r w:rsidR="00D55BF6" w:rsidRPr="00130DB7">
        <w:rPr>
          <w:szCs w:val="22"/>
        </w:rPr>
        <w:t xml:space="preserve"> provide</w:t>
      </w:r>
      <w:r>
        <w:rPr>
          <w:szCs w:val="22"/>
        </w:rPr>
        <w:t>d</w:t>
      </w:r>
      <w:r w:rsidR="00D55BF6" w:rsidRPr="00130DB7">
        <w:rPr>
          <w:szCs w:val="22"/>
        </w:rPr>
        <w:t xml:space="preserve"> the following examples of services and characteristics of those services that, at this time, likely fit within the category of services</w:t>
      </w:r>
      <w:r w:rsidR="00DF6594">
        <w:rPr>
          <w:szCs w:val="22"/>
        </w:rPr>
        <w:t>, and thus</w:t>
      </w:r>
      <w:r w:rsidR="00D55BF6" w:rsidRPr="00130DB7">
        <w:rPr>
          <w:szCs w:val="22"/>
        </w:rPr>
        <w:t xml:space="preserve"> </w:t>
      </w:r>
      <w:r w:rsidR="00EC2AC2">
        <w:rPr>
          <w:szCs w:val="22"/>
        </w:rPr>
        <w:t xml:space="preserve">are </w:t>
      </w:r>
      <w:r w:rsidR="00D55BF6" w:rsidRPr="00130DB7">
        <w:rPr>
          <w:szCs w:val="22"/>
        </w:rPr>
        <w:t xml:space="preserve">not subject to </w:t>
      </w:r>
      <w:r>
        <w:rPr>
          <w:szCs w:val="22"/>
        </w:rPr>
        <w:t>the</w:t>
      </w:r>
      <w:r w:rsidR="00D55BF6" w:rsidRPr="00130DB7">
        <w:rPr>
          <w:szCs w:val="22"/>
        </w:rPr>
        <w:t xml:space="preserve"> conduct-based rules:  </w:t>
      </w:r>
    </w:p>
    <w:p w14:paraId="20485E46" w14:textId="77777777" w:rsidR="00D55BF6" w:rsidRPr="00130DB7" w:rsidRDefault="00D55BF6" w:rsidP="00D55BF6">
      <w:pPr>
        <w:pStyle w:val="ParaNum"/>
        <w:numPr>
          <w:ilvl w:val="0"/>
          <w:numId w:val="0"/>
        </w:numPr>
        <w:spacing w:after="0"/>
        <w:ind w:left="1080"/>
        <w:rPr>
          <w:szCs w:val="22"/>
        </w:rPr>
      </w:pPr>
    </w:p>
    <w:p w14:paraId="1355593B" w14:textId="77777777" w:rsidR="00D55BF6" w:rsidRPr="00130DB7" w:rsidRDefault="00D55BF6" w:rsidP="00D55BF6">
      <w:pPr>
        <w:pStyle w:val="ParaNum"/>
        <w:numPr>
          <w:ilvl w:val="0"/>
          <w:numId w:val="30"/>
        </w:numPr>
        <w:spacing w:after="0"/>
        <w:rPr>
          <w:szCs w:val="22"/>
        </w:rPr>
      </w:pPr>
      <w:r w:rsidRPr="00130DB7">
        <w:rPr>
          <w:szCs w:val="22"/>
        </w:rPr>
        <w:t>Some broadband providers’ existing facilities-based VoIP and Internet Protocol-video offerings.</w:t>
      </w:r>
    </w:p>
    <w:p w14:paraId="4C4CEFF2" w14:textId="6A8E4187" w:rsidR="00D55BF6" w:rsidRPr="00130DB7" w:rsidRDefault="00D55BF6" w:rsidP="00D55BF6">
      <w:pPr>
        <w:pStyle w:val="ParaNum"/>
        <w:numPr>
          <w:ilvl w:val="0"/>
          <w:numId w:val="30"/>
        </w:numPr>
        <w:spacing w:after="0"/>
        <w:rPr>
          <w:szCs w:val="22"/>
        </w:rPr>
      </w:pPr>
      <w:r w:rsidRPr="00130DB7">
        <w:rPr>
          <w:szCs w:val="22"/>
        </w:rPr>
        <w:t xml:space="preserve">Connectivity bundled with e-readers, heart monitors, or energy consumption sensors would also be considered </w:t>
      </w:r>
      <w:r w:rsidR="00EE67DC">
        <w:rPr>
          <w:szCs w:val="22"/>
        </w:rPr>
        <w:t>non-BIAS</w:t>
      </w:r>
      <w:r w:rsidR="00EE67DC" w:rsidRPr="00130DB7">
        <w:rPr>
          <w:szCs w:val="22"/>
        </w:rPr>
        <w:t xml:space="preserve"> </w:t>
      </w:r>
      <w:r w:rsidRPr="00130DB7">
        <w:rPr>
          <w:szCs w:val="22"/>
        </w:rPr>
        <w:t xml:space="preserve">data services to the extent these services are provided by broadband providers over last-mile capacity shared with broadband Internet access service.   </w:t>
      </w:r>
    </w:p>
    <w:p w14:paraId="3E9DE3A4" w14:textId="6B84C8EE" w:rsidR="00611EB4" w:rsidRPr="00130DB7" w:rsidRDefault="00D55BF6" w:rsidP="00D55BF6">
      <w:pPr>
        <w:pStyle w:val="ParaNum"/>
        <w:numPr>
          <w:ilvl w:val="0"/>
          <w:numId w:val="30"/>
        </w:numPr>
        <w:spacing w:after="0"/>
        <w:rPr>
          <w:szCs w:val="22"/>
        </w:rPr>
      </w:pPr>
      <w:r w:rsidRPr="00130DB7">
        <w:rPr>
          <w:szCs w:val="22"/>
        </w:rPr>
        <w:t xml:space="preserve">Additional examples may include limited-purpose devices such as automobile telematics, and services that provide schools with curriculum-approved applications and content. </w:t>
      </w:r>
      <w:r w:rsidR="003D347A">
        <w:rPr>
          <w:szCs w:val="22"/>
        </w:rPr>
        <w:t xml:space="preserve"> </w:t>
      </w:r>
    </w:p>
    <w:p w14:paraId="4A32E46B" w14:textId="77777777" w:rsidR="00D55BF6" w:rsidRPr="00130DB7" w:rsidRDefault="00D55BF6" w:rsidP="00D55BF6">
      <w:pPr>
        <w:pStyle w:val="ParaNum"/>
        <w:numPr>
          <w:ilvl w:val="0"/>
          <w:numId w:val="0"/>
        </w:numPr>
        <w:spacing w:after="0"/>
        <w:ind w:left="1800"/>
        <w:rPr>
          <w:szCs w:val="22"/>
        </w:rPr>
      </w:pPr>
    </w:p>
    <w:p w14:paraId="1D71AE8C" w14:textId="77777777" w:rsidR="00D55BF6" w:rsidRPr="00130DB7" w:rsidRDefault="00D55BF6" w:rsidP="00D55BF6">
      <w:pPr>
        <w:pStyle w:val="ParaNum"/>
        <w:numPr>
          <w:ilvl w:val="0"/>
          <w:numId w:val="29"/>
        </w:numPr>
        <w:spacing w:after="0"/>
        <w:rPr>
          <w:b/>
          <w:szCs w:val="22"/>
        </w:rPr>
      </w:pPr>
      <w:r w:rsidRPr="00130DB7">
        <w:rPr>
          <w:b/>
          <w:szCs w:val="22"/>
        </w:rPr>
        <w:t>Reasonable Network Management</w:t>
      </w:r>
    </w:p>
    <w:p w14:paraId="2D41E3E3" w14:textId="77777777" w:rsidR="00D55BF6" w:rsidRPr="00130DB7" w:rsidRDefault="00D55BF6" w:rsidP="00D55BF6">
      <w:pPr>
        <w:pStyle w:val="ParaNum"/>
        <w:numPr>
          <w:ilvl w:val="0"/>
          <w:numId w:val="0"/>
        </w:numPr>
        <w:spacing w:after="0"/>
        <w:ind w:left="1080"/>
        <w:rPr>
          <w:b/>
          <w:szCs w:val="22"/>
        </w:rPr>
      </w:pPr>
    </w:p>
    <w:p w14:paraId="53D049B0" w14:textId="15A85316" w:rsidR="00D55BF6" w:rsidRPr="00130DB7" w:rsidRDefault="00D55BF6">
      <w:pPr>
        <w:pStyle w:val="ParaNum"/>
        <w:numPr>
          <w:ilvl w:val="0"/>
          <w:numId w:val="0"/>
        </w:numPr>
        <w:spacing w:after="0"/>
        <w:ind w:left="1080"/>
        <w:rPr>
          <w:szCs w:val="22"/>
        </w:rPr>
      </w:pPr>
      <w:r w:rsidRPr="00130DB7">
        <w:rPr>
          <w:szCs w:val="22"/>
        </w:rPr>
        <w:t xml:space="preserve">The </w:t>
      </w:r>
      <w:r w:rsidR="00FB4F9A" w:rsidRPr="00130DB7">
        <w:rPr>
          <w:i/>
          <w:szCs w:val="22"/>
        </w:rPr>
        <w:t xml:space="preserve">2015 Order </w:t>
      </w:r>
      <w:r w:rsidRPr="00130DB7">
        <w:rPr>
          <w:szCs w:val="22"/>
        </w:rPr>
        <w:t xml:space="preserve">retains a reasonable network management exception to the no-blocking rule, the no-throttling rule, and the no-unreasonable interference/disadvantage standard </w:t>
      </w:r>
      <w:r w:rsidR="00C114DF">
        <w:rPr>
          <w:szCs w:val="22"/>
        </w:rPr>
        <w:t>to ensure that</w:t>
      </w:r>
      <w:r w:rsidRPr="00130DB7">
        <w:rPr>
          <w:szCs w:val="22"/>
        </w:rPr>
        <w:t xml:space="preserve"> broadband providers </w:t>
      </w:r>
      <w:r w:rsidR="00C114DF">
        <w:rPr>
          <w:szCs w:val="22"/>
        </w:rPr>
        <w:t>can</w:t>
      </w:r>
      <w:r w:rsidRPr="00130DB7">
        <w:rPr>
          <w:szCs w:val="22"/>
        </w:rPr>
        <w:t xml:space="preserve"> optimize overall network performance and maintain a consistent quality experience for consumers</w:t>
      </w:r>
      <w:r w:rsidR="00FD567B">
        <w:rPr>
          <w:szCs w:val="22"/>
        </w:rPr>
        <w:t>,</w:t>
      </w:r>
      <w:r w:rsidRPr="00130DB7">
        <w:rPr>
          <w:szCs w:val="22"/>
        </w:rPr>
        <w:t xml:space="preserve"> while carrying a variety of traffic over their networks.  To ensure that the reasonable network management exception will not be used to circumvent the open Internet rules, while still allowing broadband providers flexibility to experiment and innovate as they reasonably manage their networks, </w:t>
      </w:r>
      <w:r w:rsidR="0047102F">
        <w:rPr>
          <w:szCs w:val="22"/>
        </w:rPr>
        <w:t>the Commission</w:t>
      </w:r>
      <w:r w:rsidRPr="00130DB7">
        <w:rPr>
          <w:szCs w:val="22"/>
        </w:rPr>
        <w:t xml:space="preserve"> maintain</w:t>
      </w:r>
      <w:r w:rsidR="0047102F">
        <w:rPr>
          <w:szCs w:val="22"/>
        </w:rPr>
        <w:t>s</w:t>
      </w:r>
      <w:r w:rsidRPr="00130DB7">
        <w:rPr>
          <w:szCs w:val="22"/>
        </w:rPr>
        <w:t xml:space="preserve"> a case-by-case approach.  </w:t>
      </w:r>
      <w:r w:rsidR="00262FAF">
        <w:rPr>
          <w:szCs w:val="22"/>
        </w:rPr>
        <w:t>B</w:t>
      </w:r>
      <w:r w:rsidRPr="00130DB7">
        <w:rPr>
          <w:szCs w:val="22"/>
        </w:rPr>
        <w:t xml:space="preserve">roadband providers may implement network management practices that are primarily used for, and tailored to, ensuring network security and integrity, including by addressing traffic that is harmful to the network, such as traffic that constitutes a denial-of-service attack on specific network infrastructure elements.   Likewise, broadband providers may also implement network management practices that are primarily used for, and tailored to, addressing traffic that is unwanted by end users.   Further, network management practices that alleviate congestion without regard to the source, destination, content, application, or service are also more likely to be considered reasonable network management practices in the context of this exception.   In evaluating congestion management practices, a subset of network management practices, </w:t>
      </w:r>
      <w:r w:rsidR="0047102F">
        <w:rPr>
          <w:szCs w:val="22"/>
        </w:rPr>
        <w:t>the Commission</w:t>
      </w:r>
      <w:r w:rsidRPr="00130DB7">
        <w:rPr>
          <w:szCs w:val="22"/>
        </w:rPr>
        <w:t xml:space="preserve"> will also consider whether the practice is triggered only during times of congestion and whether it is based on a user’s demand during the period of congestion.</w:t>
      </w:r>
      <w:r w:rsidR="00262FAF">
        <w:rPr>
          <w:szCs w:val="22"/>
        </w:rPr>
        <w:t xml:space="preserve">  </w:t>
      </w:r>
    </w:p>
    <w:p w14:paraId="78A7D70D" w14:textId="77777777" w:rsidR="00A352CB" w:rsidRPr="00130DB7" w:rsidRDefault="00A352CB" w:rsidP="00F8594F">
      <w:pPr>
        <w:tabs>
          <w:tab w:val="num" w:pos="0"/>
        </w:tabs>
        <w:rPr>
          <w:sz w:val="22"/>
          <w:szCs w:val="22"/>
        </w:rPr>
      </w:pPr>
    </w:p>
    <w:p w14:paraId="59F20010" w14:textId="77777777" w:rsidR="00A352CB" w:rsidRPr="00130DB7" w:rsidRDefault="008426C5" w:rsidP="00611EB4">
      <w:pPr>
        <w:numPr>
          <w:ilvl w:val="0"/>
          <w:numId w:val="13"/>
        </w:numPr>
        <w:tabs>
          <w:tab w:val="num" w:pos="0"/>
        </w:tabs>
        <w:rPr>
          <w:b/>
          <w:sz w:val="22"/>
          <w:szCs w:val="22"/>
        </w:rPr>
      </w:pPr>
      <w:r w:rsidRPr="00130DB7">
        <w:rPr>
          <w:b/>
          <w:sz w:val="22"/>
          <w:szCs w:val="22"/>
        </w:rPr>
        <w:t>Other Laws and Considerations</w:t>
      </w:r>
    </w:p>
    <w:p w14:paraId="33F946D8" w14:textId="77777777" w:rsidR="00A352CB" w:rsidRPr="00130DB7" w:rsidRDefault="00A352CB" w:rsidP="00611EB4">
      <w:pPr>
        <w:tabs>
          <w:tab w:val="num" w:pos="0"/>
        </w:tabs>
        <w:ind w:left="360"/>
        <w:rPr>
          <w:sz w:val="22"/>
          <w:szCs w:val="22"/>
        </w:rPr>
      </w:pPr>
    </w:p>
    <w:p w14:paraId="7D1FAEEC" w14:textId="77777777" w:rsidR="0034139E" w:rsidRPr="0034139E" w:rsidRDefault="0034139E" w:rsidP="0034139E">
      <w:pPr>
        <w:pStyle w:val="ListParagraph"/>
        <w:numPr>
          <w:ilvl w:val="0"/>
          <w:numId w:val="33"/>
        </w:numPr>
        <w:rPr>
          <w:b/>
          <w:iCs/>
          <w:sz w:val="22"/>
          <w:szCs w:val="22"/>
        </w:rPr>
      </w:pPr>
      <w:r w:rsidRPr="0034139E">
        <w:rPr>
          <w:b/>
          <w:iCs/>
          <w:sz w:val="22"/>
          <w:szCs w:val="22"/>
        </w:rPr>
        <w:t>Emergency Communications and Safety and Security Authorities</w:t>
      </w:r>
    </w:p>
    <w:p w14:paraId="43868780" w14:textId="77777777" w:rsidR="00A352CB" w:rsidRPr="00130DB7" w:rsidRDefault="00A352CB" w:rsidP="0069755E">
      <w:pPr>
        <w:ind w:left="1080" w:right="720"/>
        <w:rPr>
          <w:b/>
          <w:iCs/>
          <w:sz w:val="22"/>
          <w:szCs w:val="22"/>
        </w:rPr>
      </w:pPr>
    </w:p>
    <w:p w14:paraId="1B090568" w14:textId="77777777" w:rsidR="0034139E" w:rsidRDefault="0034139E" w:rsidP="0069755E">
      <w:pPr>
        <w:pStyle w:val="ParaNum"/>
        <w:numPr>
          <w:ilvl w:val="0"/>
          <w:numId w:val="0"/>
        </w:numPr>
        <w:spacing w:after="0"/>
        <w:ind w:left="1080"/>
      </w:pPr>
      <w:r w:rsidRPr="00965FA6">
        <w:t xml:space="preserve">In the </w:t>
      </w:r>
      <w:r w:rsidRPr="00965FA6">
        <w:rPr>
          <w:i/>
        </w:rPr>
        <w:t>2010 Open Internet Order</w:t>
      </w:r>
      <w:r w:rsidRPr="00965FA6">
        <w:t xml:space="preserve"> </w:t>
      </w:r>
      <w:r>
        <w:t>the Commission</w:t>
      </w:r>
      <w:r w:rsidRPr="00965FA6">
        <w:t xml:space="preserve"> adopted a rule that acknowledges the ability of broadband providers to serve the needs of law enforcement and the needs of emergency communications and public safety, national, and homeland security authorities</w:t>
      </w:r>
      <w:r>
        <w:t>.</w:t>
      </w:r>
      <w:r w:rsidRPr="00965FA6">
        <w:t xml:space="preserve">  This rule remains in effect today.   To make clear that open Internet protections coexist with other legal frameworks governing the needs of safety and security authorities, </w:t>
      </w:r>
      <w:r w:rsidR="0047102F">
        <w:t xml:space="preserve">the </w:t>
      </w:r>
      <w:r w:rsidR="00CE5FE9">
        <w:rPr>
          <w:i/>
        </w:rPr>
        <w:t xml:space="preserve">2015 Order </w:t>
      </w:r>
      <w:r>
        <w:t>retain</w:t>
      </w:r>
      <w:r w:rsidR="0047102F">
        <w:t>s</w:t>
      </w:r>
      <w:r>
        <w:t xml:space="preserve"> this rule, which reads as follows</w:t>
      </w:r>
      <w:r w:rsidRPr="00965FA6">
        <w:t>:</w:t>
      </w:r>
    </w:p>
    <w:p w14:paraId="44211A55" w14:textId="77777777" w:rsidR="0069755E" w:rsidRPr="00965FA6" w:rsidRDefault="0069755E" w:rsidP="0069755E">
      <w:pPr>
        <w:pStyle w:val="ParaNum"/>
        <w:numPr>
          <w:ilvl w:val="0"/>
          <w:numId w:val="0"/>
        </w:numPr>
        <w:spacing w:after="0"/>
        <w:ind w:left="1080"/>
      </w:pPr>
    </w:p>
    <w:p w14:paraId="44FC0785" w14:textId="77777777" w:rsidR="0034139E" w:rsidRPr="009E504D" w:rsidRDefault="0034139E" w:rsidP="0069755E">
      <w:pPr>
        <w:pStyle w:val="ParaNum"/>
        <w:numPr>
          <w:ilvl w:val="0"/>
          <w:numId w:val="0"/>
        </w:numPr>
        <w:spacing w:after="0"/>
        <w:ind w:left="1800" w:right="1080"/>
        <w:rPr>
          <w:i/>
        </w:rPr>
      </w:pPr>
      <w:r w:rsidRPr="009E504D">
        <w:rPr>
          <w:i/>
        </w:rPr>
        <w:t xml:space="preserve">Nothing in this </w:t>
      </w:r>
      <w:r>
        <w:rPr>
          <w:i/>
        </w:rPr>
        <w:t>p</w:t>
      </w:r>
      <w:r w:rsidRPr="009E504D">
        <w:rPr>
          <w:i/>
        </w:rPr>
        <w:t xml:space="preserve">art supersedes any obligation or authorization a provider of broadband Internet access service may have to address the needs of emergency communications or law enforcement, public safety, or national security authorities, consistent with or as permitted by applicable law, or limits the provider’s ability to do so.  </w:t>
      </w:r>
    </w:p>
    <w:p w14:paraId="13B94E96" w14:textId="77777777" w:rsidR="00A352CB" w:rsidRPr="00130DB7" w:rsidRDefault="00A352CB" w:rsidP="0069755E">
      <w:pPr>
        <w:tabs>
          <w:tab w:val="num" w:pos="0"/>
        </w:tabs>
        <w:ind w:left="1440" w:right="720"/>
        <w:rPr>
          <w:iCs/>
          <w:sz w:val="22"/>
          <w:szCs w:val="22"/>
        </w:rPr>
      </w:pPr>
    </w:p>
    <w:p w14:paraId="47089F18" w14:textId="77777777" w:rsidR="0034139E" w:rsidRPr="0034139E" w:rsidRDefault="0034139E" w:rsidP="0069755E">
      <w:pPr>
        <w:pStyle w:val="ListParagraph"/>
        <w:numPr>
          <w:ilvl w:val="0"/>
          <w:numId w:val="33"/>
        </w:numPr>
        <w:rPr>
          <w:b/>
          <w:iCs/>
          <w:sz w:val="22"/>
          <w:szCs w:val="22"/>
        </w:rPr>
      </w:pPr>
      <w:r w:rsidRPr="0034139E">
        <w:rPr>
          <w:b/>
          <w:iCs/>
          <w:sz w:val="22"/>
          <w:szCs w:val="22"/>
        </w:rPr>
        <w:t xml:space="preserve">Transfers of Unlawful Content and Unlawful Transfers of Content  </w:t>
      </w:r>
    </w:p>
    <w:p w14:paraId="30CC23F3" w14:textId="77777777" w:rsidR="00A352CB" w:rsidRPr="00130DB7" w:rsidRDefault="00A352CB" w:rsidP="0069755E">
      <w:pPr>
        <w:ind w:left="1080" w:right="720"/>
        <w:rPr>
          <w:b/>
          <w:iCs/>
          <w:sz w:val="22"/>
          <w:szCs w:val="22"/>
        </w:rPr>
      </w:pPr>
    </w:p>
    <w:p w14:paraId="228BFF04" w14:textId="62436335" w:rsidR="0069755E" w:rsidRDefault="0047102F" w:rsidP="0069755E">
      <w:pPr>
        <w:ind w:left="1080" w:right="720"/>
        <w:rPr>
          <w:i/>
          <w:sz w:val="22"/>
          <w:szCs w:val="22"/>
        </w:rPr>
      </w:pPr>
      <w:r>
        <w:rPr>
          <w:sz w:val="22"/>
          <w:szCs w:val="22"/>
        </w:rPr>
        <w:t xml:space="preserve">The </w:t>
      </w:r>
      <w:r w:rsidR="001F1E6F">
        <w:rPr>
          <w:i/>
          <w:sz w:val="22"/>
          <w:szCs w:val="22"/>
        </w:rPr>
        <w:t>20</w:t>
      </w:r>
      <w:r w:rsidR="000965CA">
        <w:rPr>
          <w:i/>
          <w:sz w:val="22"/>
          <w:szCs w:val="22"/>
        </w:rPr>
        <w:t>1</w:t>
      </w:r>
      <w:r w:rsidR="001F1E6F">
        <w:rPr>
          <w:i/>
          <w:sz w:val="22"/>
          <w:szCs w:val="22"/>
        </w:rPr>
        <w:t xml:space="preserve">5 Order </w:t>
      </w:r>
      <w:r w:rsidR="0069755E">
        <w:rPr>
          <w:sz w:val="22"/>
          <w:szCs w:val="22"/>
        </w:rPr>
        <w:t>again conclude</w:t>
      </w:r>
      <w:r>
        <w:rPr>
          <w:sz w:val="22"/>
          <w:szCs w:val="22"/>
        </w:rPr>
        <w:t>s</w:t>
      </w:r>
      <w:r w:rsidR="0069755E">
        <w:rPr>
          <w:sz w:val="22"/>
          <w:szCs w:val="22"/>
        </w:rPr>
        <w:t xml:space="preserve"> </w:t>
      </w:r>
      <w:r w:rsidR="0069755E" w:rsidRPr="0069755E">
        <w:rPr>
          <w:sz w:val="22"/>
          <w:szCs w:val="22"/>
        </w:rPr>
        <w:t>that open Internet rules do not prohibit broadband providers from making reasonable efforts to address the transfer of unlawful content or unlawful transfers of content to ensure that open Internet rules are not used as a shield to enable unlawful activity or to deter prompt action against such activity.</w:t>
      </w:r>
      <w:r w:rsidR="0069755E">
        <w:rPr>
          <w:sz w:val="22"/>
          <w:szCs w:val="22"/>
        </w:rPr>
        <w:t xml:space="preserve">  </w:t>
      </w:r>
      <w:r>
        <w:rPr>
          <w:sz w:val="22"/>
          <w:szCs w:val="22"/>
        </w:rPr>
        <w:t xml:space="preserve">The </w:t>
      </w:r>
      <w:r w:rsidR="00FD567B" w:rsidRPr="00FD567B">
        <w:rPr>
          <w:i/>
          <w:sz w:val="22"/>
          <w:szCs w:val="22"/>
        </w:rPr>
        <w:t xml:space="preserve">2015 </w:t>
      </w:r>
      <w:r w:rsidRPr="00FD567B">
        <w:rPr>
          <w:i/>
          <w:sz w:val="22"/>
          <w:szCs w:val="22"/>
        </w:rPr>
        <w:t>Order</w:t>
      </w:r>
      <w:r w:rsidR="0069755E">
        <w:rPr>
          <w:sz w:val="22"/>
          <w:szCs w:val="22"/>
        </w:rPr>
        <w:t xml:space="preserve"> accordingly retain</w:t>
      </w:r>
      <w:r>
        <w:rPr>
          <w:sz w:val="22"/>
          <w:szCs w:val="22"/>
        </w:rPr>
        <w:t>s</w:t>
      </w:r>
      <w:r w:rsidR="0069755E">
        <w:rPr>
          <w:sz w:val="22"/>
          <w:szCs w:val="22"/>
        </w:rPr>
        <w:t xml:space="preserve"> the Commission’s rule from the </w:t>
      </w:r>
      <w:r w:rsidR="0069755E">
        <w:rPr>
          <w:i/>
          <w:sz w:val="22"/>
          <w:szCs w:val="22"/>
        </w:rPr>
        <w:t>2010 Open Intern</w:t>
      </w:r>
      <w:r w:rsidR="00EC2AC2">
        <w:rPr>
          <w:i/>
          <w:sz w:val="22"/>
          <w:szCs w:val="22"/>
        </w:rPr>
        <w:t>et</w:t>
      </w:r>
      <w:r w:rsidR="0069755E">
        <w:rPr>
          <w:i/>
          <w:sz w:val="22"/>
          <w:szCs w:val="22"/>
        </w:rPr>
        <w:t xml:space="preserve"> Order</w:t>
      </w:r>
      <w:r w:rsidR="0069755E" w:rsidRPr="0069755E">
        <w:rPr>
          <w:sz w:val="22"/>
          <w:szCs w:val="22"/>
        </w:rPr>
        <w:t>:</w:t>
      </w:r>
    </w:p>
    <w:p w14:paraId="6FC2F8D8" w14:textId="77777777" w:rsidR="0069755E" w:rsidRPr="0069755E" w:rsidRDefault="0069755E" w:rsidP="0069755E">
      <w:pPr>
        <w:ind w:right="720"/>
        <w:rPr>
          <w:i/>
          <w:sz w:val="24"/>
          <w:szCs w:val="22"/>
        </w:rPr>
      </w:pPr>
    </w:p>
    <w:p w14:paraId="25D15FBF" w14:textId="77777777" w:rsidR="0069755E" w:rsidRDefault="0069755E" w:rsidP="0069755E">
      <w:pPr>
        <w:ind w:left="1800" w:right="1080"/>
        <w:rPr>
          <w:i/>
          <w:sz w:val="22"/>
          <w:szCs w:val="22"/>
        </w:rPr>
      </w:pPr>
      <w:r w:rsidRPr="0069755E">
        <w:rPr>
          <w:i/>
          <w:sz w:val="22"/>
          <w:szCs w:val="22"/>
        </w:rPr>
        <w:t>Nothing in this part prohibits reasonable efforts by a provider of broadband Internet access service to address copyright infringement or other unlawful activity.</w:t>
      </w:r>
    </w:p>
    <w:p w14:paraId="0170A4E1" w14:textId="77777777" w:rsidR="00E33E50" w:rsidRDefault="00E33E50" w:rsidP="0069755E">
      <w:pPr>
        <w:ind w:left="1800" w:right="1080"/>
        <w:rPr>
          <w:sz w:val="22"/>
          <w:szCs w:val="22"/>
        </w:rPr>
      </w:pPr>
    </w:p>
    <w:p w14:paraId="14CD78CE" w14:textId="77777777" w:rsidR="00A352CB" w:rsidRDefault="00A352CB" w:rsidP="0069755E">
      <w:pPr>
        <w:tabs>
          <w:tab w:val="num" w:pos="0"/>
        </w:tabs>
        <w:rPr>
          <w:sz w:val="22"/>
          <w:szCs w:val="22"/>
          <w:u w:val="single"/>
        </w:rPr>
      </w:pPr>
    </w:p>
    <w:p w14:paraId="1F9698F7" w14:textId="77777777" w:rsidR="0055314F" w:rsidRDefault="0055314F" w:rsidP="0069755E">
      <w:pPr>
        <w:tabs>
          <w:tab w:val="num" w:pos="0"/>
        </w:tabs>
        <w:rPr>
          <w:sz w:val="22"/>
          <w:szCs w:val="22"/>
          <w:u w:val="single"/>
        </w:rPr>
      </w:pPr>
    </w:p>
    <w:p w14:paraId="6F770D7A" w14:textId="77777777" w:rsidR="0055314F" w:rsidRDefault="0055314F" w:rsidP="0069755E">
      <w:pPr>
        <w:tabs>
          <w:tab w:val="num" w:pos="0"/>
        </w:tabs>
        <w:rPr>
          <w:sz w:val="22"/>
          <w:szCs w:val="22"/>
          <w:u w:val="single"/>
        </w:rPr>
      </w:pPr>
    </w:p>
    <w:p w14:paraId="454CE1AE" w14:textId="77777777" w:rsidR="0055314F" w:rsidRDefault="0055314F" w:rsidP="0069755E">
      <w:pPr>
        <w:tabs>
          <w:tab w:val="num" w:pos="0"/>
        </w:tabs>
        <w:rPr>
          <w:sz w:val="22"/>
          <w:szCs w:val="22"/>
          <w:u w:val="single"/>
        </w:rPr>
      </w:pPr>
    </w:p>
    <w:p w14:paraId="317A9A77" w14:textId="77777777" w:rsidR="0055314F" w:rsidRDefault="0055314F" w:rsidP="0069755E">
      <w:pPr>
        <w:tabs>
          <w:tab w:val="num" w:pos="0"/>
        </w:tabs>
        <w:rPr>
          <w:sz w:val="22"/>
          <w:szCs w:val="22"/>
          <w:u w:val="single"/>
        </w:rPr>
      </w:pPr>
    </w:p>
    <w:p w14:paraId="4784A14B" w14:textId="77777777" w:rsidR="0055314F" w:rsidRDefault="0055314F" w:rsidP="0069755E">
      <w:pPr>
        <w:tabs>
          <w:tab w:val="num" w:pos="0"/>
        </w:tabs>
        <w:rPr>
          <w:sz w:val="22"/>
          <w:szCs w:val="22"/>
          <w:u w:val="single"/>
        </w:rPr>
      </w:pPr>
    </w:p>
    <w:p w14:paraId="462CA0D3" w14:textId="77777777" w:rsidR="0055314F" w:rsidRPr="00130DB7" w:rsidRDefault="0055314F" w:rsidP="0069755E">
      <w:pPr>
        <w:tabs>
          <w:tab w:val="num" w:pos="0"/>
        </w:tabs>
        <w:rPr>
          <w:sz w:val="22"/>
          <w:szCs w:val="22"/>
          <w:u w:val="single"/>
        </w:rPr>
      </w:pPr>
    </w:p>
    <w:p w14:paraId="29A04669" w14:textId="02752410" w:rsidR="00A352CB" w:rsidRPr="0055314F" w:rsidRDefault="00F806DD" w:rsidP="00611EB4">
      <w:pPr>
        <w:numPr>
          <w:ilvl w:val="0"/>
          <w:numId w:val="20"/>
        </w:numPr>
        <w:tabs>
          <w:tab w:val="clear" w:pos="1080"/>
          <w:tab w:val="num" w:pos="360"/>
        </w:tabs>
        <w:ind w:left="360" w:hanging="360"/>
        <w:outlineLvl w:val="0"/>
        <w:rPr>
          <w:caps/>
          <w:sz w:val="22"/>
          <w:szCs w:val="22"/>
          <w:u w:val="single"/>
        </w:rPr>
      </w:pPr>
      <w:r w:rsidRPr="0055314F">
        <w:rPr>
          <w:caps/>
          <w:sz w:val="22"/>
          <w:szCs w:val="22"/>
          <w:u w:val="single"/>
        </w:rPr>
        <w:t>Compliance Requirements</w:t>
      </w:r>
    </w:p>
    <w:p w14:paraId="04BA003E" w14:textId="77777777" w:rsidR="00A352CB" w:rsidRPr="00130DB7" w:rsidRDefault="00A352CB" w:rsidP="00611EB4">
      <w:pPr>
        <w:tabs>
          <w:tab w:val="num" w:pos="1440"/>
        </w:tabs>
        <w:rPr>
          <w:sz w:val="22"/>
          <w:szCs w:val="22"/>
        </w:rPr>
      </w:pPr>
    </w:p>
    <w:p w14:paraId="6EA7F2AF" w14:textId="77777777" w:rsidR="008A0C78" w:rsidRPr="00130DB7" w:rsidRDefault="008A0C78" w:rsidP="008A0C78">
      <w:pPr>
        <w:numPr>
          <w:ilvl w:val="0"/>
          <w:numId w:val="17"/>
        </w:numPr>
        <w:rPr>
          <w:b/>
          <w:sz w:val="22"/>
          <w:szCs w:val="22"/>
        </w:rPr>
      </w:pPr>
      <w:r w:rsidRPr="00130DB7">
        <w:rPr>
          <w:b/>
          <w:sz w:val="22"/>
          <w:szCs w:val="22"/>
        </w:rPr>
        <w:t>No Blocking, No Throttling, No Paid Prioritization, and the No Unreasonable Interference/Disadvantage Standard</w:t>
      </w:r>
    </w:p>
    <w:p w14:paraId="3C160B33" w14:textId="77777777" w:rsidR="008A0C78" w:rsidRPr="00130DB7" w:rsidRDefault="008A0C78" w:rsidP="008A0C78">
      <w:pPr>
        <w:tabs>
          <w:tab w:val="num" w:pos="0"/>
        </w:tabs>
        <w:rPr>
          <w:sz w:val="22"/>
          <w:szCs w:val="22"/>
        </w:rPr>
      </w:pPr>
    </w:p>
    <w:p w14:paraId="34B88576" w14:textId="77777777" w:rsidR="008A0C78" w:rsidRPr="00130DB7" w:rsidRDefault="008A0C78" w:rsidP="008A0C78">
      <w:pPr>
        <w:tabs>
          <w:tab w:val="num" w:pos="0"/>
        </w:tabs>
        <w:ind w:left="720"/>
        <w:rPr>
          <w:sz w:val="22"/>
          <w:szCs w:val="22"/>
        </w:rPr>
      </w:pPr>
      <w:r>
        <w:rPr>
          <w:sz w:val="22"/>
          <w:szCs w:val="22"/>
        </w:rPr>
        <w:t xml:space="preserve">Below we briefly explain what the </w:t>
      </w:r>
      <w:r w:rsidR="00E8296E">
        <w:rPr>
          <w:sz w:val="22"/>
          <w:szCs w:val="22"/>
        </w:rPr>
        <w:t xml:space="preserve">Commission’s </w:t>
      </w:r>
      <w:r>
        <w:rPr>
          <w:sz w:val="22"/>
          <w:szCs w:val="22"/>
        </w:rPr>
        <w:t xml:space="preserve">conduct-based rules require:   </w:t>
      </w:r>
    </w:p>
    <w:p w14:paraId="25E4C2DB" w14:textId="77777777" w:rsidR="008A0C78" w:rsidRPr="00130DB7" w:rsidRDefault="008A0C78" w:rsidP="008A0C78">
      <w:pPr>
        <w:tabs>
          <w:tab w:val="num" w:pos="0"/>
        </w:tabs>
        <w:rPr>
          <w:sz w:val="22"/>
          <w:szCs w:val="22"/>
        </w:rPr>
      </w:pPr>
    </w:p>
    <w:p w14:paraId="54140DDF" w14:textId="77777777" w:rsidR="008A0C78" w:rsidRPr="00130DB7" w:rsidRDefault="008A0C78" w:rsidP="008A0C78">
      <w:pPr>
        <w:numPr>
          <w:ilvl w:val="0"/>
          <w:numId w:val="34"/>
        </w:numPr>
        <w:rPr>
          <w:b/>
          <w:sz w:val="22"/>
          <w:szCs w:val="22"/>
        </w:rPr>
      </w:pPr>
      <w:r w:rsidRPr="00130DB7">
        <w:rPr>
          <w:b/>
          <w:sz w:val="22"/>
          <w:szCs w:val="22"/>
        </w:rPr>
        <w:t xml:space="preserve">No </w:t>
      </w:r>
      <w:r>
        <w:rPr>
          <w:b/>
          <w:sz w:val="22"/>
          <w:szCs w:val="22"/>
        </w:rPr>
        <w:t>B</w:t>
      </w:r>
      <w:r w:rsidRPr="00130DB7">
        <w:rPr>
          <w:b/>
          <w:sz w:val="22"/>
          <w:szCs w:val="22"/>
        </w:rPr>
        <w:t xml:space="preserve">locking  </w:t>
      </w:r>
    </w:p>
    <w:p w14:paraId="2064F456" w14:textId="77777777" w:rsidR="008A0C78" w:rsidRPr="00130DB7" w:rsidRDefault="008A0C78" w:rsidP="008A0C78">
      <w:pPr>
        <w:tabs>
          <w:tab w:val="num" w:pos="0"/>
        </w:tabs>
        <w:ind w:left="1080"/>
        <w:rPr>
          <w:i/>
          <w:sz w:val="22"/>
          <w:szCs w:val="22"/>
        </w:rPr>
      </w:pPr>
    </w:p>
    <w:p w14:paraId="47B394A7" w14:textId="7BE7EAA1" w:rsidR="00F35ECC" w:rsidRPr="008A0C78" w:rsidRDefault="00F35ECC" w:rsidP="00F35ECC">
      <w:pPr>
        <w:ind w:left="1440"/>
        <w:rPr>
          <w:sz w:val="22"/>
          <w:szCs w:val="22"/>
        </w:rPr>
      </w:pPr>
      <w:r>
        <w:rPr>
          <w:sz w:val="22"/>
          <w:szCs w:val="22"/>
        </w:rPr>
        <w:t xml:space="preserve">The no blocking rule </w:t>
      </w:r>
      <w:r w:rsidRPr="008A0C78">
        <w:rPr>
          <w:sz w:val="22"/>
          <w:szCs w:val="22"/>
        </w:rPr>
        <w:t xml:space="preserve">prohibits </w:t>
      </w:r>
      <w:r>
        <w:rPr>
          <w:sz w:val="22"/>
          <w:szCs w:val="22"/>
        </w:rPr>
        <w:t xml:space="preserve">broadband providers from blocking access to lawful Internet content, applications, services, and non-harmful devices.   The rule </w:t>
      </w:r>
      <w:r w:rsidRPr="00CE0E6E">
        <w:rPr>
          <w:sz w:val="22"/>
          <w:szCs w:val="22"/>
        </w:rPr>
        <w:t>does not prevent or restrict a broadband provider from refusing to transmit unlawful material, such as child pornography or copyright-infringing materials.</w:t>
      </w:r>
    </w:p>
    <w:p w14:paraId="4F5A978C" w14:textId="77777777" w:rsidR="00F35ECC" w:rsidRPr="00130DB7" w:rsidRDefault="00F35ECC" w:rsidP="00F35ECC">
      <w:pPr>
        <w:ind w:left="1080"/>
        <w:rPr>
          <w:b/>
          <w:sz w:val="22"/>
          <w:szCs w:val="22"/>
        </w:rPr>
      </w:pPr>
      <w:r>
        <w:rPr>
          <w:b/>
          <w:sz w:val="22"/>
          <w:szCs w:val="22"/>
        </w:rPr>
        <w:t xml:space="preserve"> </w:t>
      </w:r>
    </w:p>
    <w:p w14:paraId="2E4AB71C" w14:textId="77777777" w:rsidR="008A0C78" w:rsidRPr="00130DB7" w:rsidRDefault="008A0C78" w:rsidP="008A0C78">
      <w:pPr>
        <w:numPr>
          <w:ilvl w:val="0"/>
          <w:numId w:val="34"/>
        </w:numPr>
        <w:rPr>
          <w:b/>
          <w:sz w:val="22"/>
          <w:szCs w:val="22"/>
        </w:rPr>
      </w:pPr>
      <w:r w:rsidRPr="00130DB7">
        <w:rPr>
          <w:b/>
          <w:sz w:val="22"/>
          <w:szCs w:val="22"/>
        </w:rPr>
        <w:t xml:space="preserve">No </w:t>
      </w:r>
      <w:r>
        <w:rPr>
          <w:b/>
          <w:sz w:val="22"/>
          <w:szCs w:val="22"/>
        </w:rPr>
        <w:t>T</w:t>
      </w:r>
      <w:r w:rsidR="00FD567B">
        <w:rPr>
          <w:b/>
          <w:sz w:val="22"/>
          <w:szCs w:val="22"/>
        </w:rPr>
        <w:t xml:space="preserve">hrottling  </w:t>
      </w:r>
    </w:p>
    <w:p w14:paraId="035F6BD1" w14:textId="77777777" w:rsidR="008A0C78" w:rsidRPr="00130DB7" w:rsidRDefault="008A0C78" w:rsidP="008A0C78">
      <w:pPr>
        <w:ind w:left="1080"/>
        <w:rPr>
          <w:sz w:val="22"/>
          <w:szCs w:val="22"/>
        </w:rPr>
      </w:pPr>
    </w:p>
    <w:p w14:paraId="7EB7DEB4" w14:textId="77777777" w:rsidR="003C3BEB" w:rsidRPr="008A0C78" w:rsidRDefault="003C3BEB" w:rsidP="003C3BEB">
      <w:pPr>
        <w:ind w:left="1440"/>
        <w:rPr>
          <w:sz w:val="22"/>
          <w:szCs w:val="22"/>
        </w:rPr>
      </w:pPr>
      <w:r>
        <w:rPr>
          <w:sz w:val="22"/>
          <w:szCs w:val="22"/>
        </w:rPr>
        <w:t xml:space="preserve">The no-throttling rule </w:t>
      </w:r>
      <w:r w:rsidRPr="00606FAD">
        <w:rPr>
          <w:sz w:val="22"/>
          <w:szCs w:val="22"/>
        </w:rPr>
        <w:t>ban</w:t>
      </w:r>
      <w:r>
        <w:rPr>
          <w:sz w:val="22"/>
          <w:szCs w:val="22"/>
        </w:rPr>
        <w:t>s</w:t>
      </w:r>
      <w:r w:rsidRPr="00606FAD">
        <w:rPr>
          <w:sz w:val="22"/>
          <w:szCs w:val="22"/>
        </w:rPr>
        <w:t xml:space="preserve"> conduct that is not outright blocking, but inhibits the delivery of particular content, applications, or services, or particular classes of content, applications, or services</w:t>
      </w:r>
      <w:r>
        <w:rPr>
          <w:sz w:val="22"/>
          <w:szCs w:val="22"/>
        </w:rPr>
        <w:t>.</w:t>
      </w:r>
      <w:r w:rsidRPr="00606FAD">
        <w:rPr>
          <w:sz w:val="22"/>
          <w:szCs w:val="22"/>
        </w:rPr>
        <w:t xml:space="preserve"> </w:t>
      </w:r>
      <w:r>
        <w:rPr>
          <w:sz w:val="22"/>
          <w:szCs w:val="22"/>
        </w:rPr>
        <w:t xml:space="preserve"> This prohibition </w:t>
      </w:r>
      <w:r w:rsidRPr="00606FAD">
        <w:rPr>
          <w:sz w:val="22"/>
          <w:szCs w:val="22"/>
        </w:rPr>
        <w:t>include</w:t>
      </w:r>
      <w:r>
        <w:rPr>
          <w:sz w:val="22"/>
          <w:szCs w:val="22"/>
        </w:rPr>
        <w:t>s</w:t>
      </w:r>
      <w:r w:rsidRPr="00606FAD">
        <w:rPr>
          <w:sz w:val="22"/>
          <w:szCs w:val="22"/>
        </w:rPr>
        <w:t>, for example, any conduct by a broadband Internet access service provider that impairs, degrades, slows down, or renders effectively unusable particular content, services, applications, or devices, that is not reasonable network management</w:t>
      </w:r>
      <w:r>
        <w:rPr>
          <w:sz w:val="22"/>
          <w:szCs w:val="22"/>
        </w:rPr>
        <w:t xml:space="preserve">.  </w:t>
      </w:r>
      <w:r w:rsidRPr="00606FAD">
        <w:rPr>
          <w:sz w:val="22"/>
          <w:szCs w:val="22"/>
        </w:rPr>
        <w:t xml:space="preserve">The no-throttling rule also addresses conduct that impairs or degrades content, applications, or services that might compete with a broadband provider’s affiliated content.  </w:t>
      </w:r>
      <w:r>
        <w:rPr>
          <w:sz w:val="22"/>
          <w:szCs w:val="22"/>
        </w:rPr>
        <w:t xml:space="preserve">The rule </w:t>
      </w:r>
      <w:r w:rsidRPr="008A0C78">
        <w:rPr>
          <w:sz w:val="22"/>
          <w:szCs w:val="22"/>
        </w:rPr>
        <w:t xml:space="preserve">does </w:t>
      </w:r>
      <w:r>
        <w:rPr>
          <w:sz w:val="22"/>
          <w:szCs w:val="22"/>
        </w:rPr>
        <w:t xml:space="preserve">not address </w:t>
      </w:r>
      <w:r w:rsidRPr="00606FAD">
        <w:rPr>
          <w:sz w:val="22"/>
          <w:szCs w:val="22"/>
        </w:rPr>
        <w:t xml:space="preserve">a practice of slowing down an end user’s connection to the Internet based on </w:t>
      </w:r>
      <w:r>
        <w:rPr>
          <w:sz w:val="22"/>
          <w:szCs w:val="22"/>
        </w:rPr>
        <w:t xml:space="preserve">a choice made by the end user, such as </w:t>
      </w:r>
      <w:r w:rsidRPr="008A0C78">
        <w:rPr>
          <w:sz w:val="22"/>
          <w:szCs w:val="22"/>
        </w:rPr>
        <w:t>service tiers</w:t>
      </w:r>
      <w:r>
        <w:rPr>
          <w:sz w:val="22"/>
          <w:szCs w:val="22"/>
        </w:rPr>
        <w:t xml:space="preserve"> or data caps.</w:t>
      </w:r>
    </w:p>
    <w:p w14:paraId="6EE79EEB" w14:textId="77777777" w:rsidR="008A0C78" w:rsidRPr="00130DB7" w:rsidRDefault="008A0C78" w:rsidP="008A0C78">
      <w:pPr>
        <w:ind w:left="1440"/>
        <w:rPr>
          <w:sz w:val="22"/>
          <w:szCs w:val="22"/>
        </w:rPr>
      </w:pPr>
    </w:p>
    <w:p w14:paraId="46C87D34" w14:textId="77777777" w:rsidR="008A0C78" w:rsidRPr="00130DB7" w:rsidRDefault="008A0C78" w:rsidP="008A0C78">
      <w:pPr>
        <w:numPr>
          <w:ilvl w:val="0"/>
          <w:numId w:val="34"/>
        </w:numPr>
        <w:rPr>
          <w:b/>
          <w:sz w:val="22"/>
          <w:szCs w:val="22"/>
        </w:rPr>
      </w:pPr>
      <w:r w:rsidRPr="00130DB7">
        <w:rPr>
          <w:b/>
          <w:sz w:val="22"/>
          <w:szCs w:val="22"/>
        </w:rPr>
        <w:t xml:space="preserve">No </w:t>
      </w:r>
      <w:r>
        <w:rPr>
          <w:b/>
          <w:sz w:val="22"/>
          <w:szCs w:val="22"/>
        </w:rPr>
        <w:t>P</w:t>
      </w:r>
      <w:r w:rsidRPr="00130DB7">
        <w:rPr>
          <w:b/>
          <w:sz w:val="22"/>
          <w:szCs w:val="22"/>
        </w:rPr>
        <w:t xml:space="preserve">aid </w:t>
      </w:r>
      <w:r>
        <w:rPr>
          <w:b/>
          <w:sz w:val="22"/>
          <w:szCs w:val="22"/>
        </w:rPr>
        <w:t>P</w:t>
      </w:r>
      <w:r w:rsidR="00FD567B">
        <w:rPr>
          <w:b/>
          <w:sz w:val="22"/>
          <w:szCs w:val="22"/>
        </w:rPr>
        <w:t xml:space="preserve">rioritization  </w:t>
      </w:r>
    </w:p>
    <w:p w14:paraId="14781A05" w14:textId="77777777" w:rsidR="008A0C78" w:rsidRPr="00130DB7" w:rsidRDefault="008A0C78" w:rsidP="008A0C78">
      <w:pPr>
        <w:tabs>
          <w:tab w:val="num" w:pos="0"/>
        </w:tabs>
        <w:ind w:left="720"/>
        <w:rPr>
          <w:sz w:val="22"/>
          <w:szCs w:val="22"/>
        </w:rPr>
      </w:pPr>
    </w:p>
    <w:p w14:paraId="5E8AFB65" w14:textId="5CF36C13" w:rsidR="005B3966" w:rsidRPr="00130DB7" w:rsidRDefault="005B3966" w:rsidP="005B3966">
      <w:pPr>
        <w:tabs>
          <w:tab w:val="left" w:pos="1440"/>
        </w:tabs>
        <w:ind w:left="1440"/>
        <w:rPr>
          <w:sz w:val="22"/>
          <w:szCs w:val="22"/>
        </w:rPr>
      </w:pPr>
      <w:r>
        <w:rPr>
          <w:sz w:val="22"/>
          <w:szCs w:val="22"/>
        </w:rPr>
        <w:t xml:space="preserve">The no paid prioritization rule </w:t>
      </w:r>
      <w:r w:rsidRPr="001B79DC">
        <w:rPr>
          <w:sz w:val="22"/>
          <w:szCs w:val="22"/>
        </w:rPr>
        <w:t>ban</w:t>
      </w:r>
      <w:r w:rsidR="007E7A3C">
        <w:rPr>
          <w:sz w:val="22"/>
          <w:szCs w:val="22"/>
        </w:rPr>
        <w:t>s</w:t>
      </w:r>
      <w:r w:rsidRPr="001B79DC">
        <w:rPr>
          <w:sz w:val="22"/>
          <w:szCs w:val="22"/>
        </w:rPr>
        <w:t xml:space="preserve"> arrangements in which the broadband provider accepts consideration (monetary or otherwise) from a third party to manage the network in a manner that benefits particular content, applications, services, or devices.</w:t>
      </w:r>
      <w:r>
        <w:rPr>
          <w:sz w:val="22"/>
          <w:szCs w:val="22"/>
        </w:rPr>
        <w:t xml:space="preserve">  Paid prioritization</w:t>
      </w:r>
      <w:r w:rsidRPr="001B79DC">
        <w:rPr>
          <w:sz w:val="22"/>
          <w:szCs w:val="22"/>
        </w:rPr>
        <w:t xml:space="preserve"> refers to the management of a broadband provider’s network to directly or indirectly favor some traffic over other traffic, including through use of techniques such as traffic shaping, prioritization, resource reservation, or other forms of </w:t>
      </w:r>
      <w:r>
        <w:rPr>
          <w:sz w:val="22"/>
          <w:szCs w:val="22"/>
        </w:rPr>
        <w:t>preferential traffic management.</w:t>
      </w:r>
      <w:r w:rsidRPr="001B79DC">
        <w:rPr>
          <w:sz w:val="22"/>
          <w:szCs w:val="22"/>
        </w:rPr>
        <w:t xml:space="preserve"> </w:t>
      </w:r>
    </w:p>
    <w:p w14:paraId="14DB39C5" w14:textId="77777777" w:rsidR="008A0C78" w:rsidRPr="00130DB7" w:rsidRDefault="008A0C78" w:rsidP="008A0C78">
      <w:pPr>
        <w:tabs>
          <w:tab w:val="num" w:pos="0"/>
          <w:tab w:val="left" w:pos="1440"/>
        </w:tabs>
        <w:rPr>
          <w:sz w:val="22"/>
          <w:szCs w:val="22"/>
        </w:rPr>
      </w:pPr>
    </w:p>
    <w:p w14:paraId="3943F982" w14:textId="77777777" w:rsidR="008A0C78" w:rsidRPr="00130DB7" w:rsidRDefault="008A0C78" w:rsidP="008A0C78">
      <w:pPr>
        <w:pStyle w:val="ListParagraph"/>
        <w:numPr>
          <w:ilvl w:val="0"/>
          <w:numId w:val="34"/>
        </w:numPr>
        <w:contextualSpacing w:val="0"/>
        <w:rPr>
          <w:sz w:val="22"/>
          <w:szCs w:val="22"/>
        </w:rPr>
      </w:pPr>
      <w:r w:rsidRPr="00130DB7">
        <w:rPr>
          <w:b/>
          <w:sz w:val="22"/>
          <w:szCs w:val="22"/>
        </w:rPr>
        <w:t xml:space="preserve">No </w:t>
      </w:r>
      <w:r>
        <w:rPr>
          <w:b/>
          <w:sz w:val="22"/>
          <w:szCs w:val="22"/>
        </w:rPr>
        <w:t>U</w:t>
      </w:r>
      <w:r w:rsidRPr="00130DB7">
        <w:rPr>
          <w:b/>
          <w:sz w:val="22"/>
          <w:szCs w:val="22"/>
        </w:rPr>
        <w:t xml:space="preserve">nreasonable </w:t>
      </w:r>
      <w:r>
        <w:rPr>
          <w:b/>
          <w:sz w:val="22"/>
          <w:szCs w:val="22"/>
        </w:rPr>
        <w:t>I</w:t>
      </w:r>
      <w:r w:rsidRPr="00130DB7">
        <w:rPr>
          <w:b/>
          <w:sz w:val="22"/>
          <w:szCs w:val="22"/>
        </w:rPr>
        <w:t xml:space="preserve">nterference or </w:t>
      </w:r>
      <w:r>
        <w:rPr>
          <w:b/>
          <w:sz w:val="22"/>
          <w:szCs w:val="22"/>
        </w:rPr>
        <w:t>U</w:t>
      </w:r>
      <w:r w:rsidRPr="00130DB7">
        <w:rPr>
          <w:b/>
          <w:sz w:val="22"/>
          <w:szCs w:val="22"/>
        </w:rPr>
        <w:t xml:space="preserve">nreasonable </w:t>
      </w:r>
      <w:r>
        <w:rPr>
          <w:b/>
          <w:sz w:val="22"/>
          <w:szCs w:val="22"/>
        </w:rPr>
        <w:t>D</w:t>
      </w:r>
      <w:r w:rsidRPr="00130DB7">
        <w:rPr>
          <w:b/>
          <w:sz w:val="22"/>
          <w:szCs w:val="22"/>
        </w:rPr>
        <w:t xml:space="preserve">isadvantage </w:t>
      </w:r>
      <w:r>
        <w:rPr>
          <w:b/>
          <w:sz w:val="22"/>
          <w:szCs w:val="22"/>
        </w:rPr>
        <w:t>S</w:t>
      </w:r>
      <w:r w:rsidRPr="00130DB7">
        <w:rPr>
          <w:b/>
          <w:sz w:val="22"/>
          <w:szCs w:val="22"/>
        </w:rPr>
        <w:t xml:space="preserve">tandard for Internet </w:t>
      </w:r>
      <w:r>
        <w:rPr>
          <w:b/>
          <w:sz w:val="22"/>
          <w:szCs w:val="22"/>
        </w:rPr>
        <w:t>C</w:t>
      </w:r>
      <w:r w:rsidRPr="00130DB7">
        <w:rPr>
          <w:b/>
          <w:sz w:val="22"/>
          <w:szCs w:val="22"/>
        </w:rPr>
        <w:t xml:space="preserve">onduct </w:t>
      </w:r>
    </w:p>
    <w:p w14:paraId="7FC7B9E1" w14:textId="77777777" w:rsidR="008A0C78" w:rsidRPr="00130DB7" w:rsidRDefault="008A0C78" w:rsidP="008A0C78">
      <w:pPr>
        <w:pStyle w:val="ListParagraph"/>
        <w:tabs>
          <w:tab w:val="num" w:pos="0"/>
          <w:tab w:val="left" w:pos="1440"/>
        </w:tabs>
        <w:ind w:left="1440"/>
        <w:contextualSpacing w:val="0"/>
        <w:rPr>
          <w:b/>
          <w:sz w:val="22"/>
          <w:szCs w:val="22"/>
        </w:rPr>
      </w:pPr>
    </w:p>
    <w:p w14:paraId="2C32DBC9" w14:textId="77777777" w:rsidR="00D6679D" w:rsidRPr="00E8296E" w:rsidRDefault="00D6679D" w:rsidP="00D6679D">
      <w:pPr>
        <w:ind w:left="1440"/>
        <w:rPr>
          <w:sz w:val="22"/>
          <w:szCs w:val="22"/>
        </w:rPr>
      </w:pPr>
      <w:r w:rsidRPr="00E8296E">
        <w:rPr>
          <w:sz w:val="22"/>
          <w:szCs w:val="22"/>
        </w:rPr>
        <w:t>This general conduct rul</w:t>
      </w:r>
      <w:r>
        <w:rPr>
          <w:sz w:val="22"/>
          <w:szCs w:val="22"/>
        </w:rPr>
        <w:t xml:space="preserve">e establishes that broadband providers </w:t>
      </w:r>
      <w:r w:rsidRPr="00AE7282">
        <w:rPr>
          <w:sz w:val="22"/>
          <w:szCs w:val="22"/>
        </w:rPr>
        <w:t xml:space="preserve">shall not unreasonably interfere with or unreasonably disadvantage (i) end users’ ability to select, access, and use broadband Internet access service or the lawful Internet content, applications, services, or devices of their choice, or (ii) edge providers’ ability to make lawful content, applications, services, or devices available to end users.  </w:t>
      </w:r>
      <w:r w:rsidRPr="00E8296E">
        <w:rPr>
          <w:sz w:val="22"/>
          <w:szCs w:val="22"/>
        </w:rPr>
        <w:t xml:space="preserve">The Commission will </w:t>
      </w:r>
      <w:r w:rsidRPr="00AE7282">
        <w:rPr>
          <w:sz w:val="22"/>
          <w:szCs w:val="22"/>
        </w:rPr>
        <w:t>follow a case-by-case approach, considering the totality of the circumstances, when analyzing whether conduct satisfies the no-unreasonable interference/disadvantage standard to protect the open Internet.</w:t>
      </w:r>
      <w:r>
        <w:rPr>
          <w:sz w:val="22"/>
          <w:szCs w:val="22"/>
        </w:rPr>
        <w:t xml:space="preserve">  The Commission discussed a non-exhaustive list of considerations used to make this determination</w:t>
      </w:r>
      <w:r w:rsidRPr="00E8296E">
        <w:rPr>
          <w:sz w:val="22"/>
          <w:szCs w:val="22"/>
        </w:rPr>
        <w:t xml:space="preserve">: </w:t>
      </w:r>
      <w:r>
        <w:rPr>
          <w:sz w:val="22"/>
          <w:szCs w:val="22"/>
        </w:rPr>
        <w:t>end-user control; c</w:t>
      </w:r>
      <w:r w:rsidRPr="00E8296E">
        <w:rPr>
          <w:sz w:val="22"/>
          <w:szCs w:val="22"/>
        </w:rPr>
        <w:t xml:space="preserve">ompetitive </w:t>
      </w:r>
      <w:r>
        <w:rPr>
          <w:sz w:val="22"/>
          <w:szCs w:val="22"/>
        </w:rPr>
        <w:t>e</w:t>
      </w:r>
      <w:r w:rsidRPr="00E8296E">
        <w:rPr>
          <w:sz w:val="22"/>
          <w:szCs w:val="22"/>
        </w:rPr>
        <w:t>ffects</w:t>
      </w:r>
      <w:r>
        <w:rPr>
          <w:sz w:val="22"/>
          <w:szCs w:val="22"/>
        </w:rPr>
        <w:t>; c</w:t>
      </w:r>
      <w:r w:rsidRPr="00E8296E">
        <w:rPr>
          <w:sz w:val="22"/>
          <w:szCs w:val="22"/>
        </w:rPr>
        <w:t xml:space="preserve">onsumer </w:t>
      </w:r>
      <w:r>
        <w:rPr>
          <w:sz w:val="22"/>
          <w:szCs w:val="22"/>
        </w:rPr>
        <w:t>p</w:t>
      </w:r>
      <w:r w:rsidRPr="00E8296E">
        <w:rPr>
          <w:sz w:val="22"/>
          <w:szCs w:val="22"/>
        </w:rPr>
        <w:t>rotection</w:t>
      </w:r>
      <w:r>
        <w:rPr>
          <w:sz w:val="22"/>
          <w:szCs w:val="22"/>
        </w:rPr>
        <w:t>; effect on innovation, investment, or broadband deployment; f</w:t>
      </w:r>
      <w:r w:rsidRPr="00E8296E">
        <w:rPr>
          <w:sz w:val="22"/>
          <w:szCs w:val="22"/>
        </w:rPr>
        <w:t xml:space="preserve">ree </w:t>
      </w:r>
      <w:r>
        <w:rPr>
          <w:sz w:val="22"/>
          <w:szCs w:val="22"/>
        </w:rPr>
        <w:t>e</w:t>
      </w:r>
      <w:r w:rsidRPr="00E8296E">
        <w:rPr>
          <w:sz w:val="22"/>
          <w:szCs w:val="22"/>
        </w:rPr>
        <w:t>xpression</w:t>
      </w:r>
      <w:r>
        <w:rPr>
          <w:sz w:val="22"/>
          <w:szCs w:val="22"/>
        </w:rPr>
        <w:t>; application agnostic; and, standard practices.</w:t>
      </w:r>
    </w:p>
    <w:p w14:paraId="362668FD" w14:textId="77777777" w:rsidR="00E8296E" w:rsidRDefault="00E8296E" w:rsidP="00E8296E">
      <w:pPr>
        <w:ind w:left="720"/>
        <w:rPr>
          <w:b/>
          <w:sz w:val="22"/>
          <w:szCs w:val="22"/>
        </w:rPr>
      </w:pPr>
    </w:p>
    <w:p w14:paraId="7A9689DF" w14:textId="77777777" w:rsidR="00A352CB" w:rsidRDefault="008426C5" w:rsidP="00186188">
      <w:pPr>
        <w:numPr>
          <w:ilvl w:val="0"/>
          <w:numId w:val="13"/>
        </w:numPr>
        <w:rPr>
          <w:b/>
          <w:sz w:val="22"/>
          <w:szCs w:val="22"/>
        </w:rPr>
      </w:pPr>
      <w:r w:rsidRPr="00130DB7">
        <w:rPr>
          <w:b/>
          <w:sz w:val="22"/>
          <w:szCs w:val="22"/>
        </w:rPr>
        <w:t>Reporting, Recordkeeping, and Other Transparency Requirements for Small Entities</w:t>
      </w:r>
    </w:p>
    <w:p w14:paraId="7C3439A7" w14:textId="77777777" w:rsidR="00186188" w:rsidRDefault="00186188" w:rsidP="00186188">
      <w:pPr>
        <w:rPr>
          <w:b/>
          <w:sz w:val="22"/>
          <w:szCs w:val="22"/>
        </w:rPr>
      </w:pPr>
    </w:p>
    <w:p w14:paraId="7A94AF6E" w14:textId="2A20EF6A" w:rsidR="00186188" w:rsidRDefault="00186188" w:rsidP="00186188">
      <w:pPr>
        <w:pStyle w:val="ParaNum"/>
        <w:numPr>
          <w:ilvl w:val="0"/>
          <w:numId w:val="0"/>
        </w:numPr>
        <w:spacing w:after="0"/>
        <w:ind w:left="720"/>
      </w:pPr>
      <w:bookmarkStart w:id="8" w:name="_Toc406186359"/>
      <w:bookmarkStart w:id="9" w:name="_Toc406186436"/>
      <w:bookmarkStart w:id="10" w:name="_Toc406789571"/>
      <w:bookmarkStart w:id="11" w:name="_Toc406789587"/>
      <w:bookmarkStart w:id="12" w:name="_Toc408484498"/>
      <w:r>
        <w:t xml:space="preserve">In the </w:t>
      </w:r>
      <w:r>
        <w:rPr>
          <w:i/>
        </w:rPr>
        <w:t>2015 Order</w:t>
      </w:r>
      <w:r w:rsidR="000050CA">
        <w:t>,</w:t>
      </w:r>
      <w:r w:rsidRPr="00965FA6">
        <w:t xml:space="preserve"> </w:t>
      </w:r>
      <w:r w:rsidR="0047102F">
        <w:t>the Commission</w:t>
      </w:r>
      <w:r w:rsidRPr="00965FA6">
        <w:t xml:space="preserve"> adopt</w:t>
      </w:r>
      <w:r>
        <w:t>ed</w:t>
      </w:r>
      <w:r w:rsidRPr="00965FA6">
        <w:t xml:space="preserve"> enhancements to the existing transparency rule, which covers both content and format of disclosures by providers of broadband Internet access service.  </w:t>
      </w:r>
      <w:r w:rsidR="0047102F">
        <w:t>The</w:t>
      </w:r>
      <w:r>
        <w:t xml:space="preserve"> </w:t>
      </w:r>
      <w:r w:rsidRPr="00965FA6">
        <w:rPr>
          <w:szCs w:val="22"/>
        </w:rPr>
        <w:t>enhanced transparency requirements</w:t>
      </w:r>
      <w:r w:rsidR="00D8492B">
        <w:rPr>
          <w:szCs w:val="22"/>
        </w:rPr>
        <w:t xml:space="preserve"> serve the important function of</w:t>
      </w:r>
      <w:r w:rsidR="007473B8">
        <w:rPr>
          <w:szCs w:val="22"/>
        </w:rPr>
        <w:t xml:space="preserve"> </w:t>
      </w:r>
      <w:r w:rsidRPr="00965FA6">
        <w:rPr>
          <w:szCs w:val="22"/>
        </w:rPr>
        <w:t>providing critical information to serve end-user consumers, edge providers of broadband products and services, and the Internet community.</w:t>
      </w:r>
      <w:bookmarkStart w:id="13" w:name="_Toc412409879"/>
      <w:bookmarkEnd w:id="8"/>
      <w:bookmarkEnd w:id="9"/>
      <w:bookmarkEnd w:id="10"/>
      <w:bookmarkEnd w:id="11"/>
      <w:bookmarkEnd w:id="12"/>
      <w:bookmarkEnd w:id="13"/>
      <w:r>
        <w:rPr>
          <w:szCs w:val="22"/>
        </w:rPr>
        <w:t xml:space="preserve">  The </w:t>
      </w:r>
      <w:r w:rsidR="009B3B37">
        <w:rPr>
          <w:szCs w:val="22"/>
        </w:rPr>
        <w:t>transparency rule requires</w:t>
      </w:r>
      <w:r>
        <w:rPr>
          <w:szCs w:val="22"/>
        </w:rPr>
        <w:t xml:space="preserve"> that broadband providers, at a minimum, prominently display disclosures on a publicly available, easily accessible website available to current and prospective end users and edge providers as well as to the Commission, and that they disclose relevant information at the point of sale.  </w:t>
      </w:r>
      <w:r w:rsidR="007473B8">
        <w:rPr>
          <w:szCs w:val="22"/>
        </w:rPr>
        <w:t>W</w:t>
      </w:r>
      <w:r w:rsidRPr="00965FA6">
        <w:rPr>
          <w:szCs w:val="22"/>
        </w:rPr>
        <w:t>henever</w:t>
      </w:r>
      <w:r w:rsidRPr="00965FA6">
        <w:t xml:space="preserve"> there is a material change in a provider’s disclosure of commercial terms, network practices, or performance characteristics, the provider has a duty to up</w:t>
      </w:r>
      <w:r w:rsidR="000050CA">
        <w:t>date the disclosure.</w:t>
      </w:r>
    </w:p>
    <w:p w14:paraId="351B013A" w14:textId="77777777" w:rsidR="00186188" w:rsidRDefault="00186188" w:rsidP="00186188">
      <w:pPr>
        <w:pStyle w:val="ParaNum"/>
        <w:numPr>
          <w:ilvl w:val="0"/>
          <w:numId w:val="0"/>
        </w:numPr>
        <w:spacing w:after="0"/>
        <w:ind w:left="720"/>
        <w:rPr>
          <w:szCs w:val="22"/>
        </w:rPr>
      </w:pPr>
    </w:p>
    <w:p w14:paraId="0C71520B" w14:textId="64529DD9" w:rsidR="00371777" w:rsidRDefault="00234D49" w:rsidP="0055314F">
      <w:pPr>
        <w:pStyle w:val="ParaNum"/>
        <w:numPr>
          <w:ilvl w:val="0"/>
          <w:numId w:val="0"/>
        </w:numPr>
        <w:spacing w:after="0"/>
        <w:ind w:left="720"/>
      </w:pPr>
      <w:r>
        <w:rPr>
          <w:szCs w:val="22"/>
        </w:rPr>
        <w:t>S</w:t>
      </w:r>
      <w:r w:rsidR="00186188" w:rsidRPr="00D55031">
        <w:rPr>
          <w:szCs w:val="22"/>
        </w:rPr>
        <w:t xml:space="preserve">mall providers </w:t>
      </w:r>
      <w:r>
        <w:rPr>
          <w:szCs w:val="22"/>
        </w:rPr>
        <w:t xml:space="preserve">are exempt </w:t>
      </w:r>
      <w:r w:rsidR="00186188" w:rsidRPr="00D55031">
        <w:rPr>
          <w:szCs w:val="22"/>
        </w:rPr>
        <w:t xml:space="preserve">from </w:t>
      </w:r>
      <w:r w:rsidR="007473B8">
        <w:rPr>
          <w:szCs w:val="22"/>
        </w:rPr>
        <w:t xml:space="preserve">the </w:t>
      </w:r>
      <w:r w:rsidR="007473B8" w:rsidRPr="007473B8">
        <w:rPr>
          <w:i/>
          <w:szCs w:val="22"/>
        </w:rPr>
        <w:t>2015 Order’s</w:t>
      </w:r>
      <w:r w:rsidR="00186188" w:rsidRPr="00D55031">
        <w:rPr>
          <w:szCs w:val="22"/>
        </w:rPr>
        <w:t xml:space="preserve"> enhanced transparency requirements</w:t>
      </w:r>
      <w:r>
        <w:rPr>
          <w:szCs w:val="22"/>
        </w:rPr>
        <w:t xml:space="preserve"> until December 15, 2016.</w:t>
      </w:r>
      <w:r w:rsidR="00186188">
        <w:rPr>
          <w:rStyle w:val="FootnoteReference"/>
          <w:szCs w:val="22"/>
        </w:rPr>
        <w:footnoteReference w:id="2"/>
      </w:r>
      <w:r w:rsidR="00186188">
        <w:rPr>
          <w:szCs w:val="22"/>
        </w:rPr>
        <w:t xml:space="preserve">  This </w:t>
      </w:r>
      <w:r w:rsidR="00186188" w:rsidRPr="00D55031">
        <w:rPr>
          <w:szCs w:val="22"/>
        </w:rPr>
        <w:t xml:space="preserve">temporary exemption from the enhancements to the transparency rule </w:t>
      </w:r>
      <w:r w:rsidR="00186188">
        <w:rPr>
          <w:szCs w:val="22"/>
        </w:rPr>
        <w:t>applies to</w:t>
      </w:r>
      <w:r w:rsidR="00186188" w:rsidRPr="00D55031">
        <w:rPr>
          <w:szCs w:val="22"/>
        </w:rPr>
        <w:t xml:space="preserve"> those providers of broadband Internet access service (whether fixed or mobile) with 100,000 or fewer broadband subscribers as per their most recent Form 477, aggregated over all the providers’ affiliates.</w:t>
      </w:r>
      <w:r w:rsidR="00186188">
        <w:rPr>
          <w:szCs w:val="22"/>
        </w:rPr>
        <w:t xml:space="preserve">  </w:t>
      </w:r>
      <w:r w:rsidR="007473B8">
        <w:rPr>
          <w:szCs w:val="22"/>
        </w:rPr>
        <w:t>T</w:t>
      </w:r>
      <w:r w:rsidR="008D3273" w:rsidRPr="00130DB7">
        <w:rPr>
          <w:szCs w:val="22"/>
        </w:rPr>
        <w:t xml:space="preserve">he enhancements to the </w:t>
      </w:r>
      <w:r w:rsidR="008D3273">
        <w:rPr>
          <w:szCs w:val="22"/>
        </w:rPr>
        <w:t>t</w:t>
      </w:r>
      <w:r w:rsidR="008D3273" w:rsidRPr="00130DB7">
        <w:rPr>
          <w:szCs w:val="22"/>
        </w:rPr>
        <w:t>ransparency rule are still pending OMB approval</w:t>
      </w:r>
      <w:r w:rsidR="009B3B37">
        <w:rPr>
          <w:szCs w:val="22"/>
        </w:rPr>
        <w:t>,</w:t>
      </w:r>
      <w:r w:rsidR="008D3273" w:rsidRPr="00130DB7">
        <w:rPr>
          <w:szCs w:val="22"/>
        </w:rPr>
        <w:t xml:space="preserve"> since they were enhancement</w:t>
      </w:r>
      <w:r w:rsidR="008D3273">
        <w:rPr>
          <w:szCs w:val="22"/>
        </w:rPr>
        <w:t>s to an already existing rule.</w:t>
      </w:r>
      <w:r w:rsidR="009B3B37">
        <w:rPr>
          <w:szCs w:val="22"/>
        </w:rPr>
        <w:t xml:space="preserve">  Thus, at the time of release of this compliance guide, providers should continue to remain in compliance with our transparency rule from the </w:t>
      </w:r>
      <w:r w:rsidR="009B3B37">
        <w:rPr>
          <w:i/>
          <w:szCs w:val="22"/>
        </w:rPr>
        <w:t>2010 Open Internet Order.</w:t>
      </w:r>
      <w:r w:rsidR="00371777" w:rsidRPr="00371777">
        <w:rPr>
          <w:szCs w:val="22"/>
        </w:rPr>
        <w:t xml:space="preserve"> </w:t>
      </w:r>
    </w:p>
    <w:p w14:paraId="0B6B369F" w14:textId="507E6FC3" w:rsidR="00186188" w:rsidRDefault="00186188" w:rsidP="0055314F">
      <w:pPr>
        <w:pStyle w:val="ParaNum"/>
        <w:numPr>
          <w:ilvl w:val="0"/>
          <w:numId w:val="0"/>
        </w:numPr>
        <w:spacing w:after="0"/>
      </w:pPr>
    </w:p>
    <w:p w14:paraId="2B1B20E5" w14:textId="77777777" w:rsidR="00A352CB" w:rsidRPr="00186188" w:rsidRDefault="00A352CB" w:rsidP="00186188">
      <w:pPr>
        <w:tabs>
          <w:tab w:val="num" w:pos="0"/>
        </w:tabs>
        <w:rPr>
          <w:b/>
          <w:sz w:val="22"/>
          <w:szCs w:val="22"/>
          <w:u w:val="single"/>
        </w:rPr>
      </w:pPr>
    </w:p>
    <w:p w14:paraId="4AC9AE55" w14:textId="16A69B1D" w:rsidR="00A352CB" w:rsidRPr="00130DB7" w:rsidRDefault="00F806DD" w:rsidP="00611EB4">
      <w:pPr>
        <w:numPr>
          <w:ilvl w:val="0"/>
          <w:numId w:val="20"/>
        </w:numPr>
        <w:tabs>
          <w:tab w:val="clear" w:pos="1080"/>
          <w:tab w:val="num" w:pos="360"/>
        </w:tabs>
        <w:ind w:left="360" w:hanging="360"/>
        <w:outlineLvl w:val="0"/>
        <w:rPr>
          <w:sz w:val="22"/>
          <w:szCs w:val="22"/>
          <w:u w:val="single"/>
        </w:rPr>
      </w:pPr>
      <w:r w:rsidRPr="0055314F">
        <w:rPr>
          <w:caps/>
          <w:sz w:val="22"/>
          <w:szCs w:val="22"/>
          <w:u w:val="single"/>
        </w:rPr>
        <w:t>Effective Date</w:t>
      </w:r>
    </w:p>
    <w:p w14:paraId="3631D51C" w14:textId="77777777" w:rsidR="00A352CB" w:rsidRPr="00130DB7" w:rsidRDefault="00A352CB" w:rsidP="00611EB4">
      <w:pPr>
        <w:rPr>
          <w:sz w:val="22"/>
          <w:szCs w:val="22"/>
          <w:u w:val="single"/>
        </w:rPr>
      </w:pPr>
    </w:p>
    <w:p w14:paraId="0887EDB0" w14:textId="77777777" w:rsidR="00371777" w:rsidRPr="00130DB7" w:rsidRDefault="00371777" w:rsidP="00371777">
      <w:pPr>
        <w:tabs>
          <w:tab w:val="num" w:pos="0"/>
        </w:tabs>
        <w:ind w:left="720"/>
        <w:rPr>
          <w:sz w:val="22"/>
          <w:szCs w:val="22"/>
        </w:rPr>
      </w:pPr>
      <w:r w:rsidRPr="00D2717B">
        <w:rPr>
          <w:sz w:val="22"/>
          <w:szCs w:val="22"/>
        </w:rPr>
        <w:t xml:space="preserve">The Order </w:t>
      </w:r>
      <w:r>
        <w:rPr>
          <w:sz w:val="22"/>
          <w:szCs w:val="22"/>
        </w:rPr>
        <w:t>became</w:t>
      </w:r>
      <w:r w:rsidRPr="00D2717B">
        <w:rPr>
          <w:sz w:val="22"/>
          <w:szCs w:val="22"/>
        </w:rPr>
        <w:t xml:space="preserve"> effective </w:t>
      </w:r>
      <w:r>
        <w:rPr>
          <w:sz w:val="22"/>
          <w:szCs w:val="22"/>
        </w:rPr>
        <w:t>on June 12, 2015</w:t>
      </w:r>
      <w:r w:rsidRPr="00D2717B">
        <w:rPr>
          <w:sz w:val="22"/>
          <w:szCs w:val="22"/>
        </w:rPr>
        <w:t>, except for the modified information collection requirements in paragraphs 164, 166, 167, 169, 173, 174, 179, 180, and 181 of document FCC 15-24, that are not effective until approved by the Office of Management and Budget (OMB).</w:t>
      </w:r>
    </w:p>
    <w:p w14:paraId="3B287519" w14:textId="77777777" w:rsidR="00A352CB" w:rsidRPr="00130DB7" w:rsidRDefault="00A352CB" w:rsidP="00611EB4">
      <w:pPr>
        <w:rPr>
          <w:sz w:val="22"/>
          <w:szCs w:val="22"/>
        </w:rPr>
      </w:pPr>
    </w:p>
    <w:p w14:paraId="1A2111E8" w14:textId="7851C50D" w:rsidR="00A352CB" w:rsidRPr="00130DB7" w:rsidRDefault="008426C5" w:rsidP="00611EB4">
      <w:pPr>
        <w:outlineLvl w:val="0"/>
        <w:rPr>
          <w:sz w:val="22"/>
          <w:szCs w:val="22"/>
          <w:u w:val="single"/>
        </w:rPr>
      </w:pPr>
      <w:bookmarkStart w:id="14" w:name="_Toc324333836"/>
      <w:bookmarkStart w:id="15" w:name="_Toc324334034"/>
      <w:r w:rsidRPr="00130DB7">
        <w:rPr>
          <w:sz w:val="22"/>
          <w:szCs w:val="22"/>
        </w:rPr>
        <w:t xml:space="preserve">VII. </w:t>
      </w:r>
      <w:bookmarkEnd w:id="14"/>
      <w:bookmarkEnd w:id="15"/>
      <w:r w:rsidR="00F806DD" w:rsidRPr="0055314F">
        <w:rPr>
          <w:caps/>
          <w:sz w:val="22"/>
          <w:szCs w:val="22"/>
          <w:u w:val="single"/>
        </w:rPr>
        <w:t>Weblinks</w:t>
      </w:r>
    </w:p>
    <w:p w14:paraId="01B8B240" w14:textId="77777777" w:rsidR="00A352CB" w:rsidRPr="00130DB7" w:rsidRDefault="00A352CB" w:rsidP="00611EB4">
      <w:pPr>
        <w:rPr>
          <w:sz w:val="22"/>
          <w:szCs w:val="22"/>
          <w:u w:val="single"/>
        </w:rPr>
      </w:pPr>
    </w:p>
    <w:p w14:paraId="259AE0DF" w14:textId="7B1D9A44" w:rsidR="00A352CB" w:rsidRPr="00130DB7" w:rsidRDefault="008426C5" w:rsidP="00611EB4">
      <w:pPr>
        <w:tabs>
          <w:tab w:val="num" w:pos="0"/>
        </w:tabs>
        <w:autoSpaceDE w:val="0"/>
        <w:autoSpaceDN w:val="0"/>
        <w:adjustRightInd w:val="0"/>
        <w:ind w:left="720"/>
        <w:rPr>
          <w:i/>
          <w:iCs/>
          <w:sz w:val="22"/>
          <w:szCs w:val="22"/>
        </w:rPr>
      </w:pPr>
      <w:r w:rsidRPr="00130DB7">
        <w:rPr>
          <w:i/>
          <w:iCs/>
          <w:color w:val="010101"/>
          <w:sz w:val="22"/>
          <w:szCs w:val="22"/>
        </w:rPr>
        <w:t>Preserving the Open Internet</w:t>
      </w:r>
      <w:r w:rsidRPr="00130DB7">
        <w:rPr>
          <w:color w:val="010101"/>
          <w:sz w:val="22"/>
          <w:szCs w:val="22"/>
        </w:rPr>
        <w:t xml:space="preserve">, GN </w:t>
      </w:r>
      <w:r w:rsidRPr="00130DB7">
        <w:rPr>
          <w:sz w:val="22"/>
          <w:szCs w:val="22"/>
        </w:rPr>
        <w:t xml:space="preserve">Docket No. 09-191, WC Docket No. 07-52, Report and Order, </w:t>
      </w:r>
      <w:r w:rsidRPr="00130DB7">
        <w:rPr>
          <w:iCs/>
          <w:color w:val="000000"/>
          <w:sz w:val="22"/>
          <w:szCs w:val="22"/>
          <w:shd w:val="clear" w:color="auto" w:fill="FFFFFF"/>
        </w:rPr>
        <w:t>25 FCC Rcd 17905</w:t>
      </w:r>
      <w:r w:rsidRPr="00130DB7">
        <w:rPr>
          <w:sz w:val="22"/>
          <w:szCs w:val="22"/>
        </w:rPr>
        <w:t xml:space="preserve"> (2010), </w:t>
      </w:r>
      <w:hyperlink r:id="rId14" w:history="1">
        <w:r w:rsidR="00FF762A" w:rsidRPr="00FF762A">
          <w:rPr>
            <w:rStyle w:val="Hyperlink"/>
            <w:sz w:val="22"/>
            <w:szCs w:val="22"/>
          </w:rPr>
          <w:t>https://apps.fcc.gov/edocs_public/attachmatch/FCC-10-201A1_Rcd.pdf</w:t>
        </w:r>
      </w:hyperlink>
      <w:r w:rsidR="00FF762A" w:rsidRPr="00FF762A">
        <w:rPr>
          <w:sz w:val="22"/>
          <w:szCs w:val="22"/>
        </w:rPr>
        <w:t>.</w:t>
      </w:r>
      <w:r w:rsidR="00FF762A">
        <w:t xml:space="preserve"> </w:t>
      </w:r>
    </w:p>
    <w:p w14:paraId="41B19784" w14:textId="77777777" w:rsidR="00186188" w:rsidRDefault="00186188" w:rsidP="00D8492B">
      <w:pPr>
        <w:tabs>
          <w:tab w:val="num" w:pos="0"/>
        </w:tabs>
        <w:ind w:right="-18"/>
        <w:rPr>
          <w:sz w:val="22"/>
          <w:szCs w:val="22"/>
        </w:rPr>
      </w:pPr>
    </w:p>
    <w:p w14:paraId="550E7EE4" w14:textId="16A020BD" w:rsidR="00186188" w:rsidRPr="00FF762A" w:rsidRDefault="00CC37EB" w:rsidP="00611EB4">
      <w:pPr>
        <w:tabs>
          <w:tab w:val="num" w:pos="0"/>
        </w:tabs>
        <w:ind w:left="720" w:right="-18"/>
        <w:rPr>
          <w:sz w:val="24"/>
          <w:szCs w:val="22"/>
        </w:rPr>
      </w:pPr>
      <w:r w:rsidRPr="00CC37EB">
        <w:rPr>
          <w:i/>
          <w:sz w:val="22"/>
        </w:rPr>
        <w:t>Protecting and Promoting the Open Internet,</w:t>
      </w:r>
      <w:r w:rsidRPr="00CC37EB">
        <w:rPr>
          <w:sz w:val="22"/>
        </w:rPr>
        <w:t xml:space="preserve"> GN Docket No. 14-28, Report and Order on Remand, Declaratory Rul</w:t>
      </w:r>
      <w:r>
        <w:rPr>
          <w:sz w:val="22"/>
        </w:rPr>
        <w:t xml:space="preserve">ing and Order, 30 FCC Rcd 5601 </w:t>
      </w:r>
      <w:r w:rsidRPr="00CC37EB">
        <w:rPr>
          <w:sz w:val="22"/>
        </w:rPr>
        <w:t>(2015)</w:t>
      </w:r>
      <w:r>
        <w:rPr>
          <w:sz w:val="22"/>
        </w:rPr>
        <w:t xml:space="preserve">, </w:t>
      </w:r>
      <w:hyperlink r:id="rId15" w:history="1">
        <w:r w:rsidR="00FF762A" w:rsidRPr="008A7B7F">
          <w:rPr>
            <w:rStyle w:val="Hyperlink"/>
            <w:sz w:val="22"/>
          </w:rPr>
          <w:t>https://apps.fcc.gov/edocs_public/attachmatch/FCC-15-24A1.pdf</w:t>
        </w:r>
      </w:hyperlink>
      <w:r w:rsidR="00FF762A">
        <w:rPr>
          <w:sz w:val="22"/>
        </w:rPr>
        <w:t xml:space="preserve">. </w:t>
      </w:r>
    </w:p>
    <w:p w14:paraId="2826C5CC" w14:textId="77777777" w:rsidR="00A352CB" w:rsidRPr="00130DB7" w:rsidRDefault="00A352CB" w:rsidP="00611EB4">
      <w:pPr>
        <w:tabs>
          <w:tab w:val="num" w:pos="0"/>
        </w:tabs>
        <w:rPr>
          <w:sz w:val="22"/>
          <w:szCs w:val="22"/>
        </w:rPr>
      </w:pPr>
    </w:p>
    <w:sectPr w:rsidR="00A352CB" w:rsidRPr="00130DB7">
      <w:headerReference w:type="default" r:id="rId16"/>
      <w:footerReference w:type="default" r:id="rId17"/>
      <w:pgSz w:w="12240" w:h="15840" w:code="1"/>
      <w:pgMar w:top="153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20CD4F" w14:textId="77777777" w:rsidR="002F21B7" w:rsidRDefault="002F21B7">
      <w:r>
        <w:separator/>
      </w:r>
    </w:p>
  </w:endnote>
  <w:endnote w:type="continuationSeparator" w:id="0">
    <w:p w14:paraId="7F73B16B" w14:textId="77777777" w:rsidR="002F21B7" w:rsidRDefault="002F21B7">
      <w:r>
        <w:continuationSeparator/>
      </w:r>
    </w:p>
  </w:endnote>
  <w:endnote w:type="continuationNotice" w:id="1">
    <w:p w14:paraId="4EBCC557" w14:textId="77777777" w:rsidR="002F21B7" w:rsidRDefault="002F21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NewRoman,Bold">
    <w:altName w:val="Cambria"/>
    <w:panose1 w:val="00000000000000000000"/>
    <w:charset w:val="00"/>
    <w:family w:val="auto"/>
    <w:notTrueType/>
    <w:pitch w:val="default"/>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31C723" w14:textId="77777777" w:rsidR="00A352CB" w:rsidRDefault="00842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39B">
      <w:rPr>
        <w:rStyle w:val="PageNumber"/>
        <w:noProof/>
      </w:rPr>
      <w:t>2</w:t>
    </w:r>
    <w:r>
      <w:rPr>
        <w:rStyle w:val="PageNumber"/>
      </w:rPr>
      <w:fldChar w:fldCharType="end"/>
    </w:r>
  </w:p>
  <w:p w14:paraId="33B18C77" w14:textId="77777777" w:rsidR="00A352CB" w:rsidRDefault="00A352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BE458A" w14:textId="77777777" w:rsidR="00A352CB" w:rsidRDefault="00842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2239B">
      <w:rPr>
        <w:rStyle w:val="PageNumber"/>
        <w:noProof/>
      </w:rPr>
      <w:t>1</w:t>
    </w:r>
    <w:r>
      <w:rPr>
        <w:rStyle w:val="PageNumber"/>
      </w:rPr>
      <w:fldChar w:fldCharType="end"/>
    </w:r>
  </w:p>
  <w:p w14:paraId="1B7E95FA" w14:textId="77777777" w:rsidR="00A352CB" w:rsidRDefault="00A352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9F26AC" w14:textId="77777777" w:rsidR="0052239B" w:rsidRDefault="0052239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68BA5" w14:textId="77777777" w:rsidR="00A352CB" w:rsidRDefault="008426C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D4CAE">
      <w:rPr>
        <w:rStyle w:val="PageNumber"/>
        <w:noProof/>
      </w:rPr>
      <w:t>1</w:t>
    </w:r>
    <w:r>
      <w:rPr>
        <w:rStyle w:val="PageNumber"/>
      </w:rPr>
      <w:fldChar w:fldCharType="end"/>
    </w:r>
  </w:p>
  <w:p w14:paraId="0ED82A76" w14:textId="77777777" w:rsidR="00A352CB" w:rsidRDefault="00A352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EC808E" w14:textId="77777777" w:rsidR="002F21B7" w:rsidRDefault="002F21B7">
      <w:r>
        <w:separator/>
      </w:r>
    </w:p>
  </w:footnote>
  <w:footnote w:type="continuationSeparator" w:id="0">
    <w:p w14:paraId="43B68E7D" w14:textId="77777777" w:rsidR="002F21B7" w:rsidRDefault="002F21B7">
      <w:r>
        <w:continuationSeparator/>
      </w:r>
    </w:p>
  </w:footnote>
  <w:footnote w:type="continuationNotice" w:id="1">
    <w:p w14:paraId="05D3CAB7" w14:textId="77777777" w:rsidR="002F21B7" w:rsidRDefault="002F21B7"/>
  </w:footnote>
  <w:footnote w:id="2">
    <w:p w14:paraId="39FBA5F7" w14:textId="79C898B0" w:rsidR="00186188" w:rsidRDefault="00186188" w:rsidP="00186188">
      <w:pPr>
        <w:pStyle w:val="FootnoteText"/>
      </w:pPr>
      <w:r>
        <w:rPr>
          <w:rStyle w:val="FootnoteReference"/>
        </w:rPr>
        <w:footnoteRef/>
      </w:r>
      <w:r>
        <w:t xml:space="preserve"> We note however, that t</w:t>
      </w:r>
      <w:r w:rsidRPr="00A4739D">
        <w:t>he transparency rule has always required broadband providers to disclose information “sufficient for consumers to make informed choices</w:t>
      </w:r>
      <w:r>
        <w:t>,</w:t>
      </w:r>
      <w:r w:rsidRPr="00965FA6">
        <w:t>”</w:t>
      </w:r>
      <w:r w:rsidRPr="00A4739D">
        <w:t xml:space="preserve"> and that test could, in particular circumstances, include the enhancements</w:t>
      </w:r>
      <w:r>
        <w:t xml:space="preserve"> that </w:t>
      </w:r>
      <w:r w:rsidR="000050CA">
        <w:t>the Commission adopted</w:t>
      </w:r>
      <w:r>
        <w:t xml:space="preserve">.  </w:t>
      </w:r>
      <w:r w:rsidRPr="00965FA6">
        <w:t>We also reiterate that under both the existing transparency rule and the enhancements adopted in t</w:t>
      </w:r>
      <w:r w:rsidR="000050CA">
        <w:t xml:space="preserve">he </w:t>
      </w:r>
      <w:r w:rsidR="000050CA" w:rsidRPr="000050CA">
        <w:rPr>
          <w:i/>
        </w:rPr>
        <w:t xml:space="preserve">2015 </w:t>
      </w:r>
      <w:r w:rsidRPr="000050CA">
        <w:rPr>
          <w:i/>
        </w:rPr>
        <w:t>Order</w:t>
      </w:r>
      <w:r w:rsidRPr="00965FA6">
        <w:t xml:space="preserve">, all disclosures that broadband providers make about their network practices, performance, and commercial terms of broadband services must be accurate and not misleading.  </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F8AAD" w14:textId="77777777" w:rsidR="0052239B" w:rsidRDefault="005223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6E56F" w14:textId="77777777" w:rsidR="0052239B" w:rsidRDefault="005223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F0F1C1" w14:textId="77777777" w:rsidR="00A352CB" w:rsidRDefault="008426C5">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4A634379" wp14:editId="5D2044C8">
          <wp:simplePos x="0" y="0"/>
          <wp:positionH relativeFrom="column">
            <wp:posOffset>-403860</wp:posOffset>
          </wp:positionH>
          <wp:positionV relativeFrom="paragraph">
            <wp:posOffset>0</wp:posOffset>
          </wp:positionV>
          <wp:extent cx="865505" cy="82296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14:paraId="0477385B" w14:textId="77777777" w:rsidR="00A352CB" w:rsidRDefault="008426C5">
    <w:pPr>
      <w:jc w:val="center"/>
    </w:pPr>
    <w:smartTag w:uri="urn:schemas-microsoft-com:office:smarttags" w:element="place">
      <w:smartTag w:uri="urn:schemas-microsoft-com:office:smarttags" w:element="City">
        <w:r>
          <w:rPr>
            <w:rFonts w:ascii="CG Times (W1)" w:hAnsi="CG Times (W1)"/>
            <w:sz w:val="28"/>
          </w:rPr>
          <w:t>Washington</w:t>
        </w:r>
      </w:smartTag>
      <w:r>
        <w:rPr>
          <w:rFonts w:ascii="CG Times (W1)" w:hAnsi="CG Times (W1)"/>
          <w:sz w:val="28"/>
        </w:rPr>
        <w:t xml:space="preserve">, </w:t>
      </w:r>
      <w:smartTag w:uri="urn:schemas-microsoft-com:office:smarttags" w:element="metricconverter">
        <w:r>
          <w:rPr>
            <w:rFonts w:ascii="CG Times (W1)" w:hAnsi="CG Times (W1)"/>
            <w:sz w:val="28"/>
          </w:rPr>
          <w:t>D.C.</w:t>
        </w:r>
      </w:smartTag>
      <w:r>
        <w:rPr>
          <w:rFonts w:ascii="CG Times (W1)" w:hAnsi="CG Times (W1)"/>
          <w:sz w:val="28"/>
        </w:rPr>
        <w:t xml:space="preserve"> </w:t>
      </w:r>
      <w:smartTag w:uri="urn:schemas-microsoft-com:office:smarttags" w:element="PostalCode">
        <w:r>
          <w:rPr>
            <w:rFonts w:ascii="CG Times (W1)" w:hAnsi="CG Times (W1)"/>
            <w:sz w:val="28"/>
          </w:rPr>
          <w:t>20554</w:t>
        </w:r>
      </w:smartTag>
    </w:smartTag>
  </w:p>
  <w:p w14:paraId="6CB9BA39" w14:textId="77777777" w:rsidR="00A352CB" w:rsidRDefault="00A352CB">
    <w:pPr>
      <w:pStyle w:val="Header"/>
      <w:tabs>
        <w:tab w:val="clear" w:pos="4320"/>
      </w:tabs>
      <w:jc w:val="center"/>
      <w:rPr>
        <w:sz w:val="22"/>
      </w:rPr>
    </w:pPr>
  </w:p>
  <w:p w14:paraId="2C29FB45" w14:textId="1F9B53F3" w:rsidR="00A352CB" w:rsidRDefault="001B08D9">
    <w:pPr>
      <w:pStyle w:val="Header"/>
      <w:tabs>
        <w:tab w:val="clear" w:pos="4320"/>
      </w:tabs>
      <w:jc w:val="center"/>
      <w:rPr>
        <w:sz w:val="22"/>
      </w:rPr>
    </w:pPr>
    <w:r>
      <w:rPr>
        <w:sz w:val="22"/>
      </w:rPr>
      <w:t>March 11, 2016</w:t>
    </w:r>
  </w:p>
  <w:p w14:paraId="772DD66F" w14:textId="77777777" w:rsidR="001B08D9" w:rsidRDefault="001B08D9"/>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4BA6" w14:textId="77777777" w:rsidR="00A352CB" w:rsidRDefault="00A352C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31AF"/>
    <w:multiLevelType w:val="hybridMultilevel"/>
    <w:tmpl w:val="72B4FCC4"/>
    <w:lvl w:ilvl="0" w:tplc="9C5AA686">
      <w:start w:val="1"/>
      <w:numFmt w:val="bullet"/>
      <w:lvlText w:val=""/>
      <w:lvlJc w:val="left"/>
      <w:pPr>
        <w:tabs>
          <w:tab w:val="num" w:pos="720"/>
        </w:tabs>
        <w:ind w:left="720" w:hanging="360"/>
      </w:pPr>
      <w:rPr>
        <w:rFonts w:ascii="Wingdings" w:hAnsi="Wingdings" w:hint="default"/>
      </w:rPr>
    </w:lvl>
    <w:lvl w:ilvl="1" w:tplc="CE60BF14">
      <w:start w:val="1"/>
      <w:numFmt w:val="bullet"/>
      <w:lvlText w:val=""/>
      <w:lvlJc w:val="left"/>
      <w:pPr>
        <w:tabs>
          <w:tab w:val="num" w:pos="1440"/>
        </w:tabs>
        <w:ind w:left="1440" w:hanging="360"/>
      </w:pPr>
      <w:rPr>
        <w:rFonts w:ascii="Wingdings" w:hAnsi="Wingdings" w:hint="default"/>
      </w:rPr>
    </w:lvl>
    <w:lvl w:ilvl="2" w:tplc="ED5CA436" w:tentative="1">
      <w:start w:val="1"/>
      <w:numFmt w:val="bullet"/>
      <w:lvlText w:val=""/>
      <w:lvlJc w:val="left"/>
      <w:pPr>
        <w:tabs>
          <w:tab w:val="num" w:pos="2160"/>
        </w:tabs>
        <w:ind w:left="2160" w:hanging="360"/>
      </w:pPr>
      <w:rPr>
        <w:rFonts w:ascii="Wingdings" w:hAnsi="Wingdings" w:hint="default"/>
      </w:rPr>
    </w:lvl>
    <w:lvl w:ilvl="3" w:tplc="1AACBE08" w:tentative="1">
      <w:start w:val="1"/>
      <w:numFmt w:val="bullet"/>
      <w:lvlText w:val=""/>
      <w:lvlJc w:val="left"/>
      <w:pPr>
        <w:tabs>
          <w:tab w:val="num" w:pos="2880"/>
        </w:tabs>
        <w:ind w:left="2880" w:hanging="360"/>
      </w:pPr>
      <w:rPr>
        <w:rFonts w:ascii="Wingdings" w:hAnsi="Wingdings" w:hint="default"/>
      </w:rPr>
    </w:lvl>
    <w:lvl w:ilvl="4" w:tplc="D4403626" w:tentative="1">
      <w:start w:val="1"/>
      <w:numFmt w:val="bullet"/>
      <w:lvlText w:val=""/>
      <w:lvlJc w:val="left"/>
      <w:pPr>
        <w:tabs>
          <w:tab w:val="num" w:pos="3600"/>
        </w:tabs>
        <w:ind w:left="3600" w:hanging="360"/>
      </w:pPr>
      <w:rPr>
        <w:rFonts w:ascii="Wingdings" w:hAnsi="Wingdings" w:hint="default"/>
      </w:rPr>
    </w:lvl>
    <w:lvl w:ilvl="5" w:tplc="CCA21418" w:tentative="1">
      <w:start w:val="1"/>
      <w:numFmt w:val="bullet"/>
      <w:lvlText w:val=""/>
      <w:lvlJc w:val="left"/>
      <w:pPr>
        <w:tabs>
          <w:tab w:val="num" w:pos="4320"/>
        </w:tabs>
        <w:ind w:left="4320" w:hanging="360"/>
      </w:pPr>
      <w:rPr>
        <w:rFonts w:ascii="Wingdings" w:hAnsi="Wingdings" w:hint="default"/>
      </w:rPr>
    </w:lvl>
    <w:lvl w:ilvl="6" w:tplc="5868133A" w:tentative="1">
      <w:start w:val="1"/>
      <w:numFmt w:val="bullet"/>
      <w:lvlText w:val=""/>
      <w:lvlJc w:val="left"/>
      <w:pPr>
        <w:tabs>
          <w:tab w:val="num" w:pos="5040"/>
        </w:tabs>
        <w:ind w:left="5040" w:hanging="360"/>
      </w:pPr>
      <w:rPr>
        <w:rFonts w:ascii="Wingdings" w:hAnsi="Wingdings" w:hint="default"/>
      </w:rPr>
    </w:lvl>
    <w:lvl w:ilvl="7" w:tplc="FF167F8A" w:tentative="1">
      <w:start w:val="1"/>
      <w:numFmt w:val="bullet"/>
      <w:lvlText w:val=""/>
      <w:lvlJc w:val="left"/>
      <w:pPr>
        <w:tabs>
          <w:tab w:val="num" w:pos="5760"/>
        </w:tabs>
        <w:ind w:left="5760" w:hanging="360"/>
      </w:pPr>
      <w:rPr>
        <w:rFonts w:ascii="Wingdings" w:hAnsi="Wingdings" w:hint="default"/>
      </w:rPr>
    </w:lvl>
    <w:lvl w:ilvl="8" w:tplc="5D469F72" w:tentative="1">
      <w:start w:val="1"/>
      <w:numFmt w:val="bullet"/>
      <w:lvlText w:val=""/>
      <w:lvlJc w:val="left"/>
      <w:pPr>
        <w:tabs>
          <w:tab w:val="num" w:pos="6480"/>
        </w:tabs>
        <w:ind w:left="6480" w:hanging="360"/>
      </w:pPr>
      <w:rPr>
        <w:rFonts w:ascii="Wingdings" w:hAnsi="Wingdings" w:hint="default"/>
      </w:rPr>
    </w:lvl>
  </w:abstractNum>
  <w:abstractNum w:abstractNumId="1">
    <w:nsid w:val="0A08010F"/>
    <w:multiLevelType w:val="hybridMultilevel"/>
    <w:tmpl w:val="CE88CF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0B25D7"/>
    <w:multiLevelType w:val="hybridMultilevel"/>
    <w:tmpl w:val="B1D0FF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D9660C7"/>
    <w:multiLevelType w:val="hybridMultilevel"/>
    <w:tmpl w:val="3574079C"/>
    <w:lvl w:ilvl="0" w:tplc="04090001">
      <w:start w:val="1"/>
      <w:numFmt w:val="bullet"/>
      <w:lvlText w:val=""/>
      <w:lvlJc w:val="left"/>
      <w:pPr>
        <w:tabs>
          <w:tab w:val="num" w:pos="648"/>
        </w:tabs>
        <w:ind w:left="648" w:hanging="432"/>
      </w:pPr>
      <w:rPr>
        <w:rFonts w:ascii="Symbol" w:hAnsi="Symbol" w:hint="default"/>
      </w:rPr>
    </w:lvl>
    <w:lvl w:ilvl="1" w:tplc="04090003">
      <w:start w:val="1"/>
      <w:numFmt w:val="lowerLetter"/>
      <w:lvlText w:val="%2."/>
      <w:lvlJc w:val="left"/>
      <w:pPr>
        <w:tabs>
          <w:tab w:val="num" w:pos="1440"/>
        </w:tabs>
        <w:ind w:left="1440" w:hanging="360"/>
      </w:pPr>
      <w:rPr>
        <w:rFonts w:cs="Times New Roman"/>
      </w:rPr>
    </w:lvl>
    <w:lvl w:ilvl="2" w:tplc="04090005" w:tentative="1">
      <w:start w:val="1"/>
      <w:numFmt w:val="lowerRoman"/>
      <w:lvlText w:val="%3."/>
      <w:lvlJc w:val="right"/>
      <w:pPr>
        <w:tabs>
          <w:tab w:val="num" w:pos="2160"/>
        </w:tabs>
        <w:ind w:left="2160" w:hanging="180"/>
      </w:pPr>
      <w:rPr>
        <w:rFonts w:cs="Times New Roman"/>
      </w:rPr>
    </w:lvl>
    <w:lvl w:ilvl="3" w:tplc="04090001" w:tentative="1">
      <w:start w:val="1"/>
      <w:numFmt w:val="decimal"/>
      <w:lvlText w:val="%4."/>
      <w:lvlJc w:val="left"/>
      <w:pPr>
        <w:tabs>
          <w:tab w:val="num" w:pos="2880"/>
        </w:tabs>
        <w:ind w:left="2880" w:hanging="360"/>
      </w:pPr>
      <w:rPr>
        <w:rFonts w:cs="Times New Roman"/>
      </w:rPr>
    </w:lvl>
    <w:lvl w:ilvl="4" w:tplc="04090003" w:tentative="1">
      <w:start w:val="1"/>
      <w:numFmt w:val="lowerLetter"/>
      <w:lvlText w:val="%5."/>
      <w:lvlJc w:val="left"/>
      <w:pPr>
        <w:tabs>
          <w:tab w:val="num" w:pos="3600"/>
        </w:tabs>
        <w:ind w:left="3600" w:hanging="360"/>
      </w:pPr>
      <w:rPr>
        <w:rFonts w:cs="Times New Roman"/>
      </w:rPr>
    </w:lvl>
    <w:lvl w:ilvl="5" w:tplc="04090005" w:tentative="1">
      <w:start w:val="1"/>
      <w:numFmt w:val="lowerRoman"/>
      <w:lvlText w:val="%6."/>
      <w:lvlJc w:val="right"/>
      <w:pPr>
        <w:tabs>
          <w:tab w:val="num" w:pos="4320"/>
        </w:tabs>
        <w:ind w:left="4320" w:hanging="180"/>
      </w:pPr>
      <w:rPr>
        <w:rFonts w:cs="Times New Roman"/>
      </w:rPr>
    </w:lvl>
    <w:lvl w:ilvl="6" w:tplc="04090001" w:tentative="1">
      <w:start w:val="1"/>
      <w:numFmt w:val="decimal"/>
      <w:lvlText w:val="%7."/>
      <w:lvlJc w:val="left"/>
      <w:pPr>
        <w:tabs>
          <w:tab w:val="num" w:pos="5040"/>
        </w:tabs>
        <w:ind w:left="5040" w:hanging="360"/>
      </w:pPr>
      <w:rPr>
        <w:rFonts w:cs="Times New Roman"/>
      </w:rPr>
    </w:lvl>
    <w:lvl w:ilvl="7" w:tplc="04090003" w:tentative="1">
      <w:start w:val="1"/>
      <w:numFmt w:val="lowerLetter"/>
      <w:lvlText w:val="%8."/>
      <w:lvlJc w:val="left"/>
      <w:pPr>
        <w:tabs>
          <w:tab w:val="num" w:pos="5760"/>
        </w:tabs>
        <w:ind w:left="5760" w:hanging="360"/>
      </w:pPr>
      <w:rPr>
        <w:rFonts w:cs="Times New Roman"/>
      </w:rPr>
    </w:lvl>
    <w:lvl w:ilvl="8" w:tplc="04090005" w:tentative="1">
      <w:start w:val="1"/>
      <w:numFmt w:val="lowerRoman"/>
      <w:lvlText w:val="%9."/>
      <w:lvlJc w:val="right"/>
      <w:pPr>
        <w:tabs>
          <w:tab w:val="num" w:pos="6480"/>
        </w:tabs>
        <w:ind w:left="6480" w:hanging="180"/>
      </w:pPr>
      <w:rPr>
        <w:rFonts w:cs="Times New Roman"/>
      </w:rPr>
    </w:lvl>
  </w:abstractNum>
  <w:abstractNum w:abstractNumId="4">
    <w:nsid w:val="129230C8"/>
    <w:multiLevelType w:val="hybridMultilevel"/>
    <w:tmpl w:val="67BE547E"/>
    <w:lvl w:ilvl="0" w:tplc="04090001">
      <w:start w:val="1"/>
      <w:numFmt w:val="bullet"/>
      <w:lvlText w:val=""/>
      <w:lvlJc w:val="left"/>
      <w:pPr>
        <w:tabs>
          <w:tab w:val="num" w:pos="2160"/>
        </w:tabs>
        <w:ind w:left="2160" w:hanging="360"/>
      </w:pPr>
      <w:rPr>
        <w:rFonts w:ascii="Symbol" w:hAnsi="Symbol" w:hint="default"/>
      </w:rPr>
    </w:lvl>
    <w:lvl w:ilvl="1" w:tplc="04090013">
      <w:start w:val="1"/>
      <w:numFmt w:val="upperRoman"/>
      <w:lvlText w:val="%2."/>
      <w:lvlJc w:val="right"/>
      <w:pPr>
        <w:tabs>
          <w:tab w:val="num" w:pos="2700"/>
        </w:tabs>
        <w:ind w:left="2700" w:hanging="180"/>
      </w:pPr>
      <w:rPr>
        <w:rFonts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nsid w:val="12F5006D"/>
    <w:multiLevelType w:val="hybridMultilevel"/>
    <w:tmpl w:val="683A109A"/>
    <w:lvl w:ilvl="0" w:tplc="2408B078">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1865190F"/>
    <w:multiLevelType w:val="hybridMultilevel"/>
    <w:tmpl w:val="28B4CF7A"/>
    <w:lvl w:ilvl="0" w:tplc="04090013">
      <w:start w:val="1"/>
      <w:numFmt w:val="upperRoman"/>
      <w:lvlText w:val="%1."/>
      <w:lvlJc w:val="right"/>
      <w:pPr>
        <w:tabs>
          <w:tab w:val="num" w:pos="540"/>
        </w:tabs>
        <w:ind w:left="540" w:hanging="180"/>
      </w:pPr>
    </w:lvl>
    <w:lvl w:ilvl="1" w:tplc="0409000B">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B583DDB"/>
    <w:multiLevelType w:val="hybridMultilevel"/>
    <w:tmpl w:val="88FE028E"/>
    <w:lvl w:ilvl="0" w:tplc="0409000B">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8">
    <w:nsid w:val="1D353ABD"/>
    <w:multiLevelType w:val="hybridMultilevel"/>
    <w:tmpl w:val="4B72BF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600231"/>
    <w:multiLevelType w:val="multilevel"/>
    <w:tmpl w:val="E61AF8A4"/>
    <w:lvl w:ilvl="0">
      <w:start w:val="1"/>
      <w:numFmt w:val="lowerRoman"/>
      <w:lvlText w:val="%1."/>
      <w:lvlJc w:val="left"/>
      <w:pPr>
        <w:tabs>
          <w:tab w:val="num" w:pos="2160"/>
        </w:tabs>
        <w:ind w:left="2160" w:hanging="720"/>
      </w:pPr>
      <w:rPr>
        <w:rFonts w:hint="default"/>
        <w:b w:val="0"/>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10">
    <w:nsid w:val="2C2F4C5A"/>
    <w:multiLevelType w:val="hybridMultilevel"/>
    <w:tmpl w:val="A7808988"/>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FA20879"/>
    <w:multiLevelType w:val="hybridMultilevel"/>
    <w:tmpl w:val="8E2A580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2">
    <w:nsid w:val="312D3B47"/>
    <w:multiLevelType w:val="hybridMultilevel"/>
    <w:tmpl w:val="C140248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9855D4D"/>
    <w:multiLevelType w:val="multilevel"/>
    <w:tmpl w:val="4B72BF6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02C27BA"/>
    <w:multiLevelType w:val="multilevel"/>
    <w:tmpl w:val="3B383178"/>
    <w:lvl w:ilvl="0">
      <w:start w:val="1"/>
      <w:numFmt w:val="upperRoman"/>
      <w:lvlText w:val="%1."/>
      <w:lvlJc w:val="left"/>
      <w:pPr>
        <w:tabs>
          <w:tab w:val="num" w:pos="1080"/>
        </w:tabs>
        <w:ind w:left="108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4DC01C4"/>
    <w:multiLevelType w:val="hybridMultilevel"/>
    <w:tmpl w:val="DF3A7242"/>
    <w:lvl w:ilvl="0" w:tplc="61DA80D0">
      <w:start w:val="1"/>
      <w:numFmt w:val="upperRoman"/>
      <w:lvlText w:val="%1."/>
      <w:lvlJc w:val="left"/>
      <w:pPr>
        <w:tabs>
          <w:tab w:val="num" w:pos="1080"/>
        </w:tabs>
        <w:ind w:left="1080" w:hanging="720"/>
      </w:pPr>
      <w:rPr>
        <w:rFonts w:hint="default"/>
      </w:rPr>
    </w:lvl>
    <w:lvl w:ilvl="1" w:tplc="41B89BE8">
      <w:start w:val="1"/>
      <w:numFmt w:val="lowerRoman"/>
      <w:lvlText w:val="%2."/>
      <w:lvlJc w:val="left"/>
      <w:pPr>
        <w:tabs>
          <w:tab w:val="num" w:pos="1440"/>
        </w:tabs>
        <w:ind w:left="1440" w:hanging="360"/>
      </w:pPr>
      <w:rPr>
        <w:rFonts w:hint="default"/>
      </w:rPr>
    </w:lvl>
    <w:lvl w:ilvl="2" w:tplc="B9905C14">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C56B9F"/>
    <w:multiLevelType w:val="hybridMultilevel"/>
    <w:tmpl w:val="840E7E84"/>
    <w:lvl w:ilvl="0" w:tplc="0409000F">
      <w:start w:val="1"/>
      <w:numFmt w:val="decimal"/>
      <w:lvlText w:val="%1."/>
      <w:lvlJc w:val="left"/>
      <w:pPr>
        <w:tabs>
          <w:tab w:val="num" w:pos="1800"/>
        </w:tabs>
        <w:ind w:left="1800" w:hanging="360"/>
      </w:pPr>
      <w:rPr>
        <w:rFonts w:hint="default"/>
        <w:b w:val="0"/>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4BD02504"/>
    <w:multiLevelType w:val="hybridMultilevel"/>
    <w:tmpl w:val="A2C0219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nsid w:val="4D212221"/>
    <w:multiLevelType w:val="hybridMultilevel"/>
    <w:tmpl w:val="3B383178"/>
    <w:lvl w:ilvl="0" w:tplc="49222874">
      <w:start w:val="1"/>
      <w:numFmt w:val="upperRoman"/>
      <w:lvlText w:val="%1."/>
      <w:lvlJc w:val="left"/>
      <w:pPr>
        <w:tabs>
          <w:tab w:val="num" w:pos="1080"/>
        </w:tabs>
        <w:ind w:left="1080" w:hanging="720"/>
      </w:pPr>
      <w:rPr>
        <w:rFonts w:hint="default"/>
      </w:rPr>
    </w:lvl>
    <w:lvl w:ilvl="1" w:tplc="3DAAEFAA">
      <w:start w:val="1"/>
      <w:numFmt w:val="lowerRoman"/>
      <w:lvlText w:val="%2."/>
      <w:lvlJc w:val="left"/>
      <w:pPr>
        <w:tabs>
          <w:tab w:val="num" w:pos="1800"/>
        </w:tabs>
        <w:ind w:left="1800" w:hanging="720"/>
      </w:pPr>
      <w:rPr>
        <w:rFonts w:hint="default"/>
        <w:b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EBC5445"/>
    <w:multiLevelType w:val="hybridMultilevel"/>
    <w:tmpl w:val="362CB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F4B2F9A"/>
    <w:multiLevelType w:val="hybridMultilevel"/>
    <w:tmpl w:val="D5E2DE50"/>
    <w:lvl w:ilvl="0" w:tplc="04090001">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nsid w:val="530D6DDB"/>
    <w:multiLevelType w:val="hybridMultilevel"/>
    <w:tmpl w:val="605E50E8"/>
    <w:lvl w:ilvl="0" w:tplc="33D4C04A">
      <w:start w:val="1"/>
      <w:numFmt w:val="bullet"/>
      <w:lvlText w:val=""/>
      <w:lvlJc w:val="left"/>
      <w:pPr>
        <w:tabs>
          <w:tab w:val="num" w:pos="720"/>
        </w:tabs>
        <w:ind w:left="720" w:hanging="360"/>
      </w:pPr>
      <w:rPr>
        <w:rFonts w:ascii="Wingdings" w:hAnsi="Wingdings" w:hint="default"/>
      </w:rPr>
    </w:lvl>
    <w:lvl w:ilvl="1" w:tplc="54A48986">
      <w:start w:val="1"/>
      <w:numFmt w:val="bullet"/>
      <w:lvlText w:val=""/>
      <w:lvlJc w:val="left"/>
      <w:pPr>
        <w:tabs>
          <w:tab w:val="num" w:pos="1440"/>
        </w:tabs>
        <w:ind w:left="1440" w:hanging="360"/>
      </w:pPr>
      <w:rPr>
        <w:rFonts w:ascii="Wingdings" w:hAnsi="Wingdings" w:hint="default"/>
      </w:rPr>
    </w:lvl>
    <w:lvl w:ilvl="2" w:tplc="7478B390" w:tentative="1">
      <w:start w:val="1"/>
      <w:numFmt w:val="bullet"/>
      <w:lvlText w:val=""/>
      <w:lvlJc w:val="left"/>
      <w:pPr>
        <w:tabs>
          <w:tab w:val="num" w:pos="2160"/>
        </w:tabs>
        <w:ind w:left="2160" w:hanging="360"/>
      </w:pPr>
      <w:rPr>
        <w:rFonts w:ascii="Wingdings" w:hAnsi="Wingdings" w:hint="default"/>
      </w:rPr>
    </w:lvl>
    <w:lvl w:ilvl="3" w:tplc="44609550" w:tentative="1">
      <w:start w:val="1"/>
      <w:numFmt w:val="bullet"/>
      <w:lvlText w:val=""/>
      <w:lvlJc w:val="left"/>
      <w:pPr>
        <w:tabs>
          <w:tab w:val="num" w:pos="2880"/>
        </w:tabs>
        <w:ind w:left="2880" w:hanging="360"/>
      </w:pPr>
      <w:rPr>
        <w:rFonts w:ascii="Wingdings" w:hAnsi="Wingdings" w:hint="default"/>
      </w:rPr>
    </w:lvl>
    <w:lvl w:ilvl="4" w:tplc="BAEC6404" w:tentative="1">
      <w:start w:val="1"/>
      <w:numFmt w:val="bullet"/>
      <w:lvlText w:val=""/>
      <w:lvlJc w:val="left"/>
      <w:pPr>
        <w:tabs>
          <w:tab w:val="num" w:pos="3600"/>
        </w:tabs>
        <w:ind w:left="3600" w:hanging="360"/>
      </w:pPr>
      <w:rPr>
        <w:rFonts w:ascii="Wingdings" w:hAnsi="Wingdings" w:hint="default"/>
      </w:rPr>
    </w:lvl>
    <w:lvl w:ilvl="5" w:tplc="8904FEB2" w:tentative="1">
      <w:start w:val="1"/>
      <w:numFmt w:val="bullet"/>
      <w:lvlText w:val=""/>
      <w:lvlJc w:val="left"/>
      <w:pPr>
        <w:tabs>
          <w:tab w:val="num" w:pos="4320"/>
        </w:tabs>
        <w:ind w:left="4320" w:hanging="360"/>
      </w:pPr>
      <w:rPr>
        <w:rFonts w:ascii="Wingdings" w:hAnsi="Wingdings" w:hint="default"/>
      </w:rPr>
    </w:lvl>
    <w:lvl w:ilvl="6" w:tplc="A36C0DF8" w:tentative="1">
      <w:start w:val="1"/>
      <w:numFmt w:val="bullet"/>
      <w:lvlText w:val=""/>
      <w:lvlJc w:val="left"/>
      <w:pPr>
        <w:tabs>
          <w:tab w:val="num" w:pos="5040"/>
        </w:tabs>
        <w:ind w:left="5040" w:hanging="360"/>
      </w:pPr>
      <w:rPr>
        <w:rFonts w:ascii="Wingdings" w:hAnsi="Wingdings" w:hint="default"/>
      </w:rPr>
    </w:lvl>
    <w:lvl w:ilvl="7" w:tplc="43D47C74" w:tentative="1">
      <w:start w:val="1"/>
      <w:numFmt w:val="bullet"/>
      <w:lvlText w:val=""/>
      <w:lvlJc w:val="left"/>
      <w:pPr>
        <w:tabs>
          <w:tab w:val="num" w:pos="5760"/>
        </w:tabs>
        <w:ind w:left="5760" w:hanging="360"/>
      </w:pPr>
      <w:rPr>
        <w:rFonts w:ascii="Wingdings" w:hAnsi="Wingdings" w:hint="default"/>
      </w:rPr>
    </w:lvl>
    <w:lvl w:ilvl="8" w:tplc="F32CA844" w:tentative="1">
      <w:start w:val="1"/>
      <w:numFmt w:val="bullet"/>
      <w:lvlText w:val=""/>
      <w:lvlJc w:val="left"/>
      <w:pPr>
        <w:tabs>
          <w:tab w:val="num" w:pos="6480"/>
        </w:tabs>
        <w:ind w:left="6480" w:hanging="360"/>
      </w:pPr>
      <w:rPr>
        <w:rFonts w:ascii="Wingdings" w:hAnsi="Wingdings" w:hint="default"/>
      </w:rPr>
    </w:lvl>
  </w:abstractNum>
  <w:abstractNum w:abstractNumId="22">
    <w:nsid w:val="53413230"/>
    <w:multiLevelType w:val="hybridMultilevel"/>
    <w:tmpl w:val="528405D4"/>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54894833"/>
    <w:multiLevelType w:val="hybridMultilevel"/>
    <w:tmpl w:val="60EA4BF4"/>
    <w:lvl w:ilvl="0" w:tplc="5D42377A">
      <w:start w:val="1"/>
      <w:numFmt w:val="decimal"/>
      <w:lvlText w:val="%1."/>
      <w:lvlJc w:val="left"/>
      <w:pPr>
        <w:tabs>
          <w:tab w:val="num" w:pos="1440"/>
        </w:tabs>
        <w:ind w:left="1440" w:hanging="360"/>
      </w:pPr>
      <w:rPr>
        <w:rFonts w:ascii="Times New Roman Bold" w:hAnsi="Times New Roman Bold"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5C244EE"/>
    <w:multiLevelType w:val="hybridMultilevel"/>
    <w:tmpl w:val="97A03BAC"/>
    <w:lvl w:ilvl="0" w:tplc="23EA1F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9ED2153"/>
    <w:multiLevelType w:val="hybridMultilevel"/>
    <w:tmpl w:val="F67222E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0E903B0"/>
    <w:multiLevelType w:val="hybridMultilevel"/>
    <w:tmpl w:val="4D680C22"/>
    <w:lvl w:ilvl="0" w:tplc="E76216E4">
      <w:start w:val="1"/>
      <w:numFmt w:val="lowerRoman"/>
      <w:lvlText w:val="%1."/>
      <w:lvlJc w:val="left"/>
      <w:pPr>
        <w:tabs>
          <w:tab w:val="num" w:pos="1890"/>
        </w:tabs>
        <w:ind w:left="1890" w:hanging="360"/>
      </w:pPr>
      <w:rPr>
        <w:rFonts w:hint="default"/>
        <w:b w:val="0"/>
      </w:rPr>
    </w:lvl>
    <w:lvl w:ilvl="1" w:tplc="0409000B">
      <w:start w:val="1"/>
      <w:numFmt w:val="bullet"/>
      <w:lvlText w:val=""/>
      <w:lvlJc w:val="left"/>
      <w:pPr>
        <w:tabs>
          <w:tab w:val="num" w:pos="3690"/>
        </w:tabs>
        <w:ind w:left="3690" w:hanging="360"/>
      </w:pPr>
      <w:rPr>
        <w:rFonts w:ascii="Wingdings" w:hAnsi="Wingdings" w:hint="default"/>
      </w:rPr>
    </w:lvl>
    <w:lvl w:ilvl="2" w:tplc="42E23B4A">
      <w:start w:val="1"/>
      <w:numFmt w:val="decimal"/>
      <w:lvlText w:val="(%3)"/>
      <w:lvlJc w:val="left"/>
      <w:pPr>
        <w:tabs>
          <w:tab w:val="num" w:pos="4410"/>
        </w:tabs>
        <w:ind w:left="4410" w:hanging="360"/>
      </w:pPr>
      <w:rPr>
        <w:rFonts w:hint="default"/>
      </w:rPr>
    </w:lvl>
    <w:lvl w:ilvl="3" w:tplc="04090001" w:tentative="1">
      <w:start w:val="1"/>
      <w:numFmt w:val="bullet"/>
      <w:lvlText w:val=""/>
      <w:lvlJc w:val="left"/>
      <w:pPr>
        <w:tabs>
          <w:tab w:val="num" w:pos="5130"/>
        </w:tabs>
        <w:ind w:left="5130" w:hanging="360"/>
      </w:pPr>
      <w:rPr>
        <w:rFonts w:ascii="Symbol" w:hAnsi="Symbol" w:hint="default"/>
      </w:rPr>
    </w:lvl>
    <w:lvl w:ilvl="4" w:tplc="04090003" w:tentative="1">
      <w:start w:val="1"/>
      <w:numFmt w:val="bullet"/>
      <w:lvlText w:val="o"/>
      <w:lvlJc w:val="left"/>
      <w:pPr>
        <w:tabs>
          <w:tab w:val="num" w:pos="5850"/>
        </w:tabs>
        <w:ind w:left="5850" w:hanging="360"/>
      </w:pPr>
      <w:rPr>
        <w:rFonts w:ascii="Courier New" w:hAnsi="Courier New" w:cs="Courier New" w:hint="default"/>
      </w:rPr>
    </w:lvl>
    <w:lvl w:ilvl="5" w:tplc="04090005" w:tentative="1">
      <w:start w:val="1"/>
      <w:numFmt w:val="bullet"/>
      <w:lvlText w:val=""/>
      <w:lvlJc w:val="left"/>
      <w:pPr>
        <w:tabs>
          <w:tab w:val="num" w:pos="6570"/>
        </w:tabs>
        <w:ind w:left="6570" w:hanging="360"/>
      </w:pPr>
      <w:rPr>
        <w:rFonts w:ascii="Wingdings" w:hAnsi="Wingdings" w:hint="default"/>
      </w:rPr>
    </w:lvl>
    <w:lvl w:ilvl="6" w:tplc="04090001" w:tentative="1">
      <w:start w:val="1"/>
      <w:numFmt w:val="bullet"/>
      <w:lvlText w:val=""/>
      <w:lvlJc w:val="left"/>
      <w:pPr>
        <w:tabs>
          <w:tab w:val="num" w:pos="7290"/>
        </w:tabs>
        <w:ind w:left="7290" w:hanging="360"/>
      </w:pPr>
      <w:rPr>
        <w:rFonts w:ascii="Symbol" w:hAnsi="Symbol" w:hint="default"/>
      </w:rPr>
    </w:lvl>
    <w:lvl w:ilvl="7" w:tplc="04090003" w:tentative="1">
      <w:start w:val="1"/>
      <w:numFmt w:val="bullet"/>
      <w:lvlText w:val="o"/>
      <w:lvlJc w:val="left"/>
      <w:pPr>
        <w:tabs>
          <w:tab w:val="num" w:pos="8010"/>
        </w:tabs>
        <w:ind w:left="8010" w:hanging="360"/>
      </w:pPr>
      <w:rPr>
        <w:rFonts w:ascii="Courier New" w:hAnsi="Courier New" w:cs="Courier New" w:hint="default"/>
      </w:rPr>
    </w:lvl>
    <w:lvl w:ilvl="8" w:tplc="04090005" w:tentative="1">
      <w:start w:val="1"/>
      <w:numFmt w:val="bullet"/>
      <w:lvlText w:val=""/>
      <w:lvlJc w:val="left"/>
      <w:pPr>
        <w:tabs>
          <w:tab w:val="num" w:pos="8730"/>
        </w:tabs>
        <w:ind w:left="8730" w:hanging="360"/>
      </w:pPr>
      <w:rPr>
        <w:rFonts w:ascii="Wingdings" w:hAnsi="Wingdings" w:hint="default"/>
      </w:rPr>
    </w:lvl>
  </w:abstractNum>
  <w:abstractNum w:abstractNumId="27">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28">
    <w:nsid w:val="626F0565"/>
    <w:multiLevelType w:val="hybridMultilevel"/>
    <w:tmpl w:val="512C87BE"/>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67631BA3"/>
    <w:multiLevelType w:val="multilevel"/>
    <w:tmpl w:val="993642CA"/>
    <w:lvl w:ilvl="0">
      <w:start w:val="1"/>
      <w:numFmt w:val="lowerRoman"/>
      <w:lvlText w:val="%1."/>
      <w:lvlJc w:val="left"/>
      <w:pPr>
        <w:tabs>
          <w:tab w:val="num" w:pos="1440"/>
        </w:tabs>
        <w:ind w:left="1440" w:hanging="360"/>
      </w:pPr>
      <w:rPr>
        <w:rFonts w:hint="default"/>
        <w:b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0">
    <w:nsid w:val="6BA854D8"/>
    <w:multiLevelType w:val="hybridMultilevel"/>
    <w:tmpl w:val="3E98DE1E"/>
    <w:lvl w:ilvl="0" w:tplc="9F2E38D6">
      <w:start w:val="1"/>
      <w:numFmt w:val="bullet"/>
      <w:lvlText w:val=""/>
      <w:lvlJc w:val="left"/>
      <w:pPr>
        <w:tabs>
          <w:tab w:val="num" w:pos="720"/>
        </w:tabs>
        <w:ind w:left="720" w:hanging="360"/>
      </w:pPr>
      <w:rPr>
        <w:rFonts w:ascii="Wingdings" w:hAnsi="Wingdings" w:hint="default"/>
      </w:rPr>
    </w:lvl>
    <w:lvl w:ilvl="1" w:tplc="CA5E14A6">
      <w:start w:val="1"/>
      <w:numFmt w:val="bullet"/>
      <w:lvlText w:val=""/>
      <w:lvlJc w:val="left"/>
      <w:pPr>
        <w:tabs>
          <w:tab w:val="num" w:pos="1440"/>
        </w:tabs>
        <w:ind w:left="1440" w:hanging="360"/>
      </w:pPr>
      <w:rPr>
        <w:rFonts w:ascii="Wingdings" w:hAnsi="Wingdings" w:hint="default"/>
      </w:rPr>
    </w:lvl>
    <w:lvl w:ilvl="2" w:tplc="87CE6A6C" w:tentative="1">
      <w:start w:val="1"/>
      <w:numFmt w:val="bullet"/>
      <w:lvlText w:val=""/>
      <w:lvlJc w:val="left"/>
      <w:pPr>
        <w:tabs>
          <w:tab w:val="num" w:pos="2160"/>
        </w:tabs>
        <w:ind w:left="2160" w:hanging="360"/>
      </w:pPr>
      <w:rPr>
        <w:rFonts w:ascii="Wingdings" w:hAnsi="Wingdings" w:hint="default"/>
      </w:rPr>
    </w:lvl>
    <w:lvl w:ilvl="3" w:tplc="24FADAC2" w:tentative="1">
      <w:start w:val="1"/>
      <w:numFmt w:val="bullet"/>
      <w:lvlText w:val=""/>
      <w:lvlJc w:val="left"/>
      <w:pPr>
        <w:tabs>
          <w:tab w:val="num" w:pos="2880"/>
        </w:tabs>
        <w:ind w:left="2880" w:hanging="360"/>
      </w:pPr>
      <w:rPr>
        <w:rFonts w:ascii="Wingdings" w:hAnsi="Wingdings" w:hint="default"/>
      </w:rPr>
    </w:lvl>
    <w:lvl w:ilvl="4" w:tplc="DE945654" w:tentative="1">
      <w:start w:val="1"/>
      <w:numFmt w:val="bullet"/>
      <w:lvlText w:val=""/>
      <w:lvlJc w:val="left"/>
      <w:pPr>
        <w:tabs>
          <w:tab w:val="num" w:pos="3600"/>
        </w:tabs>
        <w:ind w:left="3600" w:hanging="360"/>
      </w:pPr>
      <w:rPr>
        <w:rFonts w:ascii="Wingdings" w:hAnsi="Wingdings" w:hint="default"/>
      </w:rPr>
    </w:lvl>
    <w:lvl w:ilvl="5" w:tplc="6CAED900" w:tentative="1">
      <w:start w:val="1"/>
      <w:numFmt w:val="bullet"/>
      <w:lvlText w:val=""/>
      <w:lvlJc w:val="left"/>
      <w:pPr>
        <w:tabs>
          <w:tab w:val="num" w:pos="4320"/>
        </w:tabs>
        <w:ind w:left="4320" w:hanging="360"/>
      </w:pPr>
      <w:rPr>
        <w:rFonts w:ascii="Wingdings" w:hAnsi="Wingdings" w:hint="default"/>
      </w:rPr>
    </w:lvl>
    <w:lvl w:ilvl="6" w:tplc="8102BDB2" w:tentative="1">
      <w:start w:val="1"/>
      <w:numFmt w:val="bullet"/>
      <w:lvlText w:val=""/>
      <w:lvlJc w:val="left"/>
      <w:pPr>
        <w:tabs>
          <w:tab w:val="num" w:pos="5040"/>
        </w:tabs>
        <w:ind w:left="5040" w:hanging="360"/>
      </w:pPr>
      <w:rPr>
        <w:rFonts w:ascii="Wingdings" w:hAnsi="Wingdings" w:hint="default"/>
      </w:rPr>
    </w:lvl>
    <w:lvl w:ilvl="7" w:tplc="DACA33D8" w:tentative="1">
      <w:start w:val="1"/>
      <w:numFmt w:val="bullet"/>
      <w:lvlText w:val=""/>
      <w:lvlJc w:val="left"/>
      <w:pPr>
        <w:tabs>
          <w:tab w:val="num" w:pos="5760"/>
        </w:tabs>
        <w:ind w:left="5760" w:hanging="360"/>
      </w:pPr>
      <w:rPr>
        <w:rFonts w:ascii="Wingdings" w:hAnsi="Wingdings" w:hint="default"/>
      </w:rPr>
    </w:lvl>
    <w:lvl w:ilvl="8" w:tplc="43AC7D48" w:tentative="1">
      <w:start w:val="1"/>
      <w:numFmt w:val="bullet"/>
      <w:lvlText w:val=""/>
      <w:lvlJc w:val="left"/>
      <w:pPr>
        <w:tabs>
          <w:tab w:val="num" w:pos="6480"/>
        </w:tabs>
        <w:ind w:left="6480" w:hanging="360"/>
      </w:pPr>
      <w:rPr>
        <w:rFonts w:ascii="Wingdings" w:hAnsi="Wingdings" w:hint="default"/>
      </w:rPr>
    </w:lvl>
  </w:abstractNum>
  <w:abstractNum w:abstractNumId="31">
    <w:nsid w:val="76DD3B59"/>
    <w:multiLevelType w:val="multilevel"/>
    <w:tmpl w:val="3B383178"/>
    <w:lvl w:ilvl="0">
      <w:start w:val="1"/>
      <w:numFmt w:val="upperRoman"/>
      <w:lvlText w:val="%1."/>
      <w:lvlJc w:val="left"/>
      <w:pPr>
        <w:tabs>
          <w:tab w:val="num" w:pos="1080"/>
        </w:tabs>
        <w:ind w:left="1080" w:hanging="720"/>
      </w:pPr>
      <w:rPr>
        <w:rFonts w:hint="default"/>
      </w:rPr>
    </w:lvl>
    <w:lvl w:ilvl="1">
      <w:start w:val="1"/>
      <w:numFmt w:val="lowerRoman"/>
      <w:lvlText w:val="%2."/>
      <w:lvlJc w:val="left"/>
      <w:pPr>
        <w:tabs>
          <w:tab w:val="num" w:pos="1800"/>
        </w:tabs>
        <w:ind w:left="1800" w:hanging="720"/>
      </w:pPr>
      <w:rPr>
        <w:rFonts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DD1FDD"/>
    <w:multiLevelType w:val="hybridMultilevel"/>
    <w:tmpl w:val="F8684248"/>
    <w:lvl w:ilvl="0" w:tplc="36BA08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C510383"/>
    <w:multiLevelType w:val="hybridMultilevel"/>
    <w:tmpl w:val="DEC859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C871C72"/>
    <w:multiLevelType w:val="hybridMultilevel"/>
    <w:tmpl w:val="1452D82E"/>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nsid w:val="7C936456"/>
    <w:multiLevelType w:val="hybridMultilevel"/>
    <w:tmpl w:val="1206E85C"/>
    <w:lvl w:ilvl="0" w:tplc="0409000B">
      <w:start w:val="1"/>
      <w:numFmt w:val="bullet"/>
      <w:lvlText w:val=""/>
      <w:lvlJc w:val="left"/>
      <w:pPr>
        <w:tabs>
          <w:tab w:val="num" w:pos="1080"/>
        </w:tabs>
        <w:ind w:left="1080" w:hanging="360"/>
      </w:pPr>
      <w:rPr>
        <w:rFonts w:ascii="Wingdings" w:hAnsi="Wingding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nsid w:val="7D063109"/>
    <w:multiLevelType w:val="hybridMultilevel"/>
    <w:tmpl w:val="60EA4BF4"/>
    <w:lvl w:ilvl="0" w:tplc="5D42377A">
      <w:start w:val="1"/>
      <w:numFmt w:val="decimal"/>
      <w:lvlText w:val="%1."/>
      <w:lvlJc w:val="left"/>
      <w:pPr>
        <w:tabs>
          <w:tab w:val="num" w:pos="1440"/>
        </w:tabs>
        <w:ind w:left="1440" w:hanging="360"/>
      </w:pPr>
      <w:rPr>
        <w:rFonts w:ascii="Times New Roman Bold" w:hAnsi="Times New Roman Bold" w:hint="default"/>
        <w:b/>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23"/>
  </w:num>
  <w:num w:numId="2">
    <w:abstractNumId w:val="15"/>
  </w:num>
  <w:num w:numId="3">
    <w:abstractNumId w:val="26"/>
  </w:num>
  <w:num w:numId="4">
    <w:abstractNumId w:val="22"/>
  </w:num>
  <w:num w:numId="5">
    <w:abstractNumId w:val="35"/>
  </w:num>
  <w:num w:numId="6">
    <w:abstractNumId w:val="28"/>
  </w:num>
  <w:num w:numId="7">
    <w:abstractNumId w:val="20"/>
  </w:num>
  <w:num w:numId="8">
    <w:abstractNumId w:val="4"/>
  </w:num>
  <w:num w:numId="9">
    <w:abstractNumId w:val="6"/>
  </w:num>
  <w:num w:numId="10">
    <w:abstractNumId w:val="16"/>
  </w:num>
  <w:num w:numId="11">
    <w:abstractNumId w:val="11"/>
  </w:num>
  <w:num w:numId="12">
    <w:abstractNumId w:val="7"/>
  </w:num>
  <w:num w:numId="13">
    <w:abstractNumId w:val="10"/>
  </w:num>
  <w:num w:numId="14">
    <w:abstractNumId w:val="2"/>
  </w:num>
  <w:num w:numId="15">
    <w:abstractNumId w:val="8"/>
  </w:num>
  <w:num w:numId="16">
    <w:abstractNumId w:val="13"/>
  </w:num>
  <w:num w:numId="17">
    <w:abstractNumId w:val="1"/>
  </w:num>
  <w:num w:numId="18">
    <w:abstractNumId w:val="33"/>
  </w:num>
  <w:num w:numId="19">
    <w:abstractNumId w:val="19"/>
  </w:num>
  <w:num w:numId="20">
    <w:abstractNumId w:val="18"/>
  </w:num>
  <w:num w:numId="21">
    <w:abstractNumId w:val="29"/>
  </w:num>
  <w:num w:numId="22">
    <w:abstractNumId w:val="9"/>
  </w:num>
  <w:num w:numId="23">
    <w:abstractNumId w:val="31"/>
  </w:num>
  <w:num w:numId="24">
    <w:abstractNumId w:val="34"/>
  </w:num>
  <w:num w:numId="25">
    <w:abstractNumId w:val="14"/>
  </w:num>
  <w:num w:numId="26">
    <w:abstractNumId w:val="17"/>
  </w:num>
  <w:num w:numId="27">
    <w:abstractNumId w:val="27"/>
  </w:num>
  <w:num w:numId="28">
    <w:abstractNumId w:val="3"/>
  </w:num>
  <w:num w:numId="29">
    <w:abstractNumId w:val="24"/>
  </w:num>
  <w:num w:numId="30">
    <w:abstractNumId w:val="12"/>
  </w:num>
  <w:num w:numId="31">
    <w:abstractNumId w:val="32"/>
  </w:num>
  <w:num w:numId="32">
    <w:abstractNumId w:val="5"/>
  </w:num>
  <w:num w:numId="33">
    <w:abstractNumId w:val="25"/>
  </w:num>
  <w:num w:numId="34">
    <w:abstractNumId w:val="36"/>
  </w:num>
  <w:num w:numId="35">
    <w:abstractNumId w:val="30"/>
  </w:num>
  <w:num w:numId="36">
    <w:abstractNumId w:val="21"/>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6C5"/>
    <w:rsid w:val="000050CA"/>
    <w:rsid w:val="0002314C"/>
    <w:rsid w:val="00023289"/>
    <w:rsid w:val="00057A0B"/>
    <w:rsid w:val="00073E4F"/>
    <w:rsid w:val="00091FAF"/>
    <w:rsid w:val="000965CA"/>
    <w:rsid w:val="000968F2"/>
    <w:rsid w:val="000D1EDB"/>
    <w:rsid w:val="000F306E"/>
    <w:rsid w:val="00130DB7"/>
    <w:rsid w:val="00141ED7"/>
    <w:rsid w:val="00162E3D"/>
    <w:rsid w:val="00186188"/>
    <w:rsid w:val="001947A3"/>
    <w:rsid w:val="00196C55"/>
    <w:rsid w:val="001B08D9"/>
    <w:rsid w:val="001B43AD"/>
    <w:rsid w:val="001E5E26"/>
    <w:rsid w:val="001F0152"/>
    <w:rsid w:val="001F1E6F"/>
    <w:rsid w:val="001F65AB"/>
    <w:rsid w:val="00202BE6"/>
    <w:rsid w:val="00220A4A"/>
    <w:rsid w:val="00234D49"/>
    <w:rsid w:val="00235B3A"/>
    <w:rsid w:val="00246339"/>
    <w:rsid w:val="00262FAF"/>
    <w:rsid w:val="00266016"/>
    <w:rsid w:val="002910F1"/>
    <w:rsid w:val="002C5496"/>
    <w:rsid w:val="002D02AC"/>
    <w:rsid w:val="002E1E4F"/>
    <w:rsid w:val="002E466A"/>
    <w:rsid w:val="002F21B7"/>
    <w:rsid w:val="00315B7A"/>
    <w:rsid w:val="003227BD"/>
    <w:rsid w:val="0034139E"/>
    <w:rsid w:val="003437EC"/>
    <w:rsid w:val="0035484A"/>
    <w:rsid w:val="00371777"/>
    <w:rsid w:val="0038015A"/>
    <w:rsid w:val="00384AA7"/>
    <w:rsid w:val="003A6E93"/>
    <w:rsid w:val="003B45F4"/>
    <w:rsid w:val="003C3BEB"/>
    <w:rsid w:val="003D347A"/>
    <w:rsid w:val="003D7A9C"/>
    <w:rsid w:val="00400653"/>
    <w:rsid w:val="0041488D"/>
    <w:rsid w:val="00424C79"/>
    <w:rsid w:val="00430069"/>
    <w:rsid w:val="0043662C"/>
    <w:rsid w:val="004433B3"/>
    <w:rsid w:val="0047102F"/>
    <w:rsid w:val="0049282C"/>
    <w:rsid w:val="004A36B0"/>
    <w:rsid w:val="004B55DF"/>
    <w:rsid w:val="004B7477"/>
    <w:rsid w:val="004B76E7"/>
    <w:rsid w:val="004C1732"/>
    <w:rsid w:val="004E1884"/>
    <w:rsid w:val="004E5507"/>
    <w:rsid w:val="00504C4D"/>
    <w:rsid w:val="00521464"/>
    <w:rsid w:val="0052239B"/>
    <w:rsid w:val="00525739"/>
    <w:rsid w:val="0055314F"/>
    <w:rsid w:val="00584031"/>
    <w:rsid w:val="005A5387"/>
    <w:rsid w:val="005B3966"/>
    <w:rsid w:val="005D744D"/>
    <w:rsid w:val="005E58F8"/>
    <w:rsid w:val="0060401C"/>
    <w:rsid w:val="00611EB4"/>
    <w:rsid w:val="00625D06"/>
    <w:rsid w:val="006650D9"/>
    <w:rsid w:val="00665E03"/>
    <w:rsid w:val="00696F7A"/>
    <w:rsid w:val="0069755E"/>
    <w:rsid w:val="006B7D23"/>
    <w:rsid w:val="0071004F"/>
    <w:rsid w:val="00717D08"/>
    <w:rsid w:val="00724910"/>
    <w:rsid w:val="007251B4"/>
    <w:rsid w:val="007310BA"/>
    <w:rsid w:val="007473B8"/>
    <w:rsid w:val="00754FE6"/>
    <w:rsid w:val="00793FBF"/>
    <w:rsid w:val="007B6955"/>
    <w:rsid w:val="007E7A3C"/>
    <w:rsid w:val="007F4CCB"/>
    <w:rsid w:val="00812807"/>
    <w:rsid w:val="00815C74"/>
    <w:rsid w:val="00821DEC"/>
    <w:rsid w:val="00824EDE"/>
    <w:rsid w:val="0083193D"/>
    <w:rsid w:val="008426C5"/>
    <w:rsid w:val="008439F8"/>
    <w:rsid w:val="00867009"/>
    <w:rsid w:val="00882026"/>
    <w:rsid w:val="00896AD6"/>
    <w:rsid w:val="008A0C78"/>
    <w:rsid w:val="008A2551"/>
    <w:rsid w:val="008B5EDC"/>
    <w:rsid w:val="008B7DAD"/>
    <w:rsid w:val="008D3273"/>
    <w:rsid w:val="008E681D"/>
    <w:rsid w:val="00907CCD"/>
    <w:rsid w:val="00921036"/>
    <w:rsid w:val="00963C50"/>
    <w:rsid w:val="00965921"/>
    <w:rsid w:val="00973CD2"/>
    <w:rsid w:val="00996344"/>
    <w:rsid w:val="009B3B37"/>
    <w:rsid w:val="009D090E"/>
    <w:rsid w:val="009D4CAE"/>
    <w:rsid w:val="00A07F75"/>
    <w:rsid w:val="00A35003"/>
    <w:rsid w:val="00A352CB"/>
    <w:rsid w:val="00A475FD"/>
    <w:rsid w:val="00AA1B5E"/>
    <w:rsid w:val="00AA5A15"/>
    <w:rsid w:val="00AA795D"/>
    <w:rsid w:val="00AC5C00"/>
    <w:rsid w:val="00AD1E64"/>
    <w:rsid w:val="00AE0E28"/>
    <w:rsid w:val="00AE6464"/>
    <w:rsid w:val="00B326A1"/>
    <w:rsid w:val="00B94D4E"/>
    <w:rsid w:val="00BD6E48"/>
    <w:rsid w:val="00C114DF"/>
    <w:rsid w:val="00C225B6"/>
    <w:rsid w:val="00C302EF"/>
    <w:rsid w:val="00C6328B"/>
    <w:rsid w:val="00C66F45"/>
    <w:rsid w:val="00C86A90"/>
    <w:rsid w:val="00CB6A29"/>
    <w:rsid w:val="00CC37EB"/>
    <w:rsid w:val="00CC40B8"/>
    <w:rsid w:val="00CE29A3"/>
    <w:rsid w:val="00CE5FE9"/>
    <w:rsid w:val="00CF0515"/>
    <w:rsid w:val="00D04204"/>
    <w:rsid w:val="00D24249"/>
    <w:rsid w:val="00D315ED"/>
    <w:rsid w:val="00D55BF6"/>
    <w:rsid w:val="00D566CA"/>
    <w:rsid w:val="00D6679D"/>
    <w:rsid w:val="00D66DBF"/>
    <w:rsid w:val="00D7564F"/>
    <w:rsid w:val="00D8492B"/>
    <w:rsid w:val="00DC0935"/>
    <w:rsid w:val="00DD7F60"/>
    <w:rsid w:val="00DF6594"/>
    <w:rsid w:val="00E15DAE"/>
    <w:rsid w:val="00E33E50"/>
    <w:rsid w:val="00E40F67"/>
    <w:rsid w:val="00E42F78"/>
    <w:rsid w:val="00E51DC3"/>
    <w:rsid w:val="00E6251F"/>
    <w:rsid w:val="00E75091"/>
    <w:rsid w:val="00E76CB0"/>
    <w:rsid w:val="00E8296E"/>
    <w:rsid w:val="00E87925"/>
    <w:rsid w:val="00E9301F"/>
    <w:rsid w:val="00EB55A5"/>
    <w:rsid w:val="00EB7AAC"/>
    <w:rsid w:val="00EC27D3"/>
    <w:rsid w:val="00EC2AC2"/>
    <w:rsid w:val="00EC62E9"/>
    <w:rsid w:val="00EE6400"/>
    <w:rsid w:val="00EE67DC"/>
    <w:rsid w:val="00F00E89"/>
    <w:rsid w:val="00F35ECC"/>
    <w:rsid w:val="00F806DD"/>
    <w:rsid w:val="00F8594F"/>
    <w:rsid w:val="00F96E56"/>
    <w:rsid w:val="00FB4F9A"/>
    <w:rsid w:val="00FD4065"/>
    <w:rsid w:val="00FD567B"/>
    <w:rsid w:val="00FF7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metricconverter"/>
  <w:smartTagType w:namespaceuri="urn:schemas-microsoft-com:office:smarttags" w:name="City"/>
  <w:shapeDefaults>
    <o:shapedefaults v:ext="edit" spidmax="10241"/>
    <o:shapelayout v:ext="edit">
      <o:idmap v:ext="edit" data="1"/>
    </o:shapelayout>
  </w:shapeDefaults>
  <w:decimalSymbol w:val="."/>
  <w:listSeparator w:val=","/>
  <w14:docId w14:val="010B8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tabs>
        <w:tab w:val="left" w:pos="720"/>
        <w:tab w:val="right" w:leader="dot" w:pos="935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customStyle="1" w:styleId="ParaNum">
    <w:name w:val="ParaNum"/>
    <w:basedOn w:val="Normal"/>
    <w:link w:val="ParaNumChar"/>
    <w:rsid w:val="003B45F4"/>
    <w:pPr>
      <w:widowControl w:val="0"/>
      <w:numPr>
        <w:numId w:val="27"/>
      </w:numPr>
      <w:tabs>
        <w:tab w:val="clear" w:pos="1080"/>
        <w:tab w:val="num" w:pos="1440"/>
      </w:tabs>
      <w:spacing w:after="120"/>
    </w:pPr>
    <w:rPr>
      <w:snapToGrid w:val="0"/>
      <w:kern w:val="28"/>
      <w:sz w:val="22"/>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3B45F4"/>
    <w:pPr>
      <w:spacing w:after="120"/>
    </w:p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3B45F4"/>
  </w:style>
  <w:style w:type="character" w:styleId="FootnoteReference">
    <w:name w:val="footnote reference"/>
    <w:aliases w:val="Style 12,(NECG) Footnote Reference,Appel note de bas de p,Style 124,o,fr,Style 3,Style 13,FR,Style 17,Style 6,Footnote Reference/,Style 7,Style 4,Style 34,Style 9,Footnote Reference1"/>
    <w:rsid w:val="003B45F4"/>
    <w:rPr>
      <w:rFonts w:ascii="Times New Roman" w:hAnsi="Times New Roman"/>
      <w:dstrike w:val="0"/>
      <w:color w:val="auto"/>
      <w:sz w:val="20"/>
      <w:vertAlign w:val="superscript"/>
    </w:rPr>
  </w:style>
  <w:style w:type="character" w:customStyle="1" w:styleId="ParaNumChar">
    <w:name w:val="ParaNum Char"/>
    <w:link w:val="ParaNum"/>
    <w:locked/>
    <w:rsid w:val="003B45F4"/>
    <w:rPr>
      <w:snapToGrid w:val="0"/>
      <w:kern w:val="28"/>
      <w:sz w:val="22"/>
    </w:rPr>
  </w:style>
  <w:style w:type="paragraph" w:styleId="ListParagraph">
    <w:name w:val="List Paragraph"/>
    <w:basedOn w:val="Normal"/>
    <w:uiPriority w:val="34"/>
    <w:qFormat/>
    <w:rsid w:val="008E681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TOC1">
    <w:name w:val="toc 1"/>
    <w:basedOn w:val="Normal"/>
    <w:next w:val="Normal"/>
    <w:autoRedefine/>
    <w:semiHidden/>
    <w:pPr>
      <w:tabs>
        <w:tab w:val="left" w:pos="720"/>
        <w:tab w:val="right" w:leader="dot" w:pos="9350"/>
      </w:tabs>
    </w:p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rFonts w:ascii="Arial" w:hAnsi="Arial"/>
    </w:rPr>
  </w:style>
  <w:style w:type="paragraph" w:styleId="CommentSubject">
    <w:name w:val="annotation subject"/>
    <w:basedOn w:val="CommentText"/>
    <w:next w:val="CommentText"/>
    <w:semiHidden/>
    <w:rPr>
      <w:b/>
      <w:bCs/>
    </w:rPr>
  </w:style>
  <w:style w:type="character" w:styleId="FollowedHyperlink">
    <w:name w:val="FollowedHyperlink"/>
    <w:basedOn w:val="DefaultParagraphFont"/>
    <w:rPr>
      <w:color w:val="800080"/>
      <w:u w:val="single"/>
    </w:rPr>
  </w:style>
  <w:style w:type="paragraph" w:customStyle="1" w:styleId="ParaNum">
    <w:name w:val="ParaNum"/>
    <w:basedOn w:val="Normal"/>
    <w:link w:val="ParaNumChar"/>
    <w:rsid w:val="003B45F4"/>
    <w:pPr>
      <w:widowControl w:val="0"/>
      <w:numPr>
        <w:numId w:val="27"/>
      </w:numPr>
      <w:tabs>
        <w:tab w:val="clear" w:pos="1080"/>
        <w:tab w:val="num" w:pos="1440"/>
      </w:tabs>
      <w:spacing w:after="120"/>
    </w:pPr>
    <w:rPr>
      <w:snapToGrid w:val="0"/>
      <w:kern w:val="28"/>
      <w:sz w:val="22"/>
    </w:rPr>
  </w:style>
  <w:style w:type="paragraph" w:styleId="FootnoteText">
    <w:name w:val="footnote text"/>
    <w:aliases w:val="Footnote Text Times New Roman,Footnote Text Char1,Footnote Text Char Char,Footnote Text Char2 Char Char,Footnote Text Char3 Char1 Char Char,Footnote Text Char2 Char1 Char1 Char Char,Footnote Text Char3 Char1 Char Char Char Char,fn,f,fn Ch"/>
    <w:link w:val="FootnoteTextChar"/>
    <w:rsid w:val="003B45F4"/>
    <w:pPr>
      <w:spacing w:after="120"/>
    </w:pPr>
  </w:style>
  <w:style w:type="character" w:customStyle="1" w:styleId="FootnoteTextChar">
    <w:name w:val="Footnote Text Char"/>
    <w:aliases w:val="Footnote Text Times New Roman Char,Footnote Text Char1 Char,Footnote Text Char Char Char,Footnote Text Char2 Char Char Char,Footnote Text Char3 Char1 Char Char Char,Footnote Text Char2 Char1 Char1 Char Char Char,fn Char,f Char"/>
    <w:basedOn w:val="DefaultParagraphFont"/>
    <w:link w:val="FootnoteText"/>
    <w:rsid w:val="003B45F4"/>
  </w:style>
  <w:style w:type="character" w:styleId="FootnoteReference">
    <w:name w:val="footnote reference"/>
    <w:aliases w:val="Style 12,(NECG) Footnote Reference,Appel note de bas de p,Style 124,o,fr,Style 3,Style 13,FR,Style 17,Style 6,Footnote Reference/,Style 7,Style 4,Style 34,Style 9,Footnote Reference1"/>
    <w:rsid w:val="003B45F4"/>
    <w:rPr>
      <w:rFonts w:ascii="Times New Roman" w:hAnsi="Times New Roman"/>
      <w:dstrike w:val="0"/>
      <w:color w:val="auto"/>
      <w:sz w:val="20"/>
      <w:vertAlign w:val="superscript"/>
    </w:rPr>
  </w:style>
  <w:style w:type="character" w:customStyle="1" w:styleId="ParaNumChar">
    <w:name w:val="ParaNum Char"/>
    <w:link w:val="ParaNum"/>
    <w:locked/>
    <w:rsid w:val="003B45F4"/>
    <w:rPr>
      <w:snapToGrid w:val="0"/>
      <w:kern w:val="28"/>
      <w:sz w:val="22"/>
    </w:rPr>
  </w:style>
  <w:style w:type="paragraph" w:styleId="ListParagraph">
    <w:name w:val="List Paragraph"/>
    <w:basedOn w:val="Normal"/>
    <w:uiPriority w:val="34"/>
    <w:qFormat/>
    <w:rsid w:val="008E68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219618">
      <w:bodyDiv w:val="1"/>
      <w:marLeft w:val="0"/>
      <w:marRight w:val="0"/>
      <w:marTop w:val="0"/>
      <w:marBottom w:val="0"/>
      <w:divBdr>
        <w:top w:val="none" w:sz="0" w:space="0" w:color="auto"/>
        <w:left w:val="none" w:sz="0" w:space="0" w:color="auto"/>
        <w:bottom w:val="none" w:sz="0" w:space="0" w:color="auto"/>
        <w:right w:val="none" w:sz="0" w:space="0" w:color="auto"/>
      </w:divBdr>
    </w:div>
    <w:div w:id="428083177">
      <w:bodyDiv w:val="1"/>
      <w:marLeft w:val="0"/>
      <w:marRight w:val="0"/>
      <w:marTop w:val="0"/>
      <w:marBottom w:val="0"/>
      <w:divBdr>
        <w:top w:val="none" w:sz="0" w:space="0" w:color="auto"/>
        <w:left w:val="none" w:sz="0" w:space="0" w:color="auto"/>
        <w:bottom w:val="none" w:sz="0" w:space="0" w:color="auto"/>
        <w:right w:val="none" w:sz="0" w:space="0" w:color="auto"/>
      </w:divBdr>
      <w:divsChild>
        <w:div w:id="2142646852">
          <w:marLeft w:val="1166"/>
          <w:marRight w:val="0"/>
          <w:marTop w:val="0"/>
          <w:marBottom w:val="0"/>
          <w:divBdr>
            <w:top w:val="none" w:sz="0" w:space="0" w:color="auto"/>
            <w:left w:val="none" w:sz="0" w:space="0" w:color="auto"/>
            <w:bottom w:val="none" w:sz="0" w:space="0" w:color="auto"/>
            <w:right w:val="none" w:sz="0" w:space="0" w:color="auto"/>
          </w:divBdr>
        </w:div>
        <w:div w:id="259725280">
          <w:marLeft w:val="1166"/>
          <w:marRight w:val="0"/>
          <w:marTop w:val="0"/>
          <w:marBottom w:val="0"/>
          <w:divBdr>
            <w:top w:val="none" w:sz="0" w:space="0" w:color="auto"/>
            <w:left w:val="none" w:sz="0" w:space="0" w:color="auto"/>
            <w:bottom w:val="none" w:sz="0" w:space="0" w:color="auto"/>
            <w:right w:val="none" w:sz="0" w:space="0" w:color="auto"/>
          </w:divBdr>
        </w:div>
        <w:div w:id="961301140">
          <w:marLeft w:val="1166"/>
          <w:marRight w:val="0"/>
          <w:marTop w:val="0"/>
          <w:marBottom w:val="0"/>
          <w:divBdr>
            <w:top w:val="none" w:sz="0" w:space="0" w:color="auto"/>
            <w:left w:val="none" w:sz="0" w:space="0" w:color="auto"/>
            <w:bottom w:val="none" w:sz="0" w:space="0" w:color="auto"/>
            <w:right w:val="none" w:sz="0" w:space="0" w:color="auto"/>
          </w:divBdr>
        </w:div>
        <w:div w:id="1176388420">
          <w:marLeft w:val="1166"/>
          <w:marRight w:val="0"/>
          <w:marTop w:val="0"/>
          <w:marBottom w:val="0"/>
          <w:divBdr>
            <w:top w:val="none" w:sz="0" w:space="0" w:color="auto"/>
            <w:left w:val="none" w:sz="0" w:space="0" w:color="auto"/>
            <w:bottom w:val="none" w:sz="0" w:space="0" w:color="auto"/>
            <w:right w:val="none" w:sz="0" w:space="0" w:color="auto"/>
          </w:divBdr>
        </w:div>
      </w:divsChild>
    </w:div>
    <w:div w:id="446047112">
      <w:bodyDiv w:val="1"/>
      <w:marLeft w:val="0"/>
      <w:marRight w:val="0"/>
      <w:marTop w:val="0"/>
      <w:marBottom w:val="0"/>
      <w:divBdr>
        <w:top w:val="none" w:sz="0" w:space="0" w:color="auto"/>
        <w:left w:val="none" w:sz="0" w:space="0" w:color="auto"/>
        <w:bottom w:val="none" w:sz="0" w:space="0" w:color="auto"/>
        <w:right w:val="none" w:sz="0" w:space="0" w:color="auto"/>
      </w:divBdr>
      <w:divsChild>
        <w:div w:id="309792905">
          <w:marLeft w:val="1166"/>
          <w:marRight w:val="0"/>
          <w:marTop w:val="0"/>
          <w:marBottom w:val="0"/>
          <w:divBdr>
            <w:top w:val="none" w:sz="0" w:space="0" w:color="auto"/>
            <w:left w:val="none" w:sz="0" w:space="0" w:color="auto"/>
            <w:bottom w:val="none" w:sz="0" w:space="0" w:color="auto"/>
            <w:right w:val="none" w:sz="0" w:space="0" w:color="auto"/>
          </w:divBdr>
        </w:div>
        <w:div w:id="1827431782">
          <w:marLeft w:val="1166"/>
          <w:marRight w:val="0"/>
          <w:marTop w:val="0"/>
          <w:marBottom w:val="0"/>
          <w:divBdr>
            <w:top w:val="none" w:sz="0" w:space="0" w:color="auto"/>
            <w:left w:val="none" w:sz="0" w:space="0" w:color="auto"/>
            <w:bottom w:val="none" w:sz="0" w:space="0" w:color="auto"/>
            <w:right w:val="none" w:sz="0" w:space="0" w:color="auto"/>
          </w:divBdr>
        </w:div>
      </w:divsChild>
    </w:div>
    <w:div w:id="612908913">
      <w:bodyDiv w:val="1"/>
      <w:marLeft w:val="0"/>
      <w:marRight w:val="0"/>
      <w:marTop w:val="0"/>
      <w:marBottom w:val="0"/>
      <w:divBdr>
        <w:top w:val="none" w:sz="0" w:space="0" w:color="auto"/>
        <w:left w:val="none" w:sz="0" w:space="0" w:color="auto"/>
        <w:bottom w:val="none" w:sz="0" w:space="0" w:color="auto"/>
        <w:right w:val="none" w:sz="0" w:space="0" w:color="auto"/>
      </w:divBdr>
    </w:div>
    <w:div w:id="766658912">
      <w:bodyDiv w:val="1"/>
      <w:marLeft w:val="0"/>
      <w:marRight w:val="0"/>
      <w:marTop w:val="0"/>
      <w:marBottom w:val="0"/>
      <w:divBdr>
        <w:top w:val="none" w:sz="0" w:space="0" w:color="auto"/>
        <w:left w:val="none" w:sz="0" w:space="0" w:color="auto"/>
        <w:bottom w:val="none" w:sz="0" w:space="0" w:color="auto"/>
        <w:right w:val="none" w:sz="0" w:space="0" w:color="auto"/>
      </w:divBdr>
      <w:divsChild>
        <w:div w:id="986664269">
          <w:marLeft w:val="1166"/>
          <w:marRight w:val="0"/>
          <w:marTop w:val="0"/>
          <w:marBottom w:val="0"/>
          <w:divBdr>
            <w:top w:val="none" w:sz="0" w:space="0" w:color="auto"/>
            <w:left w:val="none" w:sz="0" w:space="0" w:color="auto"/>
            <w:bottom w:val="none" w:sz="0" w:space="0" w:color="auto"/>
            <w:right w:val="none" w:sz="0" w:space="0" w:color="auto"/>
          </w:divBdr>
        </w:div>
        <w:div w:id="1380325827">
          <w:marLeft w:val="1166"/>
          <w:marRight w:val="0"/>
          <w:marTop w:val="0"/>
          <w:marBottom w:val="0"/>
          <w:divBdr>
            <w:top w:val="none" w:sz="0" w:space="0" w:color="auto"/>
            <w:left w:val="none" w:sz="0" w:space="0" w:color="auto"/>
            <w:bottom w:val="none" w:sz="0" w:space="0" w:color="auto"/>
            <w:right w:val="none" w:sz="0" w:space="0" w:color="auto"/>
          </w:divBdr>
        </w:div>
        <w:div w:id="1808935320">
          <w:marLeft w:val="1166"/>
          <w:marRight w:val="0"/>
          <w:marTop w:val="0"/>
          <w:marBottom w:val="0"/>
          <w:divBdr>
            <w:top w:val="none" w:sz="0" w:space="0" w:color="auto"/>
            <w:left w:val="none" w:sz="0" w:space="0" w:color="auto"/>
            <w:bottom w:val="none" w:sz="0" w:space="0" w:color="auto"/>
            <w:right w:val="none" w:sz="0" w:space="0" w:color="auto"/>
          </w:divBdr>
        </w:div>
      </w:divsChild>
    </w:div>
    <w:div w:id="923611728">
      <w:bodyDiv w:val="1"/>
      <w:marLeft w:val="0"/>
      <w:marRight w:val="0"/>
      <w:marTop w:val="0"/>
      <w:marBottom w:val="0"/>
      <w:divBdr>
        <w:top w:val="none" w:sz="0" w:space="0" w:color="auto"/>
        <w:left w:val="none" w:sz="0" w:space="0" w:color="auto"/>
        <w:bottom w:val="none" w:sz="0" w:space="0" w:color="auto"/>
        <w:right w:val="none" w:sz="0" w:space="0" w:color="auto"/>
      </w:divBdr>
    </w:div>
    <w:div w:id="1615556155">
      <w:bodyDiv w:val="1"/>
      <w:marLeft w:val="0"/>
      <w:marRight w:val="0"/>
      <w:marTop w:val="0"/>
      <w:marBottom w:val="0"/>
      <w:divBdr>
        <w:top w:val="none" w:sz="0" w:space="0" w:color="auto"/>
        <w:left w:val="none" w:sz="0" w:space="0" w:color="auto"/>
        <w:bottom w:val="none" w:sz="0" w:space="0" w:color="auto"/>
        <w:right w:val="none" w:sz="0" w:space="0" w:color="auto"/>
      </w:divBdr>
    </w:div>
    <w:div w:id="185541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styles" Target="styles.xml"/><Relationship Id="rId16"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pps.fcc.gov/edocs_public/attachmatch/FCC-15-24A1.pdf"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pps.fcc.gov/edocs_public/attachmatch/FCC-10-201A1_Rcd.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3035</Words>
  <Characters>17872</Characters>
  <Application>Microsoft Office Word</Application>
  <DocSecurity>0</DocSecurity>
  <Lines>379</Lines>
  <Paragraphs>87</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20952</CharactersWithSpaces>
  <SharedDoc>false</SharedDoc>
  <HyperlinkBase> </HyperlinkBase>
  <HLinks>
    <vt:vector size="18" baseType="variant">
      <vt:variant>
        <vt:i4>6619163</vt:i4>
      </vt:variant>
      <vt:variant>
        <vt:i4>6</vt:i4>
      </vt:variant>
      <vt:variant>
        <vt:i4>0</vt:i4>
      </vt:variant>
      <vt:variant>
        <vt:i4>5</vt:i4>
      </vt:variant>
      <vt:variant>
        <vt:lpwstr>http://hraunfoss.fcc.gov/edocs_public/attachmatch/FCC-05-151A1.pdf</vt:lpwstr>
      </vt:variant>
      <vt:variant>
        <vt:lpwstr/>
      </vt:variant>
      <vt:variant>
        <vt:i4>7667747</vt:i4>
      </vt:variant>
      <vt:variant>
        <vt:i4>3</vt:i4>
      </vt:variant>
      <vt:variant>
        <vt:i4>0</vt:i4>
      </vt:variant>
      <vt:variant>
        <vt:i4>5</vt:i4>
      </vt:variant>
      <vt:variant>
        <vt:lpwstr>http://hraunfoss.fcc.gov/edocs_public/attachmatch/FCC-10-201A1_Rcd.pdf</vt:lpwstr>
      </vt:variant>
      <vt:variant>
        <vt:lpwstr/>
      </vt:variant>
      <vt:variant>
        <vt:i4>7471172</vt:i4>
      </vt:variant>
      <vt:variant>
        <vt:i4>0</vt:i4>
      </vt:variant>
      <vt:variant>
        <vt:i4>0</vt:i4>
      </vt:variant>
      <vt:variant>
        <vt:i4>5</vt:i4>
      </vt:variant>
      <vt:variant>
        <vt:lpwstr>mailto:fccinfo@fcc.gov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2015-11-09T22:28:00Z</cp:lastPrinted>
  <dcterms:created xsi:type="dcterms:W3CDTF">2016-03-11T19:52:00Z</dcterms:created>
  <dcterms:modified xsi:type="dcterms:W3CDTF">2016-03-11T19:52:00Z</dcterms:modified>
  <cp:category> </cp:category>
  <cp:contentStatus> </cp:contentStatus>
</cp:coreProperties>
</file>