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00B3D" w:rsidRPr="00300B3D" w:rsidRDefault="00C3661F" w:rsidP="007115F7">
            <w:pPr>
              <w:tabs>
                <w:tab w:val="center" w:pos="4680"/>
              </w:tabs>
              <w:suppressAutoHyphens/>
              <w:rPr>
                <w:b/>
                <w:color w:val="000000"/>
                <w:szCs w:val="22"/>
              </w:rPr>
            </w:pPr>
            <w:r w:rsidRPr="00300B3D">
              <w:rPr>
                <w:b/>
                <w:color w:val="000000"/>
                <w:szCs w:val="22"/>
              </w:rPr>
              <w:t xml:space="preserve">GB Enterprises Communications Corp., </w:t>
            </w:r>
            <w:r w:rsidR="00300B3D" w:rsidRPr="00300B3D">
              <w:rPr>
                <w:b/>
                <w:color w:val="000000"/>
                <w:szCs w:val="22"/>
              </w:rPr>
              <w:t>Assignor</w:t>
            </w:r>
          </w:p>
          <w:p w:rsidR="00300B3D" w:rsidRDefault="00300B3D" w:rsidP="007115F7">
            <w:pPr>
              <w:tabs>
                <w:tab w:val="center" w:pos="4680"/>
              </w:tabs>
              <w:suppressAutoHyphens/>
              <w:rPr>
                <w:color w:val="000000"/>
                <w:szCs w:val="22"/>
              </w:rPr>
            </w:pPr>
          </w:p>
          <w:p w:rsidR="00300B3D" w:rsidRDefault="00300B3D" w:rsidP="007115F7">
            <w:pPr>
              <w:tabs>
                <w:tab w:val="center" w:pos="4680"/>
              </w:tabs>
              <w:suppressAutoHyphens/>
              <w:rPr>
                <w:color w:val="000000"/>
                <w:szCs w:val="22"/>
              </w:rPr>
            </w:pPr>
            <w:r>
              <w:rPr>
                <w:color w:val="000000"/>
                <w:szCs w:val="22"/>
              </w:rPr>
              <w:t>and</w:t>
            </w:r>
          </w:p>
          <w:p w:rsidR="00300B3D" w:rsidRDefault="00300B3D" w:rsidP="007115F7">
            <w:pPr>
              <w:tabs>
                <w:tab w:val="center" w:pos="4680"/>
              </w:tabs>
              <w:suppressAutoHyphens/>
              <w:rPr>
                <w:color w:val="000000"/>
                <w:szCs w:val="22"/>
              </w:rPr>
            </w:pPr>
          </w:p>
          <w:p w:rsidR="00300B3D" w:rsidRPr="00300B3D" w:rsidRDefault="00300B3D" w:rsidP="00300B3D">
            <w:pPr>
              <w:tabs>
                <w:tab w:val="center" w:pos="4680"/>
              </w:tabs>
              <w:suppressAutoHyphens/>
              <w:rPr>
                <w:b/>
                <w:color w:val="000000"/>
                <w:szCs w:val="22"/>
              </w:rPr>
            </w:pPr>
            <w:r w:rsidRPr="00300B3D">
              <w:rPr>
                <w:b/>
                <w:color w:val="000000"/>
                <w:szCs w:val="22"/>
              </w:rPr>
              <w:t>CATCO Communications, LLC, Assignee</w:t>
            </w:r>
          </w:p>
          <w:p w:rsidR="00300B3D" w:rsidRDefault="00300B3D" w:rsidP="00300B3D">
            <w:pPr>
              <w:tabs>
                <w:tab w:val="center" w:pos="4680"/>
              </w:tabs>
              <w:suppressAutoHyphens/>
              <w:rPr>
                <w:color w:val="000000"/>
                <w:szCs w:val="22"/>
              </w:rPr>
            </w:pPr>
          </w:p>
          <w:p w:rsidR="004C2EE3" w:rsidRPr="007115F7" w:rsidRDefault="00300B3D" w:rsidP="00300B3D">
            <w:pPr>
              <w:tabs>
                <w:tab w:val="center" w:pos="4680"/>
              </w:tabs>
              <w:suppressAutoHyphens/>
              <w:rPr>
                <w:spacing w:val="-2"/>
              </w:rPr>
            </w:pPr>
            <w:r>
              <w:rPr>
                <w:color w:val="000000"/>
                <w:szCs w:val="22"/>
              </w:rPr>
              <w:t xml:space="preserve">Application </w:t>
            </w:r>
            <w:r w:rsidR="00C3661F">
              <w:rPr>
                <w:color w:val="000000"/>
                <w:szCs w:val="22"/>
              </w:rPr>
              <w:t xml:space="preserve">for </w:t>
            </w:r>
            <w:r>
              <w:rPr>
                <w:color w:val="000000"/>
                <w:szCs w:val="22"/>
              </w:rPr>
              <w:t>Assignment of</w:t>
            </w:r>
            <w:r w:rsidR="00C3661F">
              <w:rPr>
                <w:color w:val="000000"/>
                <w:szCs w:val="22"/>
              </w:rPr>
              <w:t xml:space="preserve"> Station WHNR(</w:t>
            </w:r>
            <w:r w:rsidR="00E1673B">
              <w:rPr>
                <w:color w:val="000000"/>
                <w:szCs w:val="22"/>
              </w:rPr>
              <w:t>AM</w:t>
            </w:r>
            <w:r>
              <w:rPr>
                <w:color w:val="000000"/>
                <w:szCs w:val="22"/>
              </w:rPr>
              <w:t>), Cypress Gardens, Florida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00B3D" w:rsidRDefault="00300B3D">
            <w:pPr>
              <w:tabs>
                <w:tab w:val="center" w:pos="4680"/>
              </w:tabs>
              <w:suppressAutoHyphens/>
              <w:rPr>
                <w:b/>
                <w:spacing w:val="-2"/>
              </w:rPr>
            </w:pPr>
            <w:r>
              <w:rPr>
                <w:b/>
                <w:spacing w:val="-2"/>
              </w:rPr>
              <w:t>)</w:t>
            </w:r>
          </w:p>
          <w:p w:rsidR="00300B3D" w:rsidRDefault="00300B3D">
            <w:pPr>
              <w:tabs>
                <w:tab w:val="center" w:pos="4680"/>
              </w:tabs>
              <w:suppressAutoHyphens/>
              <w:rPr>
                <w:b/>
                <w:spacing w:val="-2"/>
              </w:rPr>
            </w:pPr>
            <w:r>
              <w:rPr>
                <w:b/>
                <w:spacing w:val="-2"/>
              </w:rPr>
              <w:t>)</w:t>
            </w:r>
          </w:p>
          <w:p w:rsidR="00300B3D" w:rsidRDefault="00300B3D">
            <w:pPr>
              <w:tabs>
                <w:tab w:val="center" w:pos="4680"/>
              </w:tabs>
              <w:suppressAutoHyphens/>
              <w:rPr>
                <w:b/>
                <w:spacing w:val="-2"/>
              </w:rPr>
            </w:pPr>
            <w:r>
              <w:rPr>
                <w:b/>
                <w:spacing w:val="-2"/>
              </w:rPr>
              <w:t>)</w:t>
            </w:r>
          </w:p>
          <w:p w:rsidR="00300B3D" w:rsidRDefault="00300B3D">
            <w:pPr>
              <w:tabs>
                <w:tab w:val="center" w:pos="4680"/>
              </w:tabs>
              <w:suppressAutoHyphens/>
              <w:rPr>
                <w:b/>
                <w:spacing w:val="-2"/>
              </w:rPr>
            </w:pPr>
            <w:r>
              <w:rPr>
                <w:b/>
                <w:spacing w:val="-2"/>
              </w:rPr>
              <w:t>)</w:t>
            </w:r>
          </w:p>
          <w:p w:rsidR="00300B3D" w:rsidRPr="00C3661F" w:rsidRDefault="00300B3D">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00B3D" w:rsidRDefault="00856A18" w:rsidP="00C3661F">
            <w:pPr>
              <w:shd w:val="clear" w:color="auto" w:fill="FFFFFF"/>
              <w:spacing w:line="235" w:lineRule="exact"/>
              <w:rPr>
                <w:color w:val="000000"/>
              </w:rPr>
            </w:pPr>
            <w:r>
              <w:rPr>
                <w:color w:val="000000"/>
              </w:rPr>
              <w:t>NAL/Acct. No. MB-</w:t>
            </w:r>
            <w:r w:rsidRPr="00A246E8">
              <w:rPr>
                <w:color w:val="000000"/>
              </w:rPr>
              <w:t>201541410038</w:t>
            </w:r>
          </w:p>
          <w:p w:rsidR="00300B3D" w:rsidRDefault="00856A18" w:rsidP="00C3661F">
            <w:pPr>
              <w:shd w:val="clear" w:color="auto" w:fill="FFFFFF"/>
              <w:spacing w:line="235" w:lineRule="exact"/>
              <w:rPr>
                <w:color w:val="000000"/>
              </w:rPr>
            </w:pPr>
            <w:r>
              <w:rPr>
                <w:color w:val="000000"/>
              </w:rPr>
              <w:t>FRN: 0017563370</w:t>
            </w:r>
          </w:p>
          <w:p w:rsidR="00300B3D" w:rsidRDefault="00300B3D" w:rsidP="00C3661F">
            <w:pPr>
              <w:shd w:val="clear" w:color="auto" w:fill="FFFFFF"/>
              <w:spacing w:line="235" w:lineRule="exact"/>
              <w:rPr>
                <w:color w:val="000000"/>
              </w:rPr>
            </w:pPr>
          </w:p>
          <w:p w:rsidR="00300B3D" w:rsidRDefault="00300B3D" w:rsidP="00C3661F">
            <w:pPr>
              <w:shd w:val="clear" w:color="auto" w:fill="FFFFFF"/>
              <w:spacing w:line="235" w:lineRule="exact"/>
              <w:rPr>
                <w:color w:val="000000"/>
              </w:rPr>
            </w:pPr>
          </w:p>
          <w:p w:rsidR="00300B3D" w:rsidRDefault="00300B3D" w:rsidP="00C3661F">
            <w:pPr>
              <w:shd w:val="clear" w:color="auto" w:fill="FFFFFF"/>
              <w:spacing w:line="235" w:lineRule="exact"/>
              <w:rPr>
                <w:color w:val="000000"/>
              </w:rPr>
            </w:pPr>
          </w:p>
          <w:p w:rsidR="00300B3D" w:rsidRDefault="00300B3D" w:rsidP="00C3661F">
            <w:pPr>
              <w:shd w:val="clear" w:color="auto" w:fill="FFFFFF"/>
              <w:spacing w:line="235" w:lineRule="exact"/>
              <w:rPr>
                <w:color w:val="000000"/>
              </w:rPr>
            </w:pPr>
          </w:p>
          <w:p w:rsidR="00300B3D" w:rsidRDefault="00300B3D" w:rsidP="00C3661F">
            <w:pPr>
              <w:shd w:val="clear" w:color="auto" w:fill="FFFFFF"/>
              <w:spacing w:line="235" w:lineRule="exact"/>
              <w:rPr>
                <w:color w:val="000000"/>
              </w:rPr>
            </w:pPr>
          </w:p>
          <w:p w:rsidR="00C3661F" w:rsidRDefault="00C3661F" w:rsidP="00C3661F">
            <w:pPr>
              <w:shd w:val="clear" w:color="auto" w:fill="FFFFFF"/>
              <w:spacing w:line="235" w:lineRule="exact"/>
              <w:rPr>
                <w:color w:val="000000"/>
              </w:rPr>
            </w:pPr>
            <w:r>
              <w:rPr>
                <w:color w:val="000000"/>
              </w:rPr>
              <w:t>Facility ID No. 21766</w:t>
            </w:r>
          </w:p>
          <w:p w:rsidR="00C3661F" w:rsidRDefault="00C3661F" w:rsidP="00C3661F">
            <w:pPr>
              <w:shd w:val="clear" w:color="auto" w:fill="FFFFFF"/>
              <w:spacing w:line="235" w:lineRule="exact"/>
              <w:rPr>
                <w:color w:val="000000"/>
              </w:rPr>
            </w:pPr>
            <w:r>
              <w:rPr>
                <w:color w:val="000000"/>
              </w:rPr>
              <w:t xml:space="preserve">File No. </w:t>
            </w:r>
            <w:r w:rsidRPr="008225DC">
              <w:rPr>
                <w:color w:val="000000"/>
                <w:szCs w:val="22"/>
              </w:rPr>
              <w:t>BAL-20140820AAE</w:t>
            </w:r>
          </w:p>
          <w:p w:rsidR="004C2EE3" w:rsidRDefault="004C2EE3">
            <w:pPr>
              <w:tabs>
                <w:tab w:val="center" w:pos="4680"/>
              </w:tabs>
              <w:suppressAutoHyphens/>
              <w:rPr>
                <w:spacing w:val="-2"/>
              </w:rPr>
            </w:pPr>
          </w:p>
        </w:tc>
      </w:tr>
    </w:tbl>
    <w:p w:rsidR="004C2EE3" w:rsidRDefault="004C2EE3" w:rsidP="0070224F"/>
    <w:p w:rsidR="00841AB1" w:rsidRDefault="00C3661F"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50D69">
        <w:rPr>
          <w:b/>
          <w:spacing w:val="-2"/>
        </w:rPr>
        <w:t>March 22,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50D69">
        <w:rPr>
          <w:b/>
          <w:spacing w:val="-2"/>
        </w:rPr>
        <w:t>March 23, 2016</w:t>
      </w:r>
    </w:p>
    <w:p w:rsidR="00822CE0" w:rsidRDefault="00822CE0"/>
    <w:p w:rsidR="00822CE0" w:rsidRDefault="004C2EE3">
      <w:pPr>
        <w:rPr>
          <w:spacing w:val="-2"/>
        </w:rPr>
      </w:pPr>
      <w:r>
        <w:t xml:space="preserve">By </w:t>
      </w:r>
      <w:r w:rsidR="004E4A22">
        <w:t>the</w:t>
      </w:r>
      <w:r w:rsidR="002A2D2E">
        <w:t xml:space="preserve"> </w:t>
      </w:r>
      <w:r w:rsidR="00C3661F">
        <w:rPr>
          <w:spacing w:val="-2"/>
        </w:rPr>
        <w:t>Chief, Media Bureau</w:t>
      </w:r>
      <w:r>
        <w:rPr>
          <w:spacing w:val="-2"/>
        </w:rPr>
        <w:t>:</w:t>
      </w:r>
    </w:p>
    <w:p w:rsidR="00412FC5" w:rsidRDefault="00412FC5" w:rsidP="00412FC5"/>
    <w:p w:rsidR="00C3661F" w:rsidRDefault="00C3661F" w:rsidP="002C00E8">
      <w:pPr>
        <w:pStyle w:val="Heading1"/>
      </w:pPr>
      <w:r>
        <w:t>introduction</w:t>
      </w:r>
    </w:p>
    <w:p w:rsidR="00C3661F" w:rsidRPr="006049D1" w:rsidRDefault="00C3661F" w:rsidP="006049D1">
      <w:pPr>
        <w:pStyle w:val="ParaNum"/>
        <w:rPr>
          <w:color w:val="000000"/>
          <w:szCs w:val="22"/>
        </w:rPr>
      </w:pPr>
      <w:r>
        <w:t xml:space="preserve">The Media Bureau (Bureau) has before it an application </w:t>
      </w:r>
      <w:r>
        <w:rPr>
          <w:color w:val="000000"/>
          <w:szCs w:val="22"/>
        </w:rPr>
        <w:t>for consent to assign the license for Station WHNR(</w:t>
      </w:r>
      <w:r w:rsidR="00E1673B">
        <w:rPr>
          <w:color w:val="000000"/>
          <w:szCs w:val="22"/>
        </w:rPr>
        <w:t>AM</w:t>
      </w:r>
      <w:r>
        <w:rPr>
          <w:color w:val="000000"/>
          <w:szCs w:val="22"/>
        </w:rPr>
        <w:t>), Cypress Gardens, Florida</w:t>
      </w:r>
      <w:r w:rsidR="006049D1">
        <w:rPr>
          <w:color w:val="000000"/>
          <w:szCs w:val="22"/>
        </w:rPr>
        <w:t xml:space="preserve"> (Station)</w:t>
      </w:r>
      <w:r>
        <w:rPr>
          <w:color w:val="000000"/>
          <w:szCs w:val="22"/>
        </w:rPr>
        <w:t xml:space="preserve">, </w:t>
      </w:r>
      <w:r w:rsidR="001D57E2">
        <w:t xml:space="preserve">from </w:t>
      </w:r>
      <w:r w:rsidR="001D57E2" w:rsidRPr="001F2669">
        <w:rPr>
          <w:color w:val="000000"/>
          <w:szCs w:val="22"/>
        </w:rPr>
        <w:t>GB Enterprises Communications Corp.</w:t>
      </w:r>
      <w:r w:rsidR="001D57E2">
        <w:rPr>
          <w:color w:val="000000"/>
          <w:szCs w:val="22"/>
        </w:rPr>
        <w:t xml:space="preserve"> (GB) </w:t>
      </w:r>
      <w:r>
        <w:rPr>
          <w:color w:val="000000"/>
          <w:szCs w:val="22"/>
        </w:rPr>
        <w:t xml:space="preserve">to </w:t>
      </w:r>
      <w:r w:rsidRPr="001F2669">
        <w:rPr>
          <w:color w:val="000000"/>
          <w:szCs w:val="22"/>
        </w:rPr>
        <w:t>CATCO Communications, LLC</w:t>
      </w:r>
      <w:r w:rsidR="00493714">
        <w:rPr>
          <w:color w:val="000000"/>
          <w:szCs w:val="22"/>
        </w:rPr>
        <w:t xml:space="preserve"> (CATCO</w:t>
      </w:r>
      <w:r>
        <w:rPr>
          <w:color w:val="000000"/>
          <w:szCs w:val="22"/>
        </w:rPr>
        <w:t>)</w:t>
      </w:r>
      <w:r w:rsidR="006049D1">
        <w:rPr>
          <w:color w:val="000000"/>
          <w:szCs w:val="22"/>
        </w:rPr>
        <w:t xml:space="preserve"> (CATCO Assignment Application)</w:t>
      </w:r>
      <w:r>
        <w:rPr>
          <w:color w:val="000000"/>
          <w:szCs w:val="22"/>
        </w:rPr>
        <w:t xml:space="preserve">. </w:t>
      </w:r>
      <w:r w:rsidR="006049D1">
        <w:rPr>
          <w:color w:val="000000"/>
          <w:szCs w:val="22"/>
        </w:rPr>
        <w:t xml:space="preserve"> </w:t>
      </w:r>
      <w:r w:rsidR="006049D1" w:rsidRPr="006049D1">
        <w:rPr>
          <w:color w:val="000000"/>
          <w:szCs w:val="22"/>
        </w:rPr>
        <w:t>Also before us is a Petition to Deny the Application (Petition), filed on October 6, 2014, by La Poderosa, LLC, and Carlos S. Guerrero (collectively, Poderosa).</w:t>
      </w:r>
      <w:r w:rsidR="006049D1" w:rsidRPr="006049D1">
        <w:rPr>
          <w:color w:val="000000"/>
          <w:szCs w:val="22"/>
          <w:vertAlign w:val="superscript"/>
        </w:rPr>
        <w:footnoteReference w:id="2"/>
      </w:r>
      <w:r w:rsidR="006049D1" w:rsidRPr="006049D1">
        <w:rPr>
          <w:color w:val="000000"/>
          <w:szCs w:val="22"/>
        </w:rPr>
        <w:t xml:space="preserve">  For the reasons stated below, we </w:t>
      </w:r>
      <w:r w:rsidR="006049D1">
        <w:rPr>
          <w:color w:val="000000"/>
          <w:szCs w:val="22"/>
        </w:rPr>
        <w:t xml:space="preserve">deny the Petition.  In this Order, we also adopt the attached consent decree entered into by GB and the </w:t>
      </w:r>
      <w:r w:rsidR="00AD6DFD">
        <w:rPr>
          <w:color w:val="000000"/>
          <w:szCs w:val="22"/>
        </w:rPr>
        <w:t>Bureau</w:t>
      </w:r>
      <w:r w:rsidR="006049D1">
        <w:rPr>
          <w:color w:val="000000"/>
          <w:szCs w:val="22"/>
        </w:rPr>
        <w:t xml:space="preserve">, which resolves issues </w:t>
      </w:r>
      <w:r w:rsidR="00300B3D">
        <w:rPr>
          <w:color w:val="000000"/>
          <w:szCs w:val="22"/>
        </w:rPr>
        <w:t>regarding</w:t>
      </w:r>
      <w:r w:rsidR="006049D1">
        <w:rPr>
          <w:color w:val="000000"/>
          <w:szCs w:val="22"/>
        </w:rPr>
        <w:t xml:space="preserve"> unauthorized control of the Station and violation</w:t>
      </w:r>
      <w:r w:rsidR="008D305A">
        <w:rPr>
          <w:color w:val="000000"/>
          <w:szCs w:val="22"/>
        </w:rPr>
        <w:t>s</w:t>
      </w:r>
      <w:r w:rsidR="00F02B8E">
        <w:rPr>
          <w:color w:val="000000"/>
          <w:szCs w:val="22"/>
        </w:rPr>
        <w:t xml:space="preserve"> of S</w:t>
      </w:r>
      <w:r w:rsidR="006049D1">
        <w:rPr>
          <w:color w:val="000000"/>
          <w:szCs w:val="22"/>
        </w:rPr>
        <w:t xml:space="preserve">ection 1.65 of the Commission’s </w:t>
      </w:r>
      <w:r w:rsidR="00436188">
        <w:rPr>
          <w:color w:val="000000"/>
          <w:szCs w:val="22"/>
        </w:rPr>
        <w:t>Rules</w:t>
      </w:r>
      <w:r w:rsidR="006049D1">
        <w:rPr>
          <w:color w:val="000000"/>
          <w:szCs w:val="22"/>
        </w:rPr>
        <w:t>.</w:t>
      </w:r>
      <w:r w:rsidR="006049D1">
        <w:rPr>
          <w:rStyle w:val="FootnoteReference"/>
          <w:szCs w:val="22"/>
        </w:rPr>
        <w:footnoteReference w:id="3"/>
      </w:r>
    </w:p>
    <w:p w:rsidR="002C00E8" w:rsidRDefault="00C3661F" w:rsidP="002C00E8">
      <w:pPr>
        <w:pStyle w:val="Heading1"/>
      </w:pPr>
      <w:r>
        <w:t>background</w:t>
      </w:r>
    </w:p>
    <w:p w:rsidR="00DF2675" w:rsidRPr="00DF2675" w:rsidRDefault="00DF2675" w:rsidP="00493FCD">
      <w:pPr>
        <w:pStyle w:val="ParaNum"/>
      </w:pPr>
      <w:r w:rsidRPr="008225DC">
        <w:rPr>
          <w:color w:val="000000"/>
          <w:szCs w:val="22"/>
        </w:rPr>
        <w:t>Martin Santos (Santos), former sole shareholder of licensee GB, defaulted on a personal debt to Edward Olivares (Olivares) for $48,020.85.</w:t>
      </w:r>
      <w:r w:rsidRPr="008225DC">
        <w:rPr>
          <w:color w:val="000000"/>
          <w:szCs w:val="22"/>
          <w:vertAlign w:val="superscript"/>
        </w:rPr>
        <w:footnoteReference w:id="4"/>
      </w:r>
      <w:r w:rsidRPr="008225DC">
        <w:rPr>
          <w:color w:val="000000"/>
          <w:szCs w:val="22"/>
        </w:rPr>
        <w:t xml:space="preserve">  According to Poderosa, Santos also defaulted on a debt to Poderosa for around $770,000, which was secured against the assets of the Station.</w:t>
      </w:r>
      <w:r w:rsidRPr="008225DC">
        <w:rPr>
          <w:color w:val="000000"/>
          <w:szCs w:val="22"/>
          <w:vertAlign w:val="superscript"/>
        </w:rPr>
        <w:footnoteReference w:id="5"/>
      </w:r>
      <w:r w:rsidRPr="008225DC">
        <w:rPr>
          <w:color w:val="000000"/>
          <w:szCs w:val="22"/>
        </w:rPr>
        <w:t xml:space="preserve">  On August 8, 2011, Olivares procured a default judgment against Santos (Olivares Judgment) in the Circuit Court of the </w:t>
      </w:r>
      <w:r w:rsidRPr="008225DC">
        <w:rPr>
          <w:color w:val="000000"/>
          <w:szCs w:val="22"/>
        </w:rPr>
        <w:lastRenderedPageBreak/>
        <w:t>Tenth Judicial Circuit in and for Polk County, Florida (the Court).</w:t>
      </w:r>
      <w:r w:rsidRPr="008225DC">
        <w:rPr>
          <w:color w:val="000000"/>
          <w:szCs w:val="22"/>
          <w:vertAlign w:val="superscript"/>
        </w:rPr>
        <w:footnoteReference w:id="6"/>
      </w:r>
      <w:r w:rsidRPr="008225DC">
        <w:rPr>
          <w:color w:val="000000"/>
          <w:szCs w:val="22"/>
        </w:rPr>
        <w:t xml:space="preserve">  Immediately afterward, on August 10, 2011, Santos attempted to sell the Station for $1000 to Florida Spanish Communications Corp.</w:t>
      </w:r>
      <w:r w:rsidRPr="008225DC">
        <w:rPr>
          <w:color w:val="000000"/>
          <w:szCs w:val="22"/>
          <w:vertAlign w:val="superscript"/>
        </w:rPr>
        <w:footnoteReference w:id="7"/>
      </w:r>
      <w:r w:rsidRPr="008225DC">
        <w:rPr>
          <w:color w:val="000000"/>
          <w:szCs w:val="22"/>
        </w:rPr>
        <w:t xml:space="preserve">  On October 14, 2011, Poderosa filed a motion </w:t>
      </w:r>
      <w:r>
        <w:rPr>
          <w:color w:val="000000"/>
          <w:szCs w:val="22"/>
        </w:rPr>
        <w:t xml:space="preserve">with the Court </w:t>
      </w:r>
      <w:r w:rsidRPr="008225DC">
        <w:rPr>
          <w:color w:val="000000"/>
          <w:szCs w:val="22"/>
        </w:rPr>
        <w:t>to compel arbitration and enjoin the sale of the Station, which the Court granted on January 24, 2012 (Arbitration Order).</w:t>
      </w:r>
      <w:r w:rsidRPr="008225DC">
        <w:rPr>
          <w:color w:val="000000"/>
          <w:szCs w:val="22"/>
          <w:vertAlign w:val="superscript"/>
        </w:rPr>
        <w:footnoteReference w:id="8"/>
      </w:r>
      <w:r w:rsidRPr="008225DC">
        <w:rPr>
          <w:color w:val="000000"/>
          <w:szCs w:val="22"/>
        </w:rPr>
        <w:t xml:space="preserve">  On August 3, 2012, upon receiving notification of the Arbitration Order, the</w:t>
      </w:r>
      <w:r w:rsidR="00493714">
        <w:rPr>
          <w:color w:val="000000"/>
          <w:szCs w:val="22"/>
        </w:rPr>
        <w:t xml:space="preserve"> Bureau</w:t>
      </w:r>
      <w:r w:rsidRPr="008225DC">
        <w:rPr>
          <w:color w:val="000000"/>
          <w:szCs w:val="22"/>
        </w:rPr>
        <w:t xml:space="preserve"> rescinded its grant of the Florida Spanish Assignment Application.</w:t>
      </w:r>
      <w:r w:rsidRPr="008225DC">
        <w:rPr>
          <w:color w:val="000000"/>
          <w:szCs w:val="22"/>
          <w:vertAlign w:val="superscript"/>
        </w:rPr>
        <w:footnoteReference w:id="9"/>
      </w:r>
      <w:r w:rsidRPr="008225DC">
        <w:rPr>
          <w:color w:val="000000"/>
          <w:szCs w:val="22"/>
        </w:rPr>
        <w:t xml:space="preserve"> </w:t>
      </w:r>
    </w:p>
    <w:p w:rsidR="00DF2675" w:rsidRDefault="002D579B" w:rsidP="00DF2675">
      <w:pPr>
        <w:pStyle w:val="ParaNum"/>
      </w:pPr>
      <w:r>
        <w:t xml:space="preserve">Meanwhile, in the </w:t>
      </w:r>
      <w:r>
        <w:rPr>
          <w:i/>
        </w:rPr>
        <w:t>Olivares v. Santos</w:t>
      </w:r>
      <w:r w:rsidR="00DF2675" w:rsidRPr="008225DC">
        <w:t xml:space="preserve"> proceeding, on February 16, 2012, the Court appointed Reed as receiver for Santos’ assets (Receivership Order)</w:t>
      </w:r>
      <w:r w:rsidR="00AD6DFD">
        <w:t>,</w:t>
      </w:r>
      <w:r w:rsidR="00DF2675">
        <w:t xml:space="preserve"> at Olivares’ request</w:t>
      </w:r>
      <w:r w:rsidR="00DF2675" w:rsidRPr="008225DC">
        <w:t>.</w:t>
      </w:r>
      <w:r w:rsidR="00DF2675" w:rsidRPr="008225DC">
        <w:rPr>
          <w:vertAlign w:val="superscript"/>
        </w:rPr>
        <w:footnoteReference w:id="10"/>
      </w:r>
      <w:r w:rsidR="00DF2675" w:rsidRPr="008225DC">
        <w:t xml:space="preserve">  On March 16, 2012, Reed filed an application to assign </w:t>
      </w:r>
      <w:r w:rsidR="00300B3D">
        <w:t>the Station license</w:t>
      </w:r>
      <w:r w:rsidR="00DF2675">
        <w:t xml:space="preserve"> to himself as Receiver </w:t>
      </w:r>
      <w:r w:rsidR="00DF2675" w:rsidRPr="008225DC">
        <w:t>(Reed Assignment Application).</w:t>
      </w:r>
      <w:r w:rsidR="00DF2675" w:rsidRPr="008225DC">
        <w:rPr>
          <w:vertAlign w:val="superscript"/>
        </w:rPr>
        <w:footnoteReference w:id="11"/>
      </w:r>
      <w:r w:rsidR="00DF2675">
        <w:t xml:space="preserve">  On August 3, 2012, the</w:t>
      </w:r>
      <w:r w:rsidR="00DF2675" w:rsidRPr="008225DC">
        <w:t xml:space="preserve"> Bureau granted the Reed Assignment Application, stating that the scope of Reed’s authority as Receiver, as well as any inconsistencies between the Arbitration Order and the Receivership Order, were for the Court to decide.</w:t>
      </w:r>
      <w:r w:rsidR="00DF2675" w:rsidRPr="008225DC">
        <w:rPr>
          <w:vertAlign w:val="superscript"/>
        </w:rPr>
        <w:footnoteReference w:id="12"/>
      </w:r>
      <w:r w:rsidR="00DF2675" w:rsidRPr="008225DC">
        <w:t xml:space="preserve">  On September 4, 2012, Poderosa filed a Petition for Reconsideration (Poderosa Petition for Reconsi</w:t>
      </w:r>
      <w:r w:rsidR="00300B3D">
        <w:t>deration), arguing that a</w:t>
      </w:r>
      <w:r w:rsidR="00DF2675" w:rsidRPr="008225DC">
        <w:t xml:space="preserve"> Court Order issued on June 12, 20</w:t>
      </w:r>
      <w:r w:rsidR="00DF2675">
        <w:t>12 (June 12 Court Order)</w:t>
      </w:r>
      <w:r w:rsidR="00B336B9">
        <w:t>,</w:t>
      </w:r>
      <w:r w:rsidR="00974C9A">
        <w:rPr>
          <w:rStyle w:val="FootnoteReference"/>
        </w:rPr>
        <w:footnoteReference w:id="13"/>
      </w:r>
      <w:r w:rsidR="00DF2675">
        <w:t xml:space="preserve"> </w:t>
      </w:r>
      <w:r w:rsidR="00DF2675" w:rsidRPr="008225DC">
        <w:t>clarified that the scope of Reed’s authority as Receiver extended only to Santos’ assets, not to the assets of the corporate licensee, GB, making a transfer rather than assignment application the appropriate m</w:t>
      </w:r>
      <w:r w:rsidR="00CA0BDC">
        <w:t>eans of effectuating the Court o</w:t>
      </w:r>
      <w:r w:rsidR="00DF2675" w:rsidRPr="008225DC">
        <w:t>rders.</w:t>
      </w:r>
      <w:r w:rsidR="00DF2675" w:rsidRPr="008225DC">
        <w:rPr>
          <w:vertAlign w:val="superscript"/>
        </w:rPr>
        <w:footnoteReference w:id="14"/>
      </w:r>
      <w:r w:rsidR="00DF2675" w:rsidRPr="008225DC">
        <w:t xml:space="preserve">  </w:t>
      </w:r>
      <w:r w:rsidR="00DF2675">
        <w:t>On November 7, 2012, 100 percent of GB’s shares were assigned to Reed.  This transaction was not reported to the Commission until May 21, 2015</w:t>
      </w:r>
      <w:r w:rsidR="00AC23E5">
        <w:t>, in the LOI Response</w:t>
      </w:r>
      <w:r w:rsidR="00DF2675">
        <w:t xml:space="preserve">. </w:t>
      </w:r>
    </w:p>
    <w:p w:rsidR="00DF2675" w:rsidRPr="008225DC" w:rsidRDefault="00DF2675" w:rsidP="00DF2675">
      <w:pPr>
        <w:pStyle w:val="ParaNum"/>
        <w:rPr>
          <w:i/>
        </w:rPr>
      </w:pPr>
      <w:r w:rsidRPr="008225DC">
        <w:t>While the Poderosa Petition for Reconsideration was still under review by the Bureau, on January 24, 2013, Olivares purchased 100 percent of the GB shares at a sheriff’s sale conducted pursuant to the Olivares Judgment</w:t>
      </w:r>
      <w:r>
        <w:t xml:space="preserve"> (Olivares Purchase)</w:t>
      </w:r>
      <w:r w:rsidRPr="008225DC">
        <w:t>.</w:t>
      </w:r>
      <w:r w:rsidRPr="008225DC">
        <w:rPr>
          <w:vertAlign w:val="superscript"/>
        </w:rPr>
        <w:footnoteReference w:id="15"/>
      </w:r>
      <w:r w:rsidRPr="008225DC">
        <w:t xml:space="preserve">  </w:t>
      </w:r>
      <w:r>
        <w:t xml:space="preserve">In the Opposition, </w:t>
      </w:r>
      <w:r w:rsidRPr="008225DC">
        <w:t xml:space="preserve">Reed </w:t>
      </w:r>
      <w:r>
        <w:t>states</w:t>
      </w:r>
      <w:r w:rsidRPr="008225DC">
        <w:t xml:space="preserve"> that he did not report </w:t>
      </w:r>
      <w:r>
        <w:t>the Olivares Purchase</w:t>
      </w:r>
      <w:r w:rsidRPr="008225DC">
        <w:t xml:space="preserve"> </w:t>
      </w:r>
      <w:r>
        <w:t>or file a transfer of control application with</w:t>
      </w:r>
      <w:r w:rsidRPr="008225DC">
        <w:t xml:space="preserve"> the Commission because “as the [then-licensee of the Station], Reed had no occasion to advise the Commission of the sale of GB stock to Olivares . . ..”</w:t>
      </w:r>
      <w:r w:rsidRPr="008225DC">
        <w:rPr>
          <w:vertAlign w:val="superscript"/>
        </w:rPr>
        <w:footnoteReference w:id="16"/>
      </w:r>
      <w:r w:rsidR="00A31F83">
        <w:t xml:space="preserve">  Thus, the Bureau was not</w:t>
      </w:r>
      <w:r w:rsidR="0084338D">
        <w:t xml:space="preserve"> </w:t>
      </w:r>
      <w:r>
        <w:t xml:space="preserve">notified of the Olivares Purchase until </w:t>
      </w:r>
      <w:r w:rsidR="00F76938">
        <w:t>April 16</w:t>
      </w:r>
      <w:r w:rsidR="000D2A02">
        <w:t xml:space="preserve">, 2013, in a footnote to a </w:t>
      </w:r>
      <w:r w:rsidR="00F76938">
        <w:t>Petition for Partial Reconsideration of</w:t>
      </w:r>
      <w:r w:rsidR="000D2A02">
        <w:t xml:space="preserve"> the </w:t>
      </w:r>
      <w:r w:rsidR="000D2A02">
        <w:rPr>
          <w:i/>
        </w:rPr>
        <w:t>Reconsideration Decision</w:t>
      </w:r>
      <w:r>
        <w:t>.</w:t>
      </w:r>
      <w:r w:rsidR="00166905">
        <w:rPr>
          <w:rStyle w:val="FootnoteReference"/>
        </w:rPr>
        <w:footnoteReference w:id="17"/>
      </w:r>
      <w:r>
        <w:t xml:space="preserve"> </w:t>
      </w:r>
    </w:p>
    <w:p w:rsidR="00DF2675" w:rsidRPr="008225DC" w:rsidRDefault="00DF2675" w:rsidP="00DF2675">
      <w:pPr>
        <w:pStyle w:val="ParaNum"/>
      </w:pPr>
      <w:r>
        <w:t>On April 9, 2013</w:t>
      </w:r>
      <w:r w:rsidRPr="008225DC">
        <w:t xml:space="preserve">, the Bureau granted the Poderosa Petition for Reconsideration and rescinded </w:t>
      </w:r>
      <w:r w:rsidRPr="008225DC">
        <w:lastRenderedPageBreak/>
        <w:t xml:space="preserve">the grant of the Reed Assignment Application, </w:t>
      </w:r>
      <w:r w:rsidR="002075AA">
        <w:t>agreeing with Poderosa</w:t>
      </w:r>
      <w:r w:rsidRPr="008225DC">
        <w:t xml:space="preserve"> that because only Santos’ interest in GB—i.e., his shares—</w:t>
      </w:r>
      <w:r w:rsidR="002075AA">
        <w:t>entered</w:t>
      </w:r>
      <w:r w:rsidRPr="008225DC">
        <w:t xml:space="preserve"> receivership, a transfer of control application was the appropriate vehicle for the transaction.</w:t>
      </w:r>
      <w:r w:rsidRPr="008225DC">
        <w:rPr>
          <w:vertAlign w:val="superscript"/>
        </w:rPr>
        <w:footnoteReference w:id="18"/>
      </w:r>
      <w:r w:rsidRPr="008225DC">
        <w:t xml:space="preserve">  The Bureau also admonished Reed for failure to file a copy of the June 12 Court Order while the Reed Assignment Application was pending.</w:t>
      </w:r>
      <w:r w:rsidRPr="008225DC">
        <w:rPr>
          <w:vertAlign w:val="superscript"/>
        </w:rPr>
        <w:footnoteReference w:id="19"/>
      </w:r>
      <w:r w:rsidRPr="008225DC">
        <w:t xml:space="preserve">  </w:t>
      </w:r>
      <w:r>
        <w:t xml:space="preserve">Because at the time it issued the </w:t>
      </w:r>
      <w:r>
        <w:rPr>
          <w:i/>
        </w:rPr>
        <w:t>Reconsideration Decision</w:t>
      </w:r>
      <w:r>
        <w:t>, the Bureau had not been apprised of the Olivares Purchase,</w:t>
      </w:r>
      <w:r w:rsidRPr="008225DC">
        <w:t xml:space="preserve"> </w:t>
      </w:r>
      <w:r>
        <w:t>it</w:t>
      </w:r>
      <w:r w:rsidRPr="008225DC">
        <w:t xml:space="preserve"> instructed Reed to file a transfer of control application</w:t>
      </w:r>
      <w:r>
        <w:t xml:space="preserve"> </w:t>
      </w:r>
      <w:r w:rsidR="002075AA">
        <w:t>such that he would</w:t>
      </w:r>
      <w:r>
        <w:t xml:space="preserve"> become</w:t>
      </w:r>
      <w:r w:rsidRPr="008225DC">
        <w:t xml:space="preserve"> the “100 percent shareholder of the licensee.”</w:t>
      </w:r>
      <w:r w:rsidRPr="008225DC">
        <w:rPr>
          <w:vertAlign w:val="superscript"/>
        </w:rPr>
        <w:footnoteReference w:id="20"/>
      </w:r>
      <w:r w:rsidRPr="008225DC">
        <w:t xml:space="preserve"> </w:t>
      </w:r>
      <w:r w:rsidRPr="008225DC">
        <w:rPr>
          <w:i/>
        </w:rPr>
        <w:t xml:space="preserve"> </w:t>
      </w:r>
      <w:r>
        <w:t>Reed applied to the Court for confirmation, and o</w:t>
      </w:r>
      <w:r w:rsidRPr="008225DC">
        <w:t xml:space="preserve">n June 20, 2013, </w:t>
      </w:r>
      <w:r>
        <w:t>the Court ordered Reed to comply</w:t>
      </w:r>
      <w:r w:rsidR="002075AA">
        <w:t xml:space="preserve"> with the Commission’s directive</w:t>
      </w:r>
      <w:r w:rsidRPr="008225DC">
        <w:t>.</w:t>
      </w:r>
      <w:r w:rsidRPr="008225DC">
        <w:rPr>
          <w:vertAlign w:val="superscript"/>
        </w:rPr>
        <w:footnoteReference w:id="21"/>
      </w:r>
      <w:r w:rsidRPr="008225DC">
        <w:t xml:space="preserve">  The Court further </w:t>
      </w:r>
      <w:r>
        <w:t>instructed</w:t>
      </w:r>
      <w:r w:rsidRPr="008225DC">
        <w:t xml:space="preserve"> that: </w:t>
      </w:r>
    </w:p>
    <w:p w:rsidR="00DF2675" w:rsidRPr="008225DC" w:rsidRDefault="00DF2675" w:rsidP="00DF2675">
      <w:pPr>
        <w:pStyle w:val="ParaNum"/>
        <w:numPr>
          <w:ilvl w:val="0"/>
          <w:numId w:val="0"/>
        </w:numPr>
        <w:ind w:left="720"/>
      </w:pPr>
      <w:r w:rsidRPr="008225DC">
        <w:t>[U]pon the successful completion of the “involuntary transfer of control” process with the FCC, Receiver shall transfer control over GB and its stock and assets, including but not limited to the FCC License, to [Olivares] as the successful bidder and purchaser of GB and its stock and assets at the January 24, 2013, sheriff’s sale.</w:t>
      </w:r>
      <w:r w:rsidRPr="008225DC">
        <w:rPr>
          <w:vertAlign w:val="superscript"/>
        </w:rPr>
        <w:footnoteReference w:id="22"/>
      </w:r>
      <w:r w:rsidRPr="008225DC">
        <w:t xml:space="preserve">  </w:t>
      </w:r>
    </w:p>
    <w:p w:rsidR="00DF2675" w:rsidRPr="008225DC" w:rsidRDefault="00DF2675" w:rsidP="00DF2675">
      <w:pPr>
        <w:pStyle w:val="ParaNum"/>
      </w:pPr>
      <w:r>
        <w:t>On</w:t>
      </w:r>
      <w:r w:rsidRPr="008225DC">
        <w:t xml:space="preserve"> June 28, 2013, Reed</w:t>
      </w:r>
      <w:r>
        <w:t xml:space="preserve"> complied with the first step of the Guidance Order, filing</w:t>
      </w:r>
      <w:r w:rsidRPr="008225DC">
        <w:t xml:space="preserve"> a Form 316 involuntary transfer of control applica</w:t>
      </w:r>
      <w:r>
        <w:t>tion (Transfer Application)</w:t>
      </w:r>
      <w:r w:rsidRPr="008225DC">
        <w:t xml:space="preserve"> </w:t>
      </w:r>
      <w:r>
        <w:t xml:space="preserve">with the Commission </w:t>
      </w:r>
      <w:r w:rsidRPr="008225DC">
        <w:t>to transfer 100 percent of the equity interest in GB from Santos to Reed</w:t>
      </w:r>
      <w:r w:rsidRPr="00E02B18">
        <w:t>.</w:t>
      </w:r>
      <w:r w:rsidRPr="00E02B18">
        <w:rPr>
          <w:vertAlign w:val="superscript"/>
        </w:rPr>
        <w:footnoteReference w:id="23"/>
      </w:r>
      <w:r w:rsidRPr="00E02B18">
        <w:t xml:space="preserve">  </w:t>
      </w:r>
      <w:r>
        <w:t>In the Transfer Application, Olivares was not listed as a party in interest and Reed was identified as the sole shareholder post-transaction.  However, i</w:t>
      </w:r>
      <w:r w:rsidRPr="008225DC">
        <w:t>n a footnote to an exhibit</w:t>
      </w:r>
      <w:r>
        <w:t>,</w:t>
      </w:r>
      <w:r w:rsidRPr="008225DC">
        <w:t xml:space="preserve"> Reed disclosed Olivares’ </w:t>
      </w:r>
      <w:r w:rsidR="002075AA">
        <w:t xml:space="preserve">actual </w:t>
      </w:r>
      <w:r>
        <w:t>interest in GB</w:t>
      </w:r>
      <w:r w:rsidRPr="008225DC">
        <w:t>.</w:t>
      </w:r>
      <w:r w:rsidRPr="008225DC">
        <w:rPr>
          <w:vertAlign w:val="superscript"/>
        </w:rPr>
        <w:footnoteReference w:id="24"/>
      </w:r>
      <w:r>
        <w:t xml:space="preserve">  In that</w:t>
      </w:r>
      <w:r w:rsidRPr="008225DC">
        <w:t xml:space="preserve"> same footnote, Reed </w:t>
      </w:r>
      <w:r w:rsidR="00F82BE6">
        <w:t>asserted</w:t>
      </w:r>
      <w:r w:rsidR="002A2E2C">
        <w:t xml:space="preserve"> that he would file an additional</w:t>
      </w:r>
      <w:r w:rsidRPr="008225DC">
        <w:t xml:space="preserve"> transfer of control application</w:t>
      </w:r>
      <w:r>
        <w:t xml:space="preserve"> to Olivares </w:t>
      </w:r>
      <w:r w:rsidRPr="008225DC">
        <w:t>“[u]pon grant and consumma</w:t>
      </w:r>
      <w:r>
        <w:t>tion of the instant application.</w:t>
      </w:r>
      <w:r w:rsidRPr="008225DC">
        <w:t>”</w:t>
      </w:r>
      <w:r w:rsidRPr="008225DC">
        <w:rPr>
          <w:vertAlign w:val="superscript"/>
        </w:rPr>
        <w:footnoteReference w:id="25"/>
      </w:r>
      <w:r w:rsidRPr="008225DC">
        <w:t xml:space="preserve">  The Transfer Application was granted on July 31, 2013, and the transaction </w:t>
      </w:r>
      <w:r>
        <w:t>reported as</w:t>
      </w:r>
      <w:r w:rsidRPr="008225DC">
        <w:t xml:space="preserve"> c</w:t>
      </w:r>
      <w:r>
        <w:t>onsummated on August 2, 2013.  However, n</w:t>
      </w:r>
      <w:r w:rsidRPr="008225DC">
        <w:t xml:space="preserve">o additional transfer of control application was </w:t>
      </w:r>
      <w:r w:rsidR="002A2E2C">
        <w:t xml:space="preserve">ever </w:t>
      </w:r>
      <w:r w:rsidRPr="008225DC">
        <w:t>filed</w:t>
      </w:r>
      <w:r>
        <w:t>, so the Commission’s records continue to erroneously identify Reed as the 100 percent shareholder of GB</w:t>
      </w:r>
      <w:r w:rsidRPr="008225DC">
        <w:t>.</w:t>
      </w:r>
      <w:r w:rsidRPr="008225DC">
        <w:rPr>
          <w:rStyle w:val="FootnoteReference"/>
          <w:color w:val="000000"/>
          <w:szCs w:val="22"/>
        </w:rPr>
        <w:footnoteReference w:id="26"/>
      </w:r>
    </w:p>
    <w:p w:rsidR="00DF2675" w:rsidRPr="008225DC" w:rsidRDefault="00DF2675" w:rsidP="00DF2675">
      <w:pPr>
        <w:pStyle w:val="ParaNum"/>
      </w:pPr>
      <w:r w:rsidRPr="008225DC">
        <w:t xml:space="preserve">Reed </w:t>
      </w:r>
      <w:r w:rsidR="002A2E2C">
        <w:t>states that he has</w:t>
      </w:r>
      <w:r w:rsidRPr="008225DC">
        <w:t xml:space="preserve"> exercised </w:t>
      </w:r>
      <w:r>
        <w:t xml:space="preserve">operational </w:t>
      </w:r>
      <w:r w:rsidRPr="008225DC">
        <w:t>control over GB and the Station from the time of the Receivership Order, February 2012, to the present.</w:t>
      </w:r>
      <w:r w:rsidRPr="008225DC">
        <w:rPr>
          <w:vertAlign w:val="superscript"/>
        </w:rPr>
        <w:footnoteReference w:id="27"/>
      </w:r>
      <w:r w:rsidRPr="008225DC">
        <w:t xml:space="preserve">  Reed </w:t>
      </w:r>
      <w:r w:rsidR="002A2E2C">
        <w:t xml:space="preserve">explains </w:t>
      </w:r>
      <w:r w:rsidR="00CF7F86">
        <w:t>that he did not relinquish</w:t>
      </w:r>
      <w:r w:rsidRPr="008225DC">
        <w:t xml:space="preserve"> control </w:t>
      </w:r>
      <w:r w:rsidR="002A2E2C">
        <w:t xml:space="preserve">of the Station to </w:t>
      </w:r>
      <w:r w:rsidR="00B21E61">
        <w:t xml:space="preserve">the purchaser at auction, </w:t>
      </w:r>
      <w:r w:rsidR="00206919">
        <w:t>Olivares</w:t>
      </w:r>
      <w:r w:rsidR="00B21E61">
        <w:t>,</w:t>
      </w:r>
      <w:r w:rsidR="00CF7F86">
        <w:t xml:space="preserve"> </w:t>
      </w:r>
      <w:r w:rsidRPr="008225DC">
        <w:t>because he was not able to come to “satisfactory financial terms” over payment of his fees</w:t>
      </w:r>
      <w:r>
        <w:t>,</w:t>
      </w:r>
      <w:r w:rsidRPr="008225DC">
        <w:rPr>
          <w:vertAlign w:val="superscript"/>
        </w:rPr>
        <w:footnoteReference w:id="28"/>
      </w:r>
      <w:r>
        <w:t xml:space="preserve"> which, including legal fees, totaled $224,560.14.</w:t>
      </w:r>
      <w:r>
        <w:rPr>
          <w:rStyle w:val="FootnoteReference"/>
          <w:color w:val="000000"/>
          <w:szCs w:val="22"/>
        </w:rPr>
        <w:footnoteReference w:id="29"/>
      </w:r>
      <w:r w:rsidR="002A2E2C">
        <w:t xml:space="preserve">  Reed claims that </w:t>
      </w:r>
      <w:r w:rsidR="00206919">
        <w:t xml:space="preserve">his retention of the receivership assets </w:t>
      </w:r>
      <w:r w:rsidR="008D367A">
        <w:t xml:space="preserve">as </w:t>
      </w:r>
      <w:r w:rsidR="00206919">
        <w:t>against GB’</w:t>
      </w:r>
      <w:r w:rsidR="00F1068E">
        <w:t xml:space="preserve">s </w:t>
      </w:r>
      <w:r w:rsidR="007F2BC2">
        <w:t xml:space="preserve">new </w:t>
      </w:r>
      <w:r w:rsidR="00206919">
        <w:t>owner</w:t>
      </w:r>
      <w:r w:rsidR="008D367A">
        <w:t>, rather than Santos,</w:t>
      </w:r>
      <w:r w:rsidR="00B21E61">
        <w:t xml:space="preserve"> </w:t>
      </w:r>
      <w:r w:rsidR="002A2E2C">
        <w:t xml:space="preserve">was </w:t>
      </w:r>
      <w:r w:rsidR="008D367A">
        <w:t xml:space="preserve">sanctioned by the </w:t>
      </w:r>
      <w:r w:rsidR="002A2E2C">
        <w:t>Court.</w:t>
      </w:r>
      <w:r w:rsidR="00F82BE6">
        <w:rPr>
          <w:rStyle w:val="FootnoteReference"/>
        </w:rPr>
        <w:footnoteReference w:id="30"/>
      </w:r>
      <w:r w:rsidR="002A2E2C">
        <w:t xml:space="preserve"> </w:t>
      </w:r>
    </w:p>
    <w:p w:rsidR="00DF2675" w:rsidRPr="008225DC" w:rsidRDefault="00DF2675" w:rsidP="00DF2675">
      <w:pPr>
        <w:pStyle w:val="ParaNum"/>
      </w:pPr>
      <w:r>
        <w:rPr>
          <w:i/>
        </w:rPr>
        <w:t xml:space="preserve">Settlement documents.  </w:t>
      </w:r>
      <w:r w:rsidRPr="008225DC">
        <w:t>On June 12, 2014, Olivares and Reed executed a Settlement Agreement (Settlement Agreement), under which Olivares agreed to pay such of Reed’s receivership fees and expenses that were not covered by the operation of the Station, totaling $175,000,</w:t>
      </w:r>
      <w:r w:rsidRPr="008225DC">
        <w:rPr>
          <w:vertAlign w:val="superscript"/>
        </w:rPr>
        <w:footnoteReference w:id="31"/>
      </w:r>
      <w:r w:rsidRPr="008225DC">
        <w:t xml:space="preserve"> in return for Reed filing </w:t>
      </w:r>
      <w:r w:rsidR="00206919">
        <w:t>an</w:t>
      </w:r>
      <w:r w:rsidRPr="008225DC">
        <w:t xml:space="preserve"> application with the Commission to transfer control of the Station to Olivares.</w:t>
      </w:r>
      <w:r w:rsidRPr="008225DC">
        <w:rPr>
          <w:vertAlign w:val="superscript"/>
        </w:rPr>
        <w:footnoteReference w:id="32"/>
      </w:r>
      <w:r w:rsidRPr="008225DC">
        <w:t xml:space="preserve">  </w:t>
      </w:r>
      <w:r>
        <w:t>That</w:t>
      </w:r>
      <w:r w:rsidRPr="008225DC">
        <w:t xml:space="preserve"> same day, June 12, 2014, Olivares and Reed also executed an Assignment and Assumption Agreement </w:t>
      </w:r>
      <w:r w:rsidR="00851438">
        <w:t xml:space="preserve">under which </w:t>
      </w:r>
      <w:r w:rsidRPr="008225DC">
        <w:t>Olivares</w:t>
      </w:r>
      <w:r w:rsidR="00851438">
        <w:t xml:space="preserve"> assigned his</w:t>
      </w:r>
      <w:r w:rsidRPr="008225DC">
        <w:t xml:space="preserve"> rights and obligations under the Settlement Agreement to CATCO</w:t>
      </w:r>
      <w:r w:rsidR="00206919">
        <w:rPr>
          <w:rStyle w:val="FootnoteReference"/>
        </w:rPr>
        <w:footnoteReference w:id="33"/>
      </w:r>
      <w:r w:rsidRPr="008225DC">
        <w:t xml:space="preserve"> because “neither Olivares nor GB has been and is able to pay [Reed] the monies to be paid the Receiver under the Settlement Agreement.”</w:t>
      </w:r>
      <w:r w:rsidRPr="008225DC">
        <w:rPr>
          <w:vertAlign w:val="superscript"/>
        </w:rPr>
        <w:footnoteReference w:id="34"/>
      </w:r>
      <w:r w:rsidRPr="008225DC">
        <w:t xml:space="preserve">  On July 8, 2014, the Court approved the Settlement Agreement and related agreements.</w:t>
      </w:r>
    </w:p>
    <w:p w:rsidR="00DF2675" w:rsidRPr="008225DC" w:rsidRDefault="00DF2675" w:rsidP="00DF2675">
      <w:pPr>
        <w:pStyle w:val="ParaNum"/>
      </w:pPr>
      <w:r>
        <w:rPr>
          <w:i/>
        </w:rPr>
        <w:t xml:space="preserve">Pleadings.  </w:t>
      </w:r>
      <w:r>
        <w:t>In its</w:t>
      </w:r>
      <w:r w:rsidRPr="008225DC">
        <w:t xml:space="preserve"> Petition to Deny, Poderosa contends that the assignment of the Station license from GB to CATCO is not in the public interest because: (1) GB has been dissolved as a corporation and therefore is not legally qualified to assign the Station license;</w:t>
      </w:r>
      <w:r w:rsidR="008C0201">
        <w:rPr>
          <w:rStyle w:val="FootnoteReference"/>
        </w:rPr>
        <w:footnoteReference w:id="35"/>
      </w:r>
      <w:r w:rsidRPr="008225DC">
        <w:t xml:space="preserve"> (2) an unauthorized transfer of </w:t>
      </w:r>
      <w:r>
        <w:t xml:space="preserve">control </w:t>
      </w:r>
      <w:r w:rsidRPr="008225DC">
        <w:t xml:space="preserve">resulted from </w:t>
      </w:r>
      <w:r>
        <w:t>the Olivares Purchase</w:t>
      </w:r>
      <w:r w:rsidRPr="008225DC">
        <w:t xml:space="preserve"> </w:t>
      </w:r>
      <w:r>
        <w:t>(</w:t>
      </w:r>
      <w:r w:rsidRPr="008225DC">
        <w:t>and later amendments to GB’s Articles of Incorporation naming new officers to GB</w:t>
      </w:r>
      <w:r>
        <w:t>)</w:t>
      </w:r>
      <w:r w:rsidRPr="008225DC">
        <w:t>;</w:t>
      </w:r>
      <w:r w:rsidRPr="008225DC">
        <w:rPr>
          <w:vertAlign w:val="superscript"/>
        </w:rPr>
        <w:footnoteReference w:id="36"/>
      </w:r>
      <w:r w:rsidRPr="008225DC">
        <w:t xml:space="preserve"> and (3) the proposed assignment would be inconsistent with the 2012 Arbitration Order</w:t>
      </w:r>
      <w:r w:rsidR="00962987">
        <w:t>,</w:t>
      </w:r>
      <w:r w:rsidR="008C0201">
        <w:t xml:space="preserve"> in which </w:t>
      </w:r>
      <w:r w:rsidR="00962987">
        <w:t>the</w:t>
      </w:r>
      <w:r w:rsidR="008C0201">
        <w:t xml:space="preserve"> </w:t>
      </w:r>
      <w:r w:rsidR="00962987">
        <w:t>C</w:t>
      </w:r>
      <w:r w:rsidR="008C0201">
        <w:t>ourt enjoined GB and Santos from “attempting to assign the license or other assets of the Station to any third party,</w:t>
      </w:r>
      <w:r w:rsidR="00253EFA">
        <w:t xml:space="preserve"> or to transfer control of [GB]</w:t>
      </w:r>
      <w:r w:rsidR="008C0201">
        <w:t>, pending completion of the arbitration.”</w:t>
      </w:r>
      <w:r w:rsidR="008C0201">
        <w:rPr>
          <w:rStyle w:val="FootnoteReference"/>
        </w:rPr>
        <w:footnoteReference w:id="37"/>
      </w:r>
      <w:r w:rsidRPr="008225DC">
        <w:t xml:space="preserve">  </w:t>
      </w:r>
    </w:p>
    <w:p w:rsidR="00DF2675" w:rsidRPr="008225DC" w:rsidRDefault="00DF2675" w:rsidP="00DF2675">
      <w:pPr>
        <w:pStyle w:val="ParaNum"/>
      </w:pPr>
      <w:r w:rsidRPr="008225DC">
        <w:t>In the Opposition, the Parties claim that</w:t>
      </w:r>
      <w:r w:rsidR="00962987">
        <w:t>,</w:t>
      </w:r>
      <w:r w:rsidRPr="008225DC">
        <w:t xml:space="preserve"> as a procedural matter, the Petition to Deny is untimely and thus should be dismissed or treated as an informal objection.  The Parties also contend that Florida state law authorizes a dissolved corporation to wind up its business affairs, including disposing corporate properties such as the Station license.</w:t>
      </w:r>
      <w:r w:rsidRPr="008225DC">
        <w:rPr>
          <w:vertAlign w:val="superscript"/>
        </w:rPr>
        <w:footnoteReference w:id="38"/>
      </w:r>
      <w:r w:rsidRPr="008225DC">
        <w:t xml:space="preserve">  With respect to Poderosa’s unauthorized transfer of control claims, the Parties assert that “the identity of GB’s officers is totally irrelevant to the control of the Station” and that “Reed is in control of GB—despite the Court’s acknowledgement that Olivares owns all of GB’s stock.”</w:t>
      </w:r>
      <w:r w:rsidRPr="008225DC">
        <w:rPr>
          <w:vertAlign w:val="superscript"/>
        </w:rPr>
        <w:footnoteReference w:id="39"/>
      </w:r>
      <w:r w:rsidRPr="008225DC">
        <w:t xml:space="preserve">  </w:t>
      </w:r>
      <w:r w:rsidR="00745EBB">
        <w:t>Finally, regarding</w:t>
      </w:r>
      <w:r w:rsidRPr="008225DC">
        <w:t xml:space="preserve"> Poderosa’s arbitration-related claims, the Parties argue that the Commission does not adjudicate contractual matters, nor does it generally defer action on applications pending dispute resolution in another forum.</w:t>
      </w:r>
      <w:r w:rsidRPr="008225DC">
        <w:rPr>
          <w:vertAlign w:val="superscript"/>
        </w:rPr>
        <w:footnoteReference w:id="40"/>
      </w:r>
    </w:p>
    <w:p w:rsidR="00493FCD" w:rsidRDefault="00493FCD" w:rsidP="00493FCD">
      <w:pPr>
        <w:pStyle w:val="Heading1"/>
        <w:tabs>
          <w:tab w:val="left" w:pos="720"/>
        </w:tabs>
      </w:pPr>
      <w:r>
        <w:t>discussion</w:t>
      </w:r>
    </w:p>
    <w:p w:rsidR="00493FCD" w:rsidRDefault="00493FCD" w:rsidP="00493FCD">
      <w:pPr>
        <w:pStyle w:val="ParaNum"/>
      </w:pPr>
      <w:r w:rsidRPr="00CF7F86">
        <w:rPr>
          <w:i/>
        </w:rPr>
        <w:t>Procedural issue.</w:t>
      </w:r>
      <w:r>
        <w:t xml:space="preserve">  </w:t>
      </w:r>
      <w:r w:rsidR="00CF7F86" w:rsidRPr="00CF7F86">
        <w:t>A petition to deny must be filed within 30 days of public notice of acceptance for filing of the application.</w:t>
      </w:r>
      <w:r w:rsidR="00CF7F86" w:rsidRPr="00CF7F86">
        <w:rPr>
          <w:vertAlign w:val="superscript"/>
        </w:rPr>
        <w:footnoteReference w:id="41"/>
      </w:r>
      <w:r w:rsidR="00CF7F86" w:rsidRPr="00CF7F86">
        <w:t xml:space="preserve">   In this case, public notice of acceptance for filing of the Application was August 27, 2014.</w:t>
      </w:r>
      <w:r w:rsidR="00CF7F86" w:rsidRPr="00CF7F86">
        <w:rPr>
          <w:vertAlign w:val="superscript"/>
        </w:rPr>
        <w:footnoteReference w:id="42"/>
      </w:r>
      <w:r w:rsidR="00CF7F86" w:rsidRPr="00CF7F86">
        <w:t xml:space="preserve">  The Petition was filed on October 6, 2014.  Therefore, it is untimely.  However, because it was received before Commission action on the Application, we will consider the Petition as an informal objectio</w:t>
      </w:r>
      <w:r w:rsidR="00CA0BDC">
        <w:t xml:space="preserve">n under Section 73.3587 of the </w:t>
      </w:r>
      <w:r w:rsidR="00436188">
        <w:t>Rules</w:t>
      </w:r>
      <w:r w:rsidR="00CF7F86" w:rsidRPr="00CF7F86">
        <w:t>.</w:t>
      </w:r>
      <w:r w:rsidR="00CF7F86" w:rsidRPr="00CF7F86">
        <w:rPr>
          <w:vertAlign w:val="superscript"/>
        </w:rPr>
        <w:footnoteReference w:id="43"/>
      </w:r>
    </w:p>
    <w:p w:rsidR="00A6640A" w:rsidRDefault="00A6640A" w:rsidP="00A6640A">
      <w:pPr>
        <w:pStyle w:val="ParaNum"/>
      </w:pPr>
      <w:r w:rsidRPr="008225DC">
        <w:rPr>
          <w:i/>
        </w:rPr>
        <w:t>Substantive issue</w:t>
      </w:r>
      <w:r>
        <w:rPr>
          <w:i/>
        </w:rPr>
        <w:t>s</w:t>
      </w:r>
      <w:r w:rsidRPr="008225DC">
        <w:rPr>
          <w:i/>
        </w:rPr>
        <w:t>.</w:t>
      </w:r>
      <w:r w:rsidRPr="008225DC">
        <w:t xml:space="preserve">  Informal objections, like petitions to deny, must allege properly supported facts that, if true, would establish a substantial and material question of fact that grant of the application would be inconsistent with the public interest.</w:t>
      </w:r>
      <w:r w:rsidRPr="008225DC">
        <w:rPr>
          <w:vertAlign w:val="superscript"/>
        </w:rPr>
        <w:footnoteReference w:id="44"/>
      </w:r>
      <w:r w:rsidRPr="008225DC">
        <w:t xml:space="preserve">  As discussed below, </w:t>
      </w:r>
      <w:r>
        <w:t>Poderosa has</w:t>
      </w:r>
      <w:r w:rsidRPr="008225DC">
        <w:t xml:space="preserve"> not raised a substantial and material question of fact that grant of the </w:t>
      </w:r>
      <w:r>
        <w:t xml:space="preserve">CATCO Assignment </w:t>
      </w:r>
      <w:r w:rsidRPr="008225DC">
        <w:t xml:space="preserve">Application would be inconsistent with the public interest.  However, the facts on record establish that </w:t>
      </w:r>
      <w:r>
        <w:t>several violation</w:t>
      </w:r>
      <w:r w:rsidR="00B64A35">
        <w:t>s</w:t>
      </w:r>
      <w:r>
        <w:t xml:space="preserve"> of the Commission’s </w:t>
      </w:r>
      <w:r w:rsidR="00436188">
        <w:t>Rules</w:t>
      </w:r>
      <w:r>
        <w:t xml:space="preserve"> and the</w:t>
      </w:r>
      <w:r w:rsidRPr="008225DC">
        <w:t xml:space="preserve"> Communi</w:t>
      </w:r>
      <w:r>
        <w:t>cations Act of 1934, as amended (Act) have occurred</w:t>
      </w:r>
      <w:r w:rsidRPr="008225DC">
        <w:t>.</w:t>
      </w:r>
      <w:r>
        <w:rPr>
          <w:rStyle w:val="FootnoteReference"/>
          <w:szCs w:val="22"/>
        </w:rPr>
        <w:footnoteReference w:id="45"/>
      </w:r>
      <w:r w:rsidRPr="008225DC">
        <w:t xml:space="preserve">  W</w:t>
      </w:r>
      <w:r w:rsidR="00BD4D9F">
        <w:t xml:space="preserve">e </w:t>
      </w:r>
      <w:r w:rsidR="00253EFA">
        <w:t>believe that these violations—</w:t>
      </w:r>
      <w:r w:rsidR="00BD4D9F">
        <w:t xml:space="preserve">involving </w:t>
      </w:r>
      <w:r>
        <w:t xml:space="preserve">Sections 1.65 and </w:t>
      </w:r>
      <w:r w:rsidR="00197678">
        <w:t>73.3540</w:t>
      </w:r>
      <w:r w:rsidR="00E33BAF">
        <w:t xml:space="preserve"> of the </w:t>
      </w:r>
      <w:r w:rsidR="00436188">
        <w:t>Rules</w:t>
      </w:r>
      <w:r>
        <w:t xml:space="preserve"> and Section 310(d) </w:t>
      </w:r>
      <w:r w:rsidRPr="008225DC">
        <w:t xml:space="preserve">of </w:t>
      </w:r>
      <w:r>
        <w:t>the Act</w:t>
      </w:r>
      <w:r>
        <w:rPr>
          <w:rStyle w:val="FootnoteReference"/>
          <w:szCs w:val="22"/>
        </w:rPr>
        <w:footnoteReference w:id="46"/>
      </w:r>
      <w:r w:rsidR="00253EFA">
        <w:t>—</w:t>
      </w:r>
      <w:r w:rsidR="007D32A0">
        <w:t>are appropriately</w:t>
      </w:r>
      <w:r w:rsidR="00BD4D9F">
        <w:t xml:space="preserve"> resolved by the Consent Decree adopted herein.</w:t>
      </w:r>
    </w:p>
    <w:p w:rsidR="001E1C6F" w:rsidRPr="001E1C6F" w:rsidRDefault="00197678" w:rsidP="001E1C6F">
      <w:pPr>
        <w:pStyle w:val="ParaNum"/>
      </w:pPr>
      <w:r>
        <w:rPr>
          <w:szCs w:val="22"/>
          <w:u w:val="single"/>
        </w:rPr>
        <w:t xml:space="preserve">Unauthorized Transfer </w:t>
      </w:r>
      <w:r w:rsidRPr="003B69CF">
        <w:rPr>
          <w:szCs w:val="22"/>
          <w:u w:val="single"/>
        </w:rPr>
        <w:t>of Control</w:t>
      </w:r>
      <w:r w:rsidR="003B69CF">
        <w:rPr>
          <w:szCs w:val="22"/>
        </w:rPr>
        <w:t xml:space="preserve">.  </w:t>
      </w:r>
      <w:r w:rsidR="001E1C6F" w:rsidRPr="003B69CF">
        <w:rPr>
          <w:szCs w:val="22"/>
        </w:rPr>
        <w:t>Section</w:t>
      </w:r>
      <w:r w:rsidR="001E1C6F" w:rsidRPr="001E1C6F">
        <w:rPr>
          <w:szCs w:val="22"/>
        </w:rPr>
        <w:t xml:space="preserve"> 310(d) of the Act prohibits the </w:t>
      </w:r>
      <w:r w:rsidR="001E1C6F" w:rsidRPr="001E1C6F">
        <w:rPr>
          <w:i/>
          <w:szCs w:val="22"/>
        </w:rPr>
        <w:t>de facto</w:t>
      </w:r>
      <w:r w:rsidR="001E1C6F" w:rsidRPr="001E1C6F">
        <w:rPr>
          <w:szCs w:val="22"/>
        </w:rPr>
        <w:t xml:space="preserve"> or </w:t>
      </w:r>
      <w:r w:rsidR="001E1C6F" w:rsidRPr="001E1C6F">
        <w:rPr>
          <w:i/>
          <w:szCs w:val="22"/>
        </w:rPr>
        <w:t xml:space="preserve">de jure </w:t>
      </w:r>
      <w:r w:rsidR="001E1C6F" w:rsidRPr="001E1C6F">
        <w:rPr>
          <w:szCs w:val="22"/>
        </w:rPr>
        <w:t>transfer of a radio station license without the consent of the Commission: “No. . . station license, or any rights thereunder, shall be transferred, assigned, or disposed of in any manner, voluntary or involuntary, directly or indirectly, or by transfer of control of any corporation holding such . . . license to any person except upon application to the Commission and upon finding by the Commission that the public interest, convenience, and necessity will be served thereby.”</w:t>
      </w:r>
      <w:r w:rsidR="001E1C6F" w:rsidRPr="008225DC">
        <w:rPr>
          <w:rStyle w:val="FootnoteReference"/>
          <w:szCs w:val="22"/>
        </w:rPr>
        <w:footnoteReference w:id="47"/>
      </w:r>
      <w:r w:rsidR="001E1C6F" w:rsidRPr="001E1C6F">
        <w:rPr>
          <w:szCs w:val="22"/>
        </w:rPr>
        <w:t xml:space="preserve">  This provision requires that we review, as may be appropriate, the citizenship, character, and other qualifications of the </w:t>
      </w:r>
      <w:r w:rsidR="001E1C6F">
        <w:rPr>
          <w:szCs w:val="22"/>
        </w:rPr>
        <w:t>proposed assignee</w:t>
      </w:r>
      <w:r w:rsidR="00721661">
        <w:rPr>
          <w:szCs w:val="22"/>
        </w:rPr>
        <w:t>, as well as its compliance with the multiple ownership rules</w:t>
      </w:r>
      <w:r w:rsidR="001E1C6F" w:rsidRPr="001E1C6F">
        <w:rPr>
          <w:szCs w:val="22"/>
        </w:rPr>
        <w:t>.</w:t>
      </w:r>
      <w:r w:rsidR="001E1C6F" w:rsidRPr="008225DC">
        <w:rPr>
          <w:rStyle w:val="FootnoteReference"/>
          <w:szCs w:val="22"/>
        </w:rPr>
        <w:footnoteReference w:id="48"/>
      </w:r>
      <w:r w:rsidR="001E1C6F" w:rsidRPr="001E1C6F">
        <w:rPr>
          <w:szCs w:val="22"/>
        </w:rPr>
        <w:t xml:space="preserve">  </w:t>
      </w:r>
      <w:r w:rsidR="00721661">
        <w:rPr>
          <w:szCs w:val="22"/>
        </w:rPr>
        <w:t>The Bureau has determined—</w:t>
      </w:r>
      <w:r w:rsidR="00FA4AF6">
        <w:rPr>
          <w:szCs w:val="22"/>
        </w:rPr>
        <w:t xml:space="preserve">and </w:t>
      </w:r>
      <w:r w:rsidR="001E1C6F" w:rsidRPr="001E1C6F">
        <w:rPr>
          <w:szCs w:val="22"/>
        </w:rPr>
        <w:t>GB stipulates</w:t>
      </w:r>
      <w:r w:rsidR="008A3ACA">
        <w:rPr>
          <w:szCs w:val="22"/>
        </w:rPr>
        <w:t xml:space="preserve"> </w:t>
      </w:r>
      <w:r w:rsidR="00311F5C">
        <w:rPr>
          <w:szCs w:val="22"/>
        </w:rPr>
        <w:t>in</w:t>
      </w:r>
      <w:r w:rsidR="008A3ACA">
        <w:rPr>
          <w:szCs w:val="22"/>
        </w:rPr>
        <w:t xml:space="preserve"> the Consent Decree </w:t>
      </w:r>
      <w:r w:rsidR="00BD4D9F">
        <w:rPr>
          <w:szCs w:val="22"/>
        </w:rPr>
        <w:t>adopte</w:t>
      </w:r>
      <w:r w:rsidR="008A3ACA">
        <w:rPr>
          <w:szCs w:val="22"/>
        </w:rPr>
        <w:t>d herein</w:t>
      </w:r>
      <w:r w:rsidR="00721661">
        <w:rPr>
          <w:szCs w:val="22"/>
        </w:rPr>
        <w:t>—</w:t>
      </w:r>
      <w:r w:rsidR="001E1C6F" w:rsidRPr="001E1C6F">
        <w:rPr>
          <w:szCs w:val="22"/>
        </w:rPr>
        <w:t xml:space="preserve">that </w:t>
      </w:r>
      <w:r w:rsidR="00BD4D9F">
        <w:rPr>
          <w:szCs w:val="22"/>
        </w:rPr>
        <w:t xml:space="preserve">GB violated </w:t>
      </w:r>
      <w:r w:rsidR="001E1C6F" w:rsidRPr="001E1C6F">
        <w:rPr>
          <w:szCs w:val="22"/>
        </w:rPr>
        <w:t>Section 310(d)</w:t>
      </w:r>
      <w:r w:rsidR="00BD4D9F">
        <w:rPr>
          <w:szCs w:val="22"/>
        </w:rPr>
        <w:t xml:space="preserve"> of the </w:t>
      </w:r>
      <w:r w:rsidR="004E08CC">
        <w:rPr>
          <w:szCs w:val="22"/>
        </w:rPr>
        <w:t xml:space="preserve">Act and Section 73.3540 of the </w:t>
      </w:r>
      <w:r w:rsidR="00436188">
        <w:rPr>
          <w:szCs w:val="22"/>
        </w:rPr>
        <w:t>Rules</w:t>
      </w:r>
      <w:r w:rsidR="001E1C6F" w:rsidRPr="001E1C6F">
        <w:rPr>
          <w:szCs w:val="22"/>
        </w:rPr>
        <w:t xml:space="preserve"> when </w:t>
      </w:r>
      <w:r w:rsidR="001E1C6F">
        <w:rPr>
          <w:szCs w:val="22"/>
        </w:rPr>
        <w:t>Olivares acquired a cont</w:t>
      </w:r>
      <w:r w:rsidR="00253EFA">
        <w:rPr>
          <w:szCs w:val="22"/>
        </w:rPr>
        <w:t xml:space="preserve">rolling ownership interest in </w:t>
      </w:r>
      <w:r w:rsidR="003E2A63">
        <w:rPr>
          <w:szCs w:val="22"/>
        </w:rPr>
        <w:t xml:space="preserve">a Commission licensee, </w:t>
      </w:r>
      <w:r w:rsidR="00BD4D9F">
        <w:rPr>
          <w:szCs w:val="22"/>
        </w:rPr>
        <w:t>GB</w:t>
      </w:r>
      <w:r w:rsidR="003E2A63">
        <w:rPr>
          <w:szCs w:val="22"/>
        </w:rPr>
        <w:t>,</w:t>
      </w:r>
      <w:r w:rsidR="00BD4D9F">
        <w:rPr>
          <w:szCs w:val="22"/>
        </w:rPr>
        <w:t xml:space="preserve"> </w:t>
      </w:r>
      <w:r w:rsidR="001E1C6F" w:rsidRPr="001E1C6F">
        <w:rPr>
          <w:szCs w:val="22"/>
        </w:rPr>
        <w:t>without prior Commission approval.</w:t>
      </w:r>
      <w:r w:rsidR="00DD5360">
        <w:rPr>
          <w:szCs w:val="22"/>
        </w:rPr>
        <w:t xml:space="preserve">  </w:t>
      </w:r>
    </w:p>
    <w:p w:rsidR="007C46B7" w:rsidRDefault="00FA4AF6" w:rsidP="00932A40">
      <w:pPr>
        <w:pStyle w:val="ParaNum"/>
      </w:pPr>
      <w:r w:rsidRPr="004C5BA2">
        <w:rPr>
          <w:u w:val="single"/>
        </w:rPr>
        <w:t>Effect of the Arbitration Order</w:t>
      </w:r>
      <w:r w:rsidRPr="008225DC">
        <w:t xml:space="preserve">.  </w:t>
      </w:r>
      <w:r w:rsidR="00FD15A5">
        <w:t>While the Commission generally accommodates court decrees unless it is in the public interest to do otherwise,</w:t>
      </w:r>
      <w:r w:rsidR="00FD15A5">
        <w:rPr>
          <w:rStyle w:val="FootnoteReference"/>
        </w:rPr>
        <w:footnoteReference w:id="49"/>
      </w:r>
      <w:r w:rsidR="003350CA">
        <w:t xml:space="preserve"> </w:t>
      </w:r>
      <w:r w:rsidR="00FD15A5">
        <w:t>i</w:t>
      </w:r>
      <w:r w:rsidR="006F5008">
        <w:t>n this case the C</w:t>
      </w:r>
      <w:r w:rsidR="004C5BA2">
        <w:t>ourt enjoined GB from assigning the Station license “pending completion of arbitration” in January of 2012, but subsequently approved the Settlement Agreement authorizing the assignment of the Station’s license to CATCO on July 8, 2014.  Resolution of this apparent conflict lies with the Court, not the Commission</w:t>
      </w:r>
      <w:r w:rsidR="006F5008">
        <w:t>, and</w:t>
      </w:r>
      <w:r w:rsidR="004C5BA2">
        <w:t xml:space="preserve"> we find no reason to </w:t>
      </w:r>
      <w:r w:rsidR="00721661">
        <w:t>defer consideration of the CATCO</w:t>
      </w:r>
      <w:r w:rsidR="004C5BA2">
        <w:t xml:space="preserve"> Assignment Application pending Court action on this matter. </w:t>
      </w:r>
      <w:r w:rsidR="00B66FB8">
        <w:t xml:space="preserve"> Commission grant of an assignment or transfer of control application merely finds that the parties to the Application are qualified under, and the proposed transa</w:t>
      </w:r>
      <w:r w:rsidR="00AE3D1F">
        <w:t>ction does not violate, the Act</w:t>
      </w:r>
      <w:r w:rsidR="001134A1">
        <w:t xml:space="preserve"> or the Commission's r</w:t>
      </w:r>
      <w:r w:rsidR="00B66FB8">
        <w:t>ules and policies.</w:t>
      </w:r>
      <w:r w:rsidR="00721661">
        <w:t xml:space="preserve">  As such, it is permissive</w:t>
      </w:r>
      <w:r w:rsidR="00B66FB8">
        <w:t>, not compulsory, and does not prejudice any relief to which any party may ultimately be entitled under state law or federal bankruptcy law.</w:t>
      </w:r>
      <w:r w:rsidR="002A07DA" w:rsidRPr="004C5BA2">
        <w:rPr>
          <w:rStyle w:val="FootnoteReference"/>
          <w:szCs w:val="22"/>
        </w:rPr>
        <w:t xml:space="preserve"> </w:t>
      </w:r>
      <w:r w:rsidR="002A07DA" w:rsidRPr="002A07DA">
        <w:rPr>
          <w:rStyle w:val="FootnoteReference"/>
          <w:szCs w:val="22"/>
        </w:rPr>
        <w:footnoteReference w:id="50"/>
      </w:r>
      <w:r w:rsidR="00B66FB8" w:rsidRPr="002A07DA">
        <w:t xml:space="preserve">  </w:t>
      </w:r>
      <w:r w:rsidR="00185C2D">
        <w:t>The P</w:t>
      </w:r>
      <w:r w:rsidRPr="008225DC">
        <w:t>arties, therefore, close at their own risk and remain subject to the determination of the state court as to their respective rights</w:t>
      </w:r>
      <w:r w:rsidR="00263B01">
        <w:t xml:space="preserve"> and o</w:t>
      </w:r>
      <w:r w:rsidR="001134A1">
        <w:t>bligations under the Court’s o</w:t>
      </w:r>
      <w:r w:rsidR="0078259E">
        <w:t>rders</w:t>
      </w:r>
      <w:r w:rsidRPr="008225DC">
        <w:t xml:space="preserve">.  </w:t>
      </w:r>
    </w:p>
    <w:p w:rsidR="00FA4AF6" w:rsidRDefault="00E74466" w:rsidP="00F42B4E">
      <w:pPr>
        <w:pStyle w:val="ParaNum"/>
      </w:pPr>
      <w:r>
        <w:rPr>
          <w:u w:val="single"/>
        </w:rPr>
        <w:t>GB Corporate</w:t>
      </w:r>
      <w:r w:rsidR="00F42B4E">
        <w:rPr>
          <w:u w:val="single"/>
        </w:rPr>
        <w:t xml:space="preserve"> Status</w:t>
      </w:r>
      <w:r w:rsidR="00F42B4E">
        <w:t>.  Likewise, we are not persuaded by Poderosa’s argument that GB’s status as a dissolved corporation disqualifies it as a licensee</w:t>
      </w:r>
      <w:r w:rsidR="008C0201">
        <w:t xml:space="preserve"> and, accordingly, </w:t>
      </w:r>
      <w:r w:rsidR="000B25FA">
        <w:t>prevents it from</w:t>
      </w:r>
      <w:r w:rsidR="008C0201">
        <w:t xml:space="preserve"> assigning the Station license.  </w:t>
      </w:r>
      <w:r w:rsidR="00FE221B">
        <w:t>Although it</w:t>
      </w:r>
      <w:r w:rsidR="004860A4">
        <w:t xml:space="preserve"> is </w:t>
      </w:r>
      <w:r w:rsidR="00FE221B">
        <w:t>established that a licensee ca</w:t>
      </w:r>
      <w:r w:rsidR="009967F4">
        <w:t>nnot assign its authorization after</w:t>
      </w:r>
      <w:r w:rsidR="00FE221B">
        <w:t xml:space="preserve"> </w:t>
      </w:r>
      <w:r w:rsidR="009967F4">
        <w:t>it is found to be</w:t>
      </w:r>
      <w:r w:rsidR="00A23FFB">
        <w:t xml:space="preserve"> disqualified from holding that license, in this case Podero</w:t>
      </w:r>
      <w:r w:rsidR="00867127">
        <w:t xml:space="preserve">sa has not presented </w:t>
      </w:r>
      <w:r w:rsidR="00937974">
        <w:t xml:space="preserve">any </w:t>
      </w:r>
      <w:r w:rsidR="00A23FFB">
        <w:t>evidence</w:t>
      </w:r>
      <w:r w:rsidR="009967F4">
        <w:t xml:space="preserve"> that would</w:t>
      </w:r>
      <w:r w:rsidR="00867127">
        <w:t xml:space="preserve"> support</w:t>
      </w:r>
      <w:r w:rsidR="00FE221B">
        <w:t xml:space="preserve"> disqualifying GB as a licensee.</w:t>
      </w:r>
      <w:r w:rsidR="00FE221B">
        <w:rPr>
          <w:rStyle w:val="FootnoteReference"/>
        </w:rPr>
        <w:footnoteReference w:id="51"/>
      </w:r>
      <w:r w:rsidR="00FE221B">
        <w:t xml:space="preserve">  </w:t>
      </w:r>
      <w:r w:rsidR="004860A4">
        <w:t>We do not generally consider issues of a licensee’s compliance with the requirements of state corporate law where no challenge has been made in state court.</w:t>
      </w:r>
      <w:r w:rsidR="004860A4">
        <w:rPr>
          <w:rStyle w:val="FootnoteReference"/>
        </w:rPr>
        <w:footnoteReference w:id="52"/>
      </w:r>
      <w:r w:rsidR="004860A4">
        <w:t xml:space="preserve">  Furthermore, </w:t>
      </w:r>
      <w:r w:rsidR="000B25FA">
        <w:t xml:space="preserve">Poderosa cites no </w:t>
      </w:r>
      <w:r w:rsidR="00967FD2">
        <w:t xml:space="preserve">state law or Commission rule that </w:t>
      </w:r>
      <w:r w:rsidR="009967F4">
        <w:t xml:space="preserve">would </w:t>
      </w:r>
      <w:r w:rsidR="00967FD2">
        <w:t xml:space="preserve">prohibit a </w:t>
      </w:r>
      <w:r w:rsidR="00AE3D1F">
        <w:t xml:space="preserve">corporate </w:t>
      </w:r>
      <w:r w:rsidR="009967F4">
        <w:t>licen</w:t>
      </w:r>
      <w:r w:rsidR="00867127">
        <w:t xml:space="preserve">see from selling its </w:t>
      </w:r>
      <w:r w:rsidR="009967F4">
        <w:t>license as part of the winding up process after formal dissolution</w:t>
      </w:r>
      <w:r w:rsidR="00967FD2">
        <w:t>.</w:t>
      </w:r>
      <w:r w:rsidR="00700C0F">
        <w:rPr>
          <w:rStyle w:val="FootnoteReference"/>
        </w:rPr>
        <w:footnoteReference w:id="53"/>
      </w:r>
      <w:r w:rsidR="00967FD2">
        <w:t xml:space="preserve">  </w:t>
      </w:r>
      <w:r w:rsidR="008C0201">
        <w:t>The</w:t>
      </w:r>
      <w:r w:rsidR="00D20BB9">
        <w:t>refore, the</w:t>
      </w:r>
      <w:r w:rsidR="008C0201">
        <w:t xml:space="preserve"> issue of what actions GB may take as </w:t>
      </w:r>
      <w:r w:rsidR="00F42B4E">
        <w:t>it winds up its corporate affairs</w:t>
      </w:r>
      <w:r w:rsidR="008C0201">
        <w:t xml:space="preserve"> is a matter </w:t>
      </w:r>
      <w:r w:rsidR="00863EAB">
        <w:t xml:space="preserve">of state law </w:t>
      </w:r>
      <w:r w:rsidR="008C0201">
        <w:t>appropriately left for a state court of competent jurisdiction</w:t>
      </w:r>
      <w:r w:rsidR="00F42B4E">
        <w:t xml:space="preserve">.  </w:t>
      </w:r>
      <w:r w:rsidR="008C0201">
        <w:t>A</w:t>
      </w:r>
      <w:r w:rsidR="004C1B2B">
        <w:t xml:space="preserve">gain, we note that </w:t>
      </w:r>
      <w:r w:rsidR="004860A4">
        <w:t xml:space="preserve">our grant of </w:t>
      </w:r>
      <w:r w:rsidR="004C1B2B">
        <w:t xml:space="preserve">the CATCO Assignment Application is merely permissive in nature, and that the parties remain subject to </w:t>
      </w:r>
      <w:r w:rsidR="007406DE">
        <w:t>any</w:t>
      </w:r>
      <w:r w:rsidR="004C1B2B">
        <w:t xml:space="preserve"> applicable state law. </w:t>
      </w:r>
    </w:p>
    <w:p w:rsidR="003B69CF" w:rsidRDefault="003B69CF" w:rsidP="007A331D">
      <w:pPr>
        <w:pStyle w:val="ParaNum"/>
      </w:pPr>
      <w:r>
        <w:rPr>
          <w:u w:val="single"/>
        </w:rPr>
        <w:t>Section 1.65 V</w:t>
      </w:r>
      <w:r w:rsidRPr="003B69CF">
        <w:rPr>
          <w:u w:val="single"/>
        </w:rPr>
        <w:t>iolation</w:t>
      </w:r>
      <w:r w:rsidRPr="00F0641B">
        <w:t>.  Section 1.65 requires the applicant to amend a pending application whenever the information furnished within it is no longer substantially accurate and complete, and to submit a statement when there has been a significant change as to any other matter which may be of decisional significance in a Commission proceeding involving the pending application.</w:t>
      </w:r>
      <w:r w:rsidR="00AE3D1F">
        <w:rPr>
          <w:rStyle w:val="FootnoteReference"/>
          <w:szCs w:val="22"/>
        </w:rPr>
        <w:footnoteReference w:id="54"/>
      </w:r>
      <w:r w:rsidR="00AE3D1F">
        <w:t xml:space="preserve">  </w:t>
      </w:r>
      <w:r w:rsidRPr="00F0641B">
        <w:t>Applicants are required to update an application in response to either event “as promptly as possible and in any event within 30 days.”</w:t>
      </w:r>
      <w:r w:rsidRPr="008225DC">
        <w:rPr>
          <w:rStyle w:val="FootnoteReference"/>
          <w:color w:val="000000"/>
          <w:szCs w:val="22"/>
        </w:rPr>
        <w:footnoteReference w:id="55"/>
      </w:r>
      <w:r w:rsidRPr="00F0641B">
        <w:t xml:space="preserve">  An application is considered “pending” for Section 1.65 purposes until a Commission grant or denial of the application is no longer subject to reconsideration by the Commission or to review by any court.</w:t>
      </w:r>
      <w:r w:rsidRPr="008225DC">
        <w:rPr>
          <w:rStyle w:val="FootnoteReference"/>
          <w:color w:val="000000"/>
          <w:szCs w:val="22"/>
        </w:rPr>
        <w:footnoteReference w:id="56"/>
      </w:r>
      <w:r w:rsidRPr="00F0641B">
        <w:t xml:space="preserve">  GB stipulates</w:t>
      </w:r>
      <w:r w:rsidR="00867127">
        <w:t>,</w:t>
      </w:r>
      <w:r>
        <w:t xml:space="preserve"> by virtue of the Consent Decree attached herein</w:t>
      </w:r>
      <w:r w:rsidR="00867127">
        <w:t>,</w:t>
      </w:r>
      <w:r w:rsidRPr="00F0641B">
        <w:t xml:space="preserve"> that </w:t>
      </w:r>
      <w:r>
        <w:t>it</w:t>
      </w:r>
      <w:r w:rsidRPr="00F0641B">
        <w:t xml:space="preserve"> failed to apprise the Commission</w:t>
      </w:r>
      <w:r w:rsidR="00867127">
        <w:t xml:space="preserve"> </w:t>
      </w:r>
      <w:r w:rsidRPr="00F0641B">
        <w:t xml:space="preserve">that there had been a substantial and significant change in the information furnished in the Reed Assignment Application during its pendency—specifically, that </w:t>
      </w:r>
      <w:r>
        <w:t>equity and voting control of GB was no longer held by Reed but by Olivares</w:t>
      </w:r>
      <w:r w:rsidRPr="00F0641B">
        <w:t xml:space="preserve">.  </w:t>
      </w:r>
      <w:r>
        <w:t>GB also acknowledges that this is the second violation of Section 1.65 in connection with Reed’s receivership</w:t>
      </w:r>
      <w:r w:rsidR="00867127">
        <w:t xml:space="preserve"> of the GB stock</w:t>
      </w:r>
      <w:r>
        <w:t xml:space="preserve">.  </w:t>
      </w:r>
    </w:p>
    <w:p w:rsidR="005563AD" w:rsidRPr="005563AD" w:rsidRDefault="005563AD" w:rsidP="005563AD">
      <w:pPr>
        <w:pStyle w:val="Heading1"/>
      </w:pPr>
      <w:r>
        <w:t>Conclusion/actions</w:t>
      </w:r>
    </w:p>
    <w:p w:rsidR="000B35EA" w:rsidRPr="008A6E3E" w:rsidRDefault="00AE4EE9" w:rsidP="000B35EA">
      <w:pPr>
        <w:pStyle w:val="ParaNum"/>
        <w:rPr>
          <w:b/>
        </w:rPr>
      </w:pPr>
      <w:r>
        <w:t>In t</w:t>
      </w:r>
      <w:r w:rsidR="000B35EA">
        <w:t xml:space="preserve">he Consent Decree </w:t>
      </w:r>
      <w:r w:rsidR="00645215">
        <w:t>adopted herein</w:t>
      </w:r>
      <w:r w:rsidR="00867127">
        <w:t>,</w:t>
      </w:r>
      <w:r w:rsidR="00645215">
        <w:t xml:space="preserve"> </w:t>
      </w:r>
      <w:r>
        <w:t xml:space="preserve">GB </w:t>
      </w:r>
      <w:r w:rsidR="000B35EA">
        <w:t xml:space="preserve">stipulates that </w:t>
      </w:r>
      <w:r>
        <w:t xml:space="preserve">it </w:t>
      </w:r>
      <w:r w:rsidR="009210AD">
        <w:t xml:space="preserve">violated </w:t>
      </w:r>
      <w:r w:rsidR="000B35EA">
        <w:t>S</w:t>
      </w:r>
      <w:r w:rsidR="000B35EA" w:rsidRPr="0026172D">
        <w:t xml:space="preserve">ection </w:t>
      </w:r>
      <w:r w:rsidR="001154E0">
        <w:t>310</w:t>
      </w:r>
      <w:r w:rsidR="000B35EA">
        <w:t xml:space="preserve"> of the Act and Section</w:t>
      </w:r>
      <w:r w:rsidR="009210AD">
        <w:t>s</w:t>
      </w:r>
      <w:r w:rsidR="000B35EA">
        <w:t xml:space="preserve"> 73.3540 </w:t>
      </w:r>
      <w:r w:rsidR="009210AD">
        <w:t xml:space="preserve">and 1.65 </w:t>
      </w:r>
      <w:r w:rsidR="000B35EA">
        <w:t>of the Rules</w:t>
      </w:r>
      <w:r w:rsidR="004B4DAE">
        <w:t>.</w:t>
      </w:r>
      <w:r w:rsidR="000B35EA">
        <w:rPr>
          <w:rStyle w:val="FootnoteReference"/>
          <w:szCs w:val="22"/>
        </w:rPr>
        <w:footnoteReference w:id="57"/>
      </w:r>
      <w:r w:rsidR="00B91F0E">
        <w:t xml:space="preserve">  The Consent Decree </w:t>
      </w:r>
      <w:r w:rsidR="000B35EA">
        <w:t xml:space="preserve">requires that </w:t>
      </w:r>
      <w:r w:rsidR="00856A18">
        <w:t>GB</w:t>
      </w:r>
      <w:r w:rsidR="009A10FD">
        <w:t xml:space="preserve"> make an eleven</w:t>
      </w:r>
      <w:r w:rsidR="004B4DAE">
        <w:t xml:space="preserve"> thousand dollar ($1</w:t>
      </w:r>
      <w:r w:rsidR="009A10FD">
        <w:t>1</w:t>
      </w:r>
      <w:r w:rsidR="000B35EA">
        <w:t xml:space="preserve">,000) civil penalty payment to the United States Treasury.  A copy of the Consent Decree is attached hereto and incorporated by reference.  </w:t>
      </w:r>
      <w:r w:rsidR="000B35EA" w:rsidRPr="008A6E3E">
        <w:t xml:space="preserve"> </w:t>
      </w:r>
    </w:p>
    <w:p w:rsidR="000B35EA" w:rsidRDefault="000B35EA" w:rsidP="000B35EA">
      <w:pPr>
        <w:pStyle w:val="ParaNum"/>
      </w:pPr>
      <w:r>
        <w:t xml:space="preserve">After reviewing the terms of the Consent Decree, we find that the public interest will be served by its approval and by terminating all pending proceedings relating to the Bureau’s investigation of potential violations of the Rules and the Act in connection with the </w:t>
      </w:r>
      <w:r w:rsidR="001154E0">
        <w:t xml:space="preserve">CATCO Assignment </w:t>
      </w:r>
      <w:r>
        <w:t xml:space="preserve">Application.  </w:t>
      </w:r>
      <w:r w:rsidR="00087DDD">
        <w:t xml:space="preserve">Other matters raised in the Petition to Deny </w:t>
      </w:r>
      <w:r w:rsidR="00580FDF">
        <w:t xml:space="preserve">and not addressed by the Consent Decree </w:t>
      </w:r>
      <w:r w:rsidR="00087DDD">
        <w:t>are disposed of by this Order.</w:t>
      </w:r>
      <w:r w:rsidR="00580FDF">
        <w:t xml:space="preserve">  Therefore, we will deny the Petition to Deny. </w:t>
      </w:r>
    </w:p>
    <w:p w:rsidR="000B35EA" w:rsidRPr="008D3F61" w:rsidRDefault="007A331D" w:rsidP="000B35EA">
      <w:pPr>
        <w:pStyle w:val="ParaNum"/>
      </w:pPr>
      <w:r>
        <w:t>W</w:t>
      </w:r>
      <w:r w:rsidR="000B35EA">
        <w:t xml:space="preserve">e conclude that nothing in that record </w:t>
      </w:r>
      <w:r>
        <w:t xml:space="preserve">before us </w:t>
      </w:r>
      <w:r w:rsidR="000B35EA">
        <w:t xml:space="preserve">creates a substantial or material question of fact as to whether GB or CATCO possess the basic qualifications to assign and to be the licensee of the Station, respectively. </w:t>
      </w:r>
    </w:p>
    <w:p w:rsidR="00580FDF" w:rsidRDefault="000B35EA" w:rsidP="000B35EA">
      <w:pPr>
        <w:pStyle w:val="ParaNum"/>
      </w:pPr>
      <w:r>
        <w:t>ACCORDINGLY, IT IS ORDERED that</w:t>
      </w:r>
      <w:r w:rsidR="00580FDF">
        <w:t xml:space="preserve"> the Petition to Deny filed</w:t>
      </w:r>
      <w:r w:rsidR="00580FDF" w:rsidRPr="006049D1">
        <w:rPr>
          <w:color w:val="000000"/>
          <w:szCs w:val="22"/>
        </w:rPr>
        <w:t xml:space="preserve"> on October 6, 2014, by La Poderosa, LLC, and Carlos S. Guerrero</w:t>
      </w:r>
      <w:r w:rsidR="00580FDF">
        <w:rPr>
          <w:color w:val="000000"/>
          <w:szCs w:val="22"/>
        </w:rPr>
        <w:t xml:space="preserve"> IS DENIED.</w:t>
      </w:r>
    </w:p>
    <w:p w:rsidR="000B35EA" w:rsidRDefault="00580FDF" w:rsidP="000B35EA">
      <w:pPr>
        <w:pStyle w:val="ParaNum"/>
      </w:pPr>
      <w:r>
        <w:t>IT IS FURTHER ORDERED that</w:t>
      </w:r>
      <w:r w:rsidR="000B35EA">
        <w:t>, pursuant to Section 4(i) of the Communications Act of 1934, as amended,</w:t>
      </w:r>
      <w:r w:rsidR="000B35EA">
        <w:rPr>
          <w:rStyle w:val="FootnoteReference"/>
          <w:szCs w:val="22"/>
        </w:rPr>
        <w:footnoteReference w:id="58"/>
      </w:r>
      <w:r w:rsidR="000B35EA">
        <w:t xml:space="preserve"> and by the authority delegated by Sections 0.61 and 0.283 of the Rules,</w:t>
      </w:r>
      <w:r w:rsidR="000B35EA">
        <w:rPr>
          <w:rStyle w:val="FootnoteReference"/>
          <w:szCs w:val="22"/>
        </w:rPr>
        <w:footnoteReference w:id="59"/>
      </w:r>
      <w:r w:rsidR="000B35EA">
        <w:t xml:space="preserve"> the Consent Decree attached hereto IS ADOPTED without change, addition, or modification.</w:t>
      </w:r>
    </w:p>
    <w:p w:rsidR="000B35EA" w:rsidRDefault="000B35EA" w:rsidP="000B35EA">
      <w:pPr>
        <w:pStyle w:val="ParaNum"/>
      </w:pPr>
      <w:r>
        <w:t>IT IS FURTHER ORDERED that the investigation by the Media Bureau of the matters noted above IS TERMINATED.</w:t>
      </w:r>
    </w:p>
    <w:p w:rsidR="00E51795" w:rsidRDefault="00E51795">
      <w:pPr>
        <w:widowControl/>
        <w:rPr>
          <w:color w:val="010101"/>
        </w:rPr>
      </w:pPr>
      <w:r>
        <w:rPr>
          <w:color w:val="010101"/>
        </w:rPr>
        <w:br w:type="page"/>
      </w:r>
    </w:p>
    <w:p w:rsidR="000B35EA" w:rsidRPr="00B9792A" w:rsidRDefault="000B35EA" w:rsidP="00B9792A">
      <w:pPr>
        <w:pStyle w:val="ParaNum"/>
      </w:pPr>
      <w:r w:rsidRPr="00375CF9">
        <w:rPr>
          <w:color w:val="010101"/>
        </w:rPr>
        <w:t xml:space="preserve">IT IS FURTHER ORDERED that copies of this Order </w:t>
      </w:r>
      <w:r w:rsidRPr="00375CF9">
        <w:t xml:space="preserve">shall be sent, by First Class and Certified Mail, Return Receipt Requested, to </w:t>
      </w:r>
      <w:r w:rsidR="00AE4EE9">
        <w:t xml:space="preserve">GB </w:t>
      </w:r>
      <w:r w:rsidR="00F8258F">
        <w:t>E</w:t>
      </w:r>
      <w:r w:rsidR="00AE4EE9">
        <w:t>nterprises Communications Corp., c/o Media Services Group, 149 Roscoe Boulevard South, Ponte Vedra Beach, FL  32082</w:t>
      </w:r>
      <w:r>
        <w:t xml:space="preserve">, and to </w:t>
      </w:r>
      <w:r w:rsidR="00AE4EE9">
        <w:t>its</w:t>
      </w:r>
      <w:r>
        <w:t xml:space="preserve"> counsel, </w:t>
      </w:r>
      <w:r w:rsidR="00AE4EE9">
        <w:t xml:space="preserve">Lewis J. Paper, Esq., Pillsbury Winthrop Shaw Pittman LLP, </w:t>
      </w:r>
      <w:r w:rsidR="00580FDF" w:rsidRPr="00580FDF">
        <w:t>1200 17th Street, NW</w:t>
      </w:r>
      <w:r w:rsidR="007A331D">
        <w:t xml:space="preserve">, </w:t>
      </w:r>
      <w:r w:rsidR="00AE4EE9">
        <w:t>Washington, DC 2003</w:t>
      </w:r>
      <w:r w:rsidR="00B9792A">
        <w:t>6</w:t>
      </w:r>
      <w:r>
        <w:t xml:space="preserve">; </w:t>
      </w:r>
      <w:r w:rsidR="007347B8">
        <w:t>to</w:t>
      </w:r>
      <w:r w:rsidR="00AE4EE9">
        <w:t xml:space="preserve"> CATCO Communications, LLC, 480 South Broadway Avenue, Bartow, FL 33830</w:t>
      </w:r>
      <w:r w:rsidR="007347B8">
        <w:t xml:space="preserve">; and to its counsel, John Wells King, Esq., 4051 Shoal Creek Lane East, Jacksonville, FL 32225-4792; and to Barry D. Wood, Esq., Wood Martin &amp; Hardy, PC, Suite 202, 3300 Fairfax Drive, Arlington, VA 22201, counsel for La Poderosa, LLC and Carlos </w:t>
      </w:r>
      <w:r w:rsidR="0022416F">
        <w:t xml:space="preserve">S. </w:t>
      </w:r>
      <w:r w:rsidR="007347B8">
        <w:t>Guerrero</w:t>
      </w:r>
      <w:r w:rsidRPr="006357AE">
        <w:t>.</w:t>
      </w:r>
      <w:r w:rsidRPr="005C58C1">
        <w:tab/>
      </w:r>
    </w:p>
    <w:p w:rsidR="000B35EA" w:rsidRPr="005C58C1" w:rsidRDefault="000B35EA" w:rsidP="000B35EA">
      <w:pPr>
        <w:tabs>
          <w:tab w:val="left" w:pos="720"/>
          <w:tab w:val="left" w:pos="4320"/>
        </w:tabs>
        <w:jc w:val="both"/>
        <w:rPr>
          <w:szCs w:val="22"/>
        </w:rPr>
      </w:pPr>
      <w:r w:rsidRPr="005C58C1">
        <w:rPr>
          <w:szCs w:val="22"/>
        </w:rPr>
        <w:tab/>
      </w:r>
      <w:r w:rsidRPr="005C58C1">
        <w:rPr>
          <w:szCs w:val="22"/>
        </w:rPr>
        <w:tab/>
        <w:t>FEDERAL COMMUNICATIONS COMMISSION</w:t>
      </w:r>
    </w:p>
    <w:p w:rsidR="000B35EA" w:rsidRDefault="000B35EA" w:rsidP="000B35EA">
      <w:pPr>
        <w:tabs>
          <w:tab w:val="left" w:pos="720"/>
          <w:tab w:val="left" w:pos="4680"/>
        </w:tabs>
        <w:jc w:val="both"/>
        <w:rPr>
          <w:szCs w:val="22"/>
        </w:rPr>
      </w:pPr>
    </w:p>
    <w:p w:rsidR="00387EDC" w:rsidRPr="005C58C1" w:rsidRDefault="00387EDC" w:rsidP="000B35EA">
      <w:pPr>
        <w:tabs>
          <w:tab w:val="left" w:pos="720"/>
          <w:tab w:val="left" w:pos="4680"/>
        </w:tabs>
        <w:jc w:val="both"/>
        <w:rPr>
          <w:szCs w:val="22"/>
        </w:rPr>
      </w:pPr>
    </w:p>
    <w:p w:rsidR="000B35EA" w:rsidRDefault="000B35EA" w:rsidP="000B35EA">
      <w:pPr>
        <w:tabs>
          <w:tab w:val="left" w:pos="720"/>
          <w:tab w:val="left" w:pos="4680"/>
        </w:tabs>
        <w:jc w:val="both"/>
        <w:rPr>
          <w:szCs w:val="22"/>
        </w:rPr>
      </w:pPr>
    </w:p>
    <w:p w:rsidR="000B35EA" w:rsidRPr="005C58C1" w:rsidRDefault="000B35EA" w:rsidP="000B35EA">
      <w:pPr>
        <w:tabs>
          <w:tab w:val="left" w:pos="720"/>
          <w:tab w:val="left" w:pos="4680"/>
        </w:tabs>
        <w:jc w:val="both"/>
        <w:rPr>
          <w:szCs w:val="22"/>
        </w:rPr>
      </w:pPr>
    </w:p>
    <w:p w:rsidR="000B35EA" w:rsidRPr="005C58C1" w:rsidRDefault="000B35EA" w:rsidP="000B35EA">
      <w:pPr>
        <w:tabs>
          <w:tab w:val="left" w:pos="720"/>
          <w:tab w:val="left" w:pos="4320"/>
        </w:tabs>
        <w:rPr>
          <w:szCs w:val="22"/>
        </w:rPr>
      </w:pPr>
      <w:r w:rsidRPr="005C58C1">
        <w:rPr>
          <w:szCs w:val="22"/>
        </w:rPr>
        <w:tab/>
      </w:r>
      <w:r w:rsidRPr="005C58C1">
        <w:rPr>
          <w:szCs w:val="22"/>
        </w:rPr>
        <w:tab/>
        <w:t>William T. Lake</w:t>
      </w:r>
    </w:p>
    <w:p w:rsidR="00387EDC" w:rsidRDefault="000B35EA" w:rsidP="0076243E">
      <w:pPr>
        <w:rPr>
          <w:szCs w:val="22"/>
        </w:rPr>
      </w:pPr>
      <w:r w:rsidRPr="005C58C1">
        <w:rPr>
          <w:szCs w:val="22"/>
        </w:rPr>
        <w:tab/>
      </w:r>
      <w:r w:rsidRPr="005C58C1">
        <w:rPr>
          <w:szCs w:val="22"/>
        </w:rPr>
        <w:tab/>
      </w:r>
      <w:r>
        <w:rPr>
          <w:szCs w:val="22"/>
        </w:rPr>
        <w:tab/>
      </w:r>
      <w:r>
        <w:rPr>
          <w:szCs w:val="22"/>
        </w:rPr>
        <w:tab/>
      </w:r>
      <w:r>
        <w:rPr>
          <w:szCs w:val="22"/>
        </w:rPr>
        <w:tab/>
      </w:r>
      <w:r>
        <w:rPr>
          <w:szCs w:val="22"/>
        </w:rPr>
        <w:tab/>
      </w:r>
      <w:r w:rsidRPr="005C58C1">
        <w:rPr>
          <w:szCs w:val="22"/>
        </w:rPr>
        <w:t>Chief, Media Bureau</w:t>
      </w:r>
    </w:p>
    <w:p w:rsidR="00387EDC" w:rsidRDefault="00387EDC">
      <w:pPr>
        <w:widowControl/>
        <w:rPr>
          <w:szCs w:val="22"/>
        </w:rPr>
      </w:pPr>
      <w:r>
        <w:rPr>
          <w:szCs w:val="22"/>
        </w:rPr>
        <w:br w:type="page"/>
      </w:r>
    </w:p>
    <w:p w:rsidR="00387EDC" w:rsidRPr="00EE5485" w:rsidRDefault="00387EDC" w:rsidP="00387EDC">
      <w:pPr>
        <w:widowControl/>
        <w:jc w:val="center"/>
        <w:rPr>
          <w:b/>
          <w:szCs w:val="22"/>
        </w:rPr>
      </w:pPr>
      <w:r w:rsidRPr="00EE5485">
        <w:rPr>
          <w:b/>
          <w:szCs w:val="22"/>
          <w:u w:val="single"/>
        </w:rPr>
        <w:t>CONSENT DECREE</w:t>
      </w:r>
    </w:p>
    <w:p w:rsidR="00387EDC" w:rsidRPr="00EE5485" w:rsidRDefault="00387EDC" w:rsidP="00387EDC">
      <w:pPr>
        <w:jc w:val="both"/>
        <w:rPr>
          <w:b/>
          <w:szCs w:val="22"/>
        </w:rPr>
      </w:pPr>
    </w:p>
    <w:p w:rsidR="00387EDC" w:rsidRPr="00EE5485" w:rsidRDefault="00387EDC" w:rsidP="00387EDC">
      <w:pPr>
        <w:pStyle w:val="Heading1"/>
      </w:pPr>
      <w:r w:rsidRPr="00EE5485">
        <w:t>Introduction</w:t>
      </w:r>
    </w:p>
    <w:p w:rsidR="00387EDC" w:rsidRPr="00EE5485" w:rsidRDefault="00387EDC" w:rsidP="00387EDC">
      <w:pPr>
        <w:jc w:val="both"/>
        <w:rPr>
          <w:szCs w:val="22"/>
        </w:rPr>
      </w:pPr>
    </w:p>
    <w:p w:rsidR="00387EDC" w:rsidRPr="00126033" w:rsidRDefault="00387EDC" w:rsidP="00387EDC">
      <w:pPr>
        <w:rPr>
          <w:szCs w:val="22"/>
        </w:rPr>
      </w:pPr>
      <w:r>
        <w:rPr>
          <w:szCs w:val="22"/>
        </w:rPr>
        <w:tab/>
        <w:t>1.</w:t>
      </w:r>
      <w:r w:rsidRPr="00EE5485">
        <w:rPr>
          <w:szCs w:val="22"/>
        </w:rPr>
        <w:tab/>
      </w:r>
      <w:r w:rsidRPr="00126033">
        <w:rPr>
          <w:szCs w:val="22"/>
        </w:rPr>
        <w:t xml:space="preserve">This Consent Decree is entered into by </w:t>
      </w:r>
      <w:r w:rsidRPr="00000E3C">
        <w:rPr>
          <w:szCs w:val="22"/>
        </w:rPr>
        <w:t>and between</w:t>
      </w:r>
      <w:r>
        <w:rPr>
          <w:szCs w:val="22"/>
        </w:rPr>
        <w:t xml:space="preserve">: </w:t>
      </w:r>
      <w:r w:rsidRPr="00126033">
        <w:rPr>
          <w:szCs w:val="22"/>
        </w:rPr>
        <w:t>the Media Bureau of the Federal Communications Commission</w:t>
      </w:r>
      <w:r>
        <w:rPr>
          <w:szCs w:val="22"/>
        </w:rPr>
        <w:t xml:space="preserve">; </w:t>
      </w:r>
      <w:r>
        <w:t>GB Enterprises Communications Corp.</w:t>
      </w:r>
      <w:r>
        <w:rPr>
          <w:szCs w:val="22"/>
        </w:rPr>
        <w:t xml:space="preserve">, licensee and proposed assignor of Station WHNR(AM), Cypress Gardens, Florida (Facility ID No. 21766); and </w:t>
      </w:r>
      <w:r>
        <w:t>CATCO Communications, LLC</w:t>
      </w:r>
      <w:r>
        <w:rPr>
          <w:szCs w:val="22"/>
        </w:rPr>
        <w:t xml:space="preserve">, proposed assignee, for the purpose of terminating the Bureau’s Investigation into GB’s compliance with Sections 73.3540 and 1.65 of the Commission’s Rules, 47 CFR §§ 73.3540, 1.65, and Section 310 of the Communication Act of 1934, as amended, 47 U.S.C. § 310. </w:t>
      </w:r>
      <w:r w:rsidRPr="00126033">
        <w:rPr>
          <w:szCs w:val="22"/>
        </w:rPr>
        <w:t xml:space="preserve"> </w:t>
      </w:r>
    </w:p>
    <w:p w:rsidR="00387EDC" w:rsidRPr="00EE5485" w:rsidRDefault="00387EDC" w:rsidP="00387EDC">
      <w:pPr>
        <w:jc w:val="both"/>
        <w:rPr>
          <w:szCs w:val="22"/>
        </w:rPr>
      </w:pPr>
    </w:p>
    <w:p w:rsidR="00387EDC" w:rsidRPr="00EE5485" w:rsidRDefault="00387EDC" w:rsidP="00387EDC">
      <w:pPr>
        <w:pStyle w:val="Heading1"/>
      </w:pPr>
      <w:r w:rsidRPr="00EE5485">
        <w:t>Definitions</w:t>
      </w:r>
    </w:p>
    <w:p w:rsidR="00387EDC" w:rsidRDefault="00387EDC" w:rsidP="00D674D5">
      <w:pPr>
        <w:jc w:val="both"/>
      </w:pPr>
      <w:r w:rsidRPr="00EE5485">
        <w:rPr>
          <w:szCs w:val="22"/>
        </w:rPr>
        <w:tab/>
      </w:r>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387EDC" w:rsidRDefault="00387EDC" w:rsidP="00387EDC">
      <w:pPr>
        <w:tabs>
          <w:tab w:val="left" w:pos="720"/>
        </w:tabs>
      </w:pPr>
    </w:p>
    <w:p w:rsidR="00387EDC" w:rsidRDefault="00387EDC" w:rsidP="00387EDC">
      <w:pPr>
        <w:widowControl/>
        <w:numPr>
          <w:ilvl w:val="0"/>
          <w:numId w:val="17"/>
        </w:numPr>
      </w:pPr>
      <w:r w:rsidRPr="00CE64F6">
        <w:t xml:space="preserve">“Act” means the Communications Act of 1934, as amended, 47 U.S.C. </w:t>
      </w:r>
      <w:r w:rsidRPr="00022A56">
        <w:rPr>
          <w:szCs w:val="22"/>
        </w:rPr>
        <w:t>§</w:t>
      </w:r>
      <w:r w:rsidRPr="00CE64F6">
        <w:t xml:space="preserve">151 </w:t>
      </w:r>
      <w:r w:rsidRPr="00022A56">
        <w:rPr>
          <w:i/>
        </w:rPr>
        <w:t>et</w:t>
      </w:r>
      <w:r w:rsidRPr="00022A56">
        <w:rPr>
          <w:i/>
          <w:szCs w:val="22"/>
        </w:rPr>
        <w:t>.</w:t>
      </w:r>
      <w:r w:rsidRPr="00022A56">
        <w:rPr>
          <w:i/>
        </w:rPr>
        <w:t xml:space="preserve"> seq.</w:t>
      </w:r>
      <w:r w:rsidRPr="00CE64F6">
        <w:t>;</w:t>
      </w:r>
    </w:p>
    <w:p w:rsidR="00387EDC" w:rsidRDefault="00387EDC" w:rsidP="00387EDC">
      <w:pPr>
        <w:widowControl/>
        <w:ind w:left="2160"/>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5474">
        <w:rPr>
          <w:szCs w:val="22"/>
        </w:rPr>
        <w:t xml:space="preserve">“Adopting Order” means the </w:t>
      </w:r>
      <w:r>
        <w:rPr>
          <w:szCs w:val="22"/>
        </w:rPr>
        <w:t>o</w:t>
      </w:r>
      <w:r w:rsidRPr="008A5474">
        <w:rPr>
          <w:szCs w:val="22"/>
        </w:rPr>
        <w:t>rder of the Bureau adopting this Consent Decree;</w:t>
      </w:r>
    </w:p>
    <w:p w:rsidR="00387EDC" w:rsidRPr="00CE64F6" w:rsidRDefault="00387EDC" w:rsidP="00387EDC">
      <w:pPr>
        <w:widowControl/>
        <w:ind w:left="2160"/>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“Application” means the FCC Form 314 application, as amended, for consent to assign the Station license from GB to CATCO (File No. BAL-20140820AAE);   </w:t>
      </w:r>
    </w:p>
    <w:p w:rsidR="00387EDC" w:rsidRDefault="00387EDC" w:rsidP="00387EDC">
      <w:pPr>
        <w:pStyle w:val="ListParagraph"/>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4F6">
        <w:t xml:space="preserve">“Bureau” </w:t>
      </w:r>
      <w:r w:rsidRPr="00CD21ED">
        <w:t xml:space="preserve">means the Media Bureau of the </w:t>
      </w:r>
      <w:r w:rsidRPr="00CE64F6">
        <w:t>Commission;</w:t>
      </w:r>
    </w:p>
    <w:p w:rsidR="00387EDC" w:rsidRDefault="00387EDC" w:rsidP="00387EDC">
      <w:pPr>
        <w:pStyle w:val="ListParagraph"/>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“CATCO” means CATCO Communications, LLC;</w:t>
      </w:r>
    </w:p>
    <w:p w:rsidR="00387EDC" w:rsidRPr="00CE64F6" w:rsidRDefault="00387EDC" w:rsidP="00387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87EDC" w:rsidRDefault="00387EDC" w:rsidP="00387EDC">
      <w:pPr>
        <w:widowControl/>
        <w:numPr>
          <w:ilvl w:val="0"/>
          <w:numId w:val="17"/>
        </w:numPr>
      </w:pPr>
      <w:r w:rsidRPr="00CD21ED">
        <w:t>“Commission” or “FCC” means the Federal Communications Commission;</w:t>
      </w:r>
    </w:p>
    <w:p w:rsidR="00387EDC" w:rsidRDefault="00387EDC" w:rsidP="00387EDC">
      <w:pPr>
        <w:rPr>
          <w:szCs w:val="22"/>
        </w:rPr>
      </w:pPr>
    </w:p>
    <w:p w:rsidR="00387EDC" w:rsidRPr="00A74A7B" w:rsidRDefault="00387EDC" w:rsidP="00387EDC">
      <w:pPr>
        <w:widowControl/>
        <w:numPr>
          <w:ilvl w:val="0"/>
          <w:numId w:val="17"/>
        </w:numPr>
        <w:rPr>
          <w:szCs w:val="22"/>
        </w:rPr>
      </w:pPr>
      <w:r w:rsidRPr="00022A56">
        <w:rPr>
          <w:szCs w:val="22"/>
        </w:rPr>
        <w:t>“</w:t>
      </w:r>
      <w:r w:rsidRPr="00CE64F6">
        <w:t xml:space="preserve">Effective Date” means the date on which the Bureau releases the </w:t>
      </w:r>
      <w:r>
        <w:t xml:space="preserve">Adopting </w:t>
      </w:r>
      <w:r w:rsidRPr="00CE64F6">
        <w:t>Order;</w:t>
      </w:r>
    </w:p>
    <w:p w:rsidR="00387EDC" w:rsidRDefault="00387EDC" w:rsidP="00387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“Investigation” means the Bureau’s investigation of information contained in the Application and associated pleadings;   </w:t>
      </w:r>
    </w:p>
    <w:p w:rsidR="00387EDC" w:rsidRDefault="00387EDC" w:rsidP="00387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8A5474">
        <w:rPr>
          <w:szCs w:val="22"/>
        </w:rPr>
        <w:t>“Licensee” or “</w:t>
      </w:r>
      <w:r>
        <w:rPr>
          <w:szCs w:val="22"/>
        </w:rPr>
        <w:t>GB</w:t>
      </w:r>
      <w:r w:rsidRPr="008A5474">
        <w:rPr>
          <w:szCs w:val="22"/>
        </w:rPr>
        <w:t>” refers to</w:t>
      </w:r>
      <w:r>
        <w:rPr>
          <w:szCs w:val="22"/>
        </w:rPr>
        <w:t xml:space="preserve"> GB Enterprises Communications Corp.</w:t>
      </w:r>
      <w:r w:rsidRPr="008A5474">
        <w:rPr>
          <w:szCs w:val="22"/>
        </w:rPr>
        <w:t>;</w:t>
      </w:r>
    </w:p>
    <w:p w:rsidR="00387EDC" w:rsidRDefault="00387EDC" w:rsidP="00387EDC">
      <w:pPr>
        <w:pStyle w:val="ListParagraph"/>
        <w:rPr>
          <w:szCs w:val="22"/>
        </w:rPr>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“Olivares” means Edward Olivares;</w:t>
      </w:r>
    </w:p>
    <w:p w:rsidR="00387EDC" w:rsidRDefault="00387EDC" w:rsidP="00387EDC">
      <w:pPr>
        <w:pStyle w:val="ListParagraph"/>
        <w:rPr>
          <w:szCs w:val="22"/>
        </w:rPr>
      </w:pPr>
    </w:p>
    <w:p w:rsidR="00387EDC" w:rsidRPr="008A5474"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“Olivares Purchase” means Olivares’ </w:t>
      </w:r>
      <w:r w:rsidRPr="008225DC">
        <w:t>January 24, 2013</w:t>
      </w:r>
      <w:r>
        <w:t>,</w:t>
      </w:r>
      <w:r w:rsidRPr="008225DC">
        <w:t xml:space="preserve"> purchase</w:t>
      </w:r>
      <w:r>
        <w:t xml:space="preserve"> of</w:t>
      </w:r>
      <w:r w:rsidRPr="008225DC">
        <w:t xml:space="preserve"> 100 percent of the GB shares at a sheriff’s</w:t>
      </w:r>
      <w:r>
        <w:t xml:space="preserve"> sale;</w:t>
      </w:r>
    </w:p>
    <w:p w:rsidR="00387EDC" w:rsidRDefault="00387EDC" w:rsidP="0038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387EDC" w:rsidRPr="000378CE"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“Parties” means </w:t>
      </w:r>
      <w:r>
        <w:t xml:space="preserve">GB, CATCO, and </w:t>
      </w:r>
      <w:r w:rsidRPr="00CE64F6">
        <w:t>the Bureau;</w:t>
      </w:r>
    </w:p>
    <w:p w:rsidR="00387EDC" w:rsidRDefault="00387EDC" w:rsidP="00387EDC">
      <w:pPr>
        <w:pStyle w:val="ListParagraph"/>
        <w:rPr>
          <w:szCs w:val="22"/>
        </w:rPr>
      </w:pPr>
    </w:p>
    <w:p w:rsidR="00387EDC" w:rsidRPr="00E05CEB"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w:t>
      </w:r>
      <w:r w:rsidRPr="001E3FF8">
        <w:rPr>
          <w:i/>
          <w:szCs w:val="22"/>
        </w:rPr>
        <w:t>Reconsideration Decision</w:t>
      </w:r>
      <w:r>
        <w:rPr>
          <w:szCs w:val="22"/>
        </w:rPr>
        <w:t>” means the decision released by the Bureau on April 9, 2013 with respect to the Petition for Reconsideration filed in conjunction with the Reed Assignment Application, 28 FCC Rcd 4550 (MB 2013).</w:t>
      </w:r>
    </w:p>
    <w:p w:rsidR="00387EDC" w:rsidRDefault="00387EDC" w:rsidP="00387EDC">
      <w:pPr>
        <w:pStyle w:val="ListParagraph"/>
        <w:rPr>
          <w:szCs w:val="22"/>
        </w:rPr>
      </w:pPr>
    </w:p>
    <w:p w:rsidR="00387EDC" w:rsidRPr="00E05CEB"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“Reed” refers to George R. Reed;</w:t>
      </w:r>
    </w:p>
    <w:p w:rsidR="00387EDC" w:rsidRDefault="00387EDC" w:rsidP="00387EDC">
      <w:pPr>
        <w:pStyle w:val="ListParagraph"/>
        <w:rPr>
          <w:szCs w:val="22"/>
        </w:rPr>
      </w:pPr>
    </w:p>
    <w:p w:rsidR="00387EDC" w:rsidRPr="009F7AE5"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“Reed Assignment Application” means the Application to involuntarily assign the Station License from GB to Reed as Receiver (File No. BAL-20120316AAP);</w:t>
      </w:r>
    </w:p>
    <w:p w:rsidR="00387EDC" w:rsidRPr="00E05CEB" w:rsidRDefault="00387EDC" w:rsidP="00387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387EDC" w:rsidRPr="009F7AE5"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“Rules” means the Commission’s </w:t>
      </w:r>
      <w:r w:rsidRPr="009F7AE5">
        <w:rPr>
          <w:szCs w:val="22"/>
        </w:rPr>
        <w:t>Rules, found</w:t>
      </w:r>
      <w:r w:rsidRPr="00CE64F6">
        <w:t xml:space="preserve"> in Title 47 of the Code of Federal</w:t>
      </w:r>
      <w:r w:rsidRPr="009F7AE5">
        <w:rPr>
          <w:szCs w:val="22"/>
        </w:rPr>
        <w:t xml:space="preserve"> Regulations;</w:t>
      </w:r>
      <w:r>
        <w:rPr>
          <w:szCs w:val="22"/>
        </w:rPr>
        <w:t xml:space="preserve"> </w:t>
      </w:r>
    </w:p>
    <w:p w:rsidR="00387EDC" w:rsidRDefault="00387EDC" w:rsidP="0038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387EDC"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71C10">
        <w:rPr>
          <w:szCs w:val="22"/>
        </w:rPr>
        <w:t xml:space="preserve">“Station” means </w:t>
      </w:r>
      <w:r>
        <w:rPr>
          <w:szCs w:val="22"/>
        </w:rPr>
        <w:t>WHNR</w:t>
      </w:r>
      <w:r w:rsidRPr="00E71C10">
        <w:rPr>
          <w:szCs w:val="22"/>
        </w:rPr>
        <w:t>(</w:t>
      </w:r>
      <w:r>
        <w:rPr>
          <w:szCs w:val="22"/>
        </w:rPr>
        <w:t>AM</w:t>
      </w:r>
      <w:r w:rsidRPr="00E71C10">
        <w:rPr>
          <w:szCs w:val="22"/>
        </w:rPr>
        <w:t xml:space="preserve">), </w:t>
      </w:r>
      <w:r>
        <w:rPr>
          <w:szCs w:val="22"/>
        </w:rPr>
        <w:t>Cypress Gardens, Florida (Facility ID. No. 21766</w:t>
      </w:r>
      <w:r w:rsidRPr="00E71C10">
        <w:rPr>
          <w:szCs w:val="22"/>
        </w:rPr>
        <w:t>)</w:t>
      </w:r>
      <w:r>
        <w:rPr>
          <w:szCs w:val="22"/>
        </w:rPr>
        <w:t xml:space="preserve">;  </w:t>
      </w:r>
    </w:p>
    <w:p w:rsidR="00387EDC" w:rsidRDefault="00387EDC" w:rsidP="00387EDC">
      <w:pPr>
        <w:pStyle w:val="ListParagraph"/>
        <w:rPr>
          <w:szCs w:val="22"/>
        </w:rPr>
      </w:pPr>
    </w:p>
    <w:p w:rsidR="00387EDC" w:rsidRPr="00B16480" w:rsidRDefault="00387EDC" w:rsidP="00387ED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16480">
        <w:rPr>
          <w:szCs w:val="22"/>
        </w:rPr>
        <w:t>“Violations” means</w:t>
      </w:r>
      <w:r>
        <w:rPr>
          <w:szCs w:val="22"/>
        </w:rPr>
        <w:t>: (1)</w:t>
      </w:r>
      <w:r w:rsidRPr="00B16480">
        <w:rPr>
          <w:szCs w:val="22"/>
        </w:rPr>
        <w:t xml:space="preserve"> </w:t>
      </w:r>
      <w:r w:rsidR="00E13A9F">
        <w:rPr>
          <w:szCs w:val="22"/>
        </w:rPr>
        <w:t xml:space="preserve">the acquisition of 100 percent </w:t>
      </w:r>
      <w:r>
        <w:rPr>
          <w:szCs w:val="22"/>
        </w:rPr>
        <w:t>of the voting stock in licensee GB by Olivares without Commission approval in violation of Section 310(d) of the Act and Section 73.3540 of the Rules; and (2) the failure to inform the Commission that Oli</w:t>
      </w:r>
      <w:r w:rsidR="00397C3A">
        <w:rPr>
          <w:szCs w:val="22"/>
        </w:rPr>
        <w:t xml:space="preserve">vares had acquired 100 percent </w:t>
      </w:r>
      <w:r>
        <w:rPr>
          <w:szCs w:val="22"/>
        </w:rPr>
        <w:t>of the voting stock in GB during the pendency of the Reed Assignment Application, in violation of Section 1.65 of the Rules.</w:t>
      </w:r>
    </w:p>
    <w:p w:rsidR="00387EDC" w:rsidRDefault="00387EDC" w:rsidP="00387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387EDC" w:rsidRPr="00EE5485" w:rsidRDefault="00387EDC" w:rsidP="00387EDC">
      <w:pPr>
        <w:pStyle w:val="Heading1"/>
      </w:pPr>
      <w:r w:rsidRPr="00EE5485">
        <w:t xml:space="preserve"> Background</w:t>
      </w:r>
      <w:r w:rsidRPr="00EE5485">
        <w:tab/>
      </w:r>
    </w:p>
    <w:p w:rsidR="00387EDC" w:rsidRPr="00EE5485" w:rsidRDefault="00387EDC" w:rsidP="00387EDC">
      <w:pPr>
        <w:jc w:val="both"/>
        <w:rPr>
          <w:b/>
          <w:szCs w:val="22"/>
        </w:rPr>
      </w:pPr>
      <w:r w:rsidRPr="00EE5485">
        <w:rPr>
          <w:b/>
          <w:szCs w:val="22"/>
        </w:rPr>
        <w:tab/>
      </w:r>
    </w:p>
    <w:p w:rsidR="00387EDC" w:rsidRDefault="00387EDC" w:rsidP="00387EDC">
      <w:pPr>
        <w:rPr>
          <w:szCs w:val="22"/>
        </w:rPr>
      </w:pPr>
      <w:r w:rsidRPr="00EE5485">
        <w:rPr>
          <w:b/>
        </w:rPr>
        <w:tab/>
      </w:r>
      <w:r w:rsidRPr="00126033">
        <w:rPr>
          <w:szCs w:val="22"/>
        </w:rPr>
        <w:t>3</w:t>
      </w:r>
      <w:r>
        <w:rPr>
          <w:szCs w:val="22"/>
        </w:rPr>
        <w:t>.</w:t>
      </w:r>
      <w:r>
        <w:rPr>
          <w:szCs w:val="22"/>
        </w:rPr>
        <w:tab/>
        <w:t>Section 310(d) of the Act states, in pertinent part, that:</w:t>
      </w:r>
    </w:p>
    <w:p w:rsidR="00387EDC" w:rsidRDefault="00387EDC" w:rsidP="00387EDC">
      <w:pPr>
        <w:ind w:left="1440" w:right="1296"/>
        <w:rPr>
          <w:szCs w:val="22"/>
        </w:rPr>
      </w:pPr>
    </w:p>
    <w:p w:rsidR="00387EDC" w:rsidRDefault="00387EDC" w:rsidP="00387EDC">
      <w:pPr>
        <w:ind w:left="720" w:right="1440"/>
        <w:rPr>
          <w:szCs w:val="22"/>
        </w:rPr>
      </w:pPr>
      <w:r>
        <w:rPr>
          <w:szCs w:val="22"/>
        </w:rPr>
        <w:t xml:space="preserve">No construction permit or station license, or any rights thereunder, shall be transferred, assigned, or disposed of in any manner, voluntarily or involuntarily, directly or indirectly,  . . . except upon application to the Commission and upon finding by the Commission that the public interest, convenience, and necessity will be served thereby . . . .  </w:t>
      </w:r>
    </w:p>
    <w:p w:rsidR="00387EDC" w:rsidRDefault="00387EDC" w:rsidP="00387EDC">
      <w:pPr>
        <w:ind w:left="1440" w:right="1296"/>
        <w:rPr>
          <w:szCs w:val="22"/>
        </w:rPr>
      </w:pPr>
    </w:p>
    <w:p w:rsidR="00387EDC" w:rsidRDefault="00387EDC" w:rsidP="00387EDC">
      <w:pPr>
        <w:rPr>
          <w:szCs w:val="22"/>
        </w:rPr>
      </w:pPr>
      <w:r>
        <w:rPr>
          <w:szCs w:val="22"/>
        </w:rPr>
        <w:t>Similarly, Section 73.3540(a) of the Rules indicates that “[p]rior consent of the FCC must be obtained for a voluntary assignment or transfer of control.”   Additionally, Section 1.65 of the Rules indicates that:</w:t>
      </w:r>
    </w:p>
    <w:p w:rsidR="00387EDC" w:rsidRDefault="00387EDC" w:rsidP="00387EDC">
      <w:pPr>
        <w:rPr>
          <w:szCs w:val="22"/>
        </w:rPr>
      </w:pPr>
    </w:p>
    <w:p w:rsidR="00387EDC" w:rsidRDefault="00387EDC" w:rsidP="00387EDC">
      <w:pPr>
        <w:ind w:left="720" w:right="720"/>
        <w:rPr>
          <w:szCs w:val="22"/>
        </w:rPr>
      </w:pPr>
      <w:r>
        <w:t>Each applicant is responsible for the continuing accuracy and completeness of information furnished in a pending application or in Commission proceedings involving a pending application . . . Except as otherwise required by rules applicable to particular types of applications, whenever there has been a substantial change as to any other matter which may be of decisional significance in a Commission proceeding involving the pending application, the applicant shall as promptly as possible and in any event within 30 days, unless good cause is shown, submit a statement furnishing such additional or corrected information as may be appropriate . . . .</w:t>
      </w:r>
    </w:p>
    <w:p w:rsidR="00387EDC" w:rsidRDefault="00387EDC" w:rsidP="00387EDC">
      <w:pPr>
        <w:rPr>
          <w:szCs w:val="22"/>
        </w:rPr>
      </w:pPr>
    </w:p>
    <w:p w:rsidR="00387EDC" w:rsidRDefault="00387EDC" w:rsidP="00387EDC">
      <w:pPr>
        <w:rPr>
          <w:szCs w:val="22"/>
        </w:rPr>
      </w:pPr>
      <w:r>
        <w:rPr>
          <w:szCs w:val="22"/>
        </w:rPr>
        <w:t>An applicant’s obligations under Section 1.65 continue from the time the application is accepted for filing by the Commission until a Commission grant or denial of the application is no longer subject to reconsideration by the Commission or to review by any court.</w:t>
      </w:r>
    </w:p>
    <w:p w:rsidR="00387EDC" w:rsidRDefault="00387EDC" w:rsidP="00387EDC">
      <w:pPr>
        <w:rPr>
          <w:szCs w:val="22"/>
        </w:rPr>
      </w:pPr>
    </w:p>
    <w:p w:rsidR="00387EDC" w:rsidRDefault="00387EDC" w:rsidP="00387EDC">
      <w:pPr>
        <w:ind w:firstLine="720"/>
      </w:pPr>
      <w:r>
        <w:rPr>
          <w:szCs w:val="22"/>
        </w:rPr>
        <w:t>4.</w:t>
      </w:r>
      <w:r>
        <w:rPr>
          <w:szCs w:val="22"/>
        </w:rPr>
        <w:tab/>
        <w:t xml:space="preserve">In this case, while the Reed Assignment Application had been granted but was subject to a petition for reconsideration, on January 24, 2013, </w:t>
      </w:r>
      <w:r w:rsidRPr="008225DC">
        <w:t>Olivares purchased 100 percent of the GB shares at a sheriff’s sale</w:t>
      </w:r>
      <w:r>
        <w:t>.</w:t>
      </w:r>
      <w:r>
        <w:rPr>
          <w:szCs w:val="22"/>
        </w:rPr>
        <w:t xml:space="preserve">  No transfer of control application reflecting the Olivares Purchase was ever filed, and the Commission was not advised of the Olivares Purchase until April 16, 2013 in a Petition for Partial Reconsideration filed by Reed after the </w:t>
      </w:r>
      <w:r w:rsidRPr="001E3FF8">
        <w:rPr>
          <w:i/>
          <w:szCs w:val="22"/>
        </w:rPr>
        <w:t>Reconsideration Decision</w:t>
      </w:r>
      <w:r>
        <w:rPr>
          <w:szCs w:val="22"/>
        </w:rPr>
        <w:t xml:space="preserve"> had been released.  </w:t>
      </w:r>
      <w:r>
        <w:t xml:space="preserve">Because at the time it issued the </w:t>
      </w:r>
      <w:r>
        <w:rPr>
          <w:i/>
        </w:rPr>
        <w:t>Reconsideration Decision</w:t>
      </w:r>
      <w:r>
        <w:t>, the Bureau had not been apprised of the Olivares Purchase,</w:t>
      </w:r>
      <w:r w:rsidRPr="008225DC">
        <w:t xml:space="preserve"> </w:t>
      </w:r>
      <w:r>
        <w:t>it</w:t>
      </w:r>
      <w:r w:rsidRPr="008225DC">
        <w:t xml:space="preserve"> instructed Reed to file a transfer of control application</w:t>
      </w:r>
      <w:r>
        <w:t xml:space="preserve"> such that he would become</w:t>
      </w:r>
      <w:r w:rsidRPr="008225DC">
        <w:t xml:space="preserve"> the 100 percent shareholder of the licensee.</w:t>
      </w:r>
      <w:r>
        <w:t xml:space="preserve">  However, subsequent to the Olivares Purchase, GB should have: (1) filed an amendment to the Reed Assignment Application indicating that Olivares had acquired 100 percent of GB’s voting shares and equity; and (2) filed a “long form” application on FCC Form 315 seeking Commission consent to Olivares’ acquisition of control of GB in order to provide the Commission with an opportunity to evaluate Olivares’ qualifications and the facts and circumstances surrounding his ownership, Reed’s receivership, and the </w:t>
      </w:r>
      <w:r>
        <w:rPr>
          <w:i/>
        </w:rPr>
        <w:t xml:space="preserve">de facto </w:t>
      </w:r>
      <w:r>
        <w:t xml:space="preserve">control of the Station.  </w:t>
      </w:r>
    </w:p>
    <w:p w:rsidR="00387EDC" w:rsidRDefault="00387EDC" w:rsidP="00387EDC">
      <w:pPr>
        <w:rPr>
          <w:szCs w:val="22"/>
        </w:rPr>
      </w:pPr>
    </w:p>
    <w:p w:rsidR="00387EDC" w:rsidRDefault="00387EDC" w:rsidP="00387EDC">
      <w:pPr>
        <w:rPr>
          <w:szCs w:val="22"/>
        </w:rPr>
      </w:pPr>
      <w:r>
        <w:rPr>
          <w:szCs w:val="22"/>
        </w:rPr>
        <w:tab/>
        <w:t>5.</w:t>
      </w:r>
      <w:r>
        <w:rPr>
          <w:szCs w:val="22"/>
        </w:rPr>
        <w:tab/>
        <w:t>Because of the compliance issues raised by the Olivares Purchase, the Parties have negotiated this Consent Decree to terminate the Bureau’s Investigation</w:t>
      </w:r>
      <w:r w:rsidRPr="002455A7">
        <w:rPr>
          <w:szCs w:val="22"/>
        </w:rPr>
        <w:t>.</w:t>
      </w:r>
      <w:r w:rsidRPr="00EA3E93">
        <w:rPr>
          <w:b/>
          <w:szCs w:val="22"/>
        </w:rPr>
        <w:t xml:space="preserve">  </w:t>
      </w:r>
    </w:p>
    <w:p w:rsidR="00387EDC" w:rsidRDefault="00387EDC" w:rsidP="00387EDC">
      <w:pPr>
        <w:jc w:val="both"/>
        <w:rPr>
          <w:szCs w:val="22"/>
        </w:rPr>
      </w:pPr>
    </w:p>
    <w:p w:rsidR="00387EDC" w:rsidRDefault="00387EDC" w:rsidP="00387EDC">
      <w:pPr>
        <w:pStyle w:val="Heading1"/>
      </w:pPr>
      <w:r w:rsidRPr="00000E3C">
        <w:t>Agreement</w:t>
      </w:r>
    </w:p>
    <w:p w:rsidR="00387EDC" w:rsidRPr="00126033" w:rsidRDefault="00387EDC" w:rsidP="00387EDC">
      <w:pPr>
        <w:jc w:val="both"/>
        <w:rPr>
          <w:szCs w:val="22"/>
        </w:rPr>
      </w:pPr>
    </w:p>
    <w:p w:rsidR="00387EDC" w:rsidRPr="00EE5485" w:rsidRDefault="00387EDC" w:rsidP="00387EDC">
      <w:pPr>
        <w:rPr>
          <w:szCs w:val="22"/>
        </w:rPr>
      </w:pPr>
      <w:r>
        <w:rPr>
          <w:szCs w:val="22"/>
        </w:rPr>
        <w:tab/>
        <w:t>6.</w:t>
      </w:r>
      <w:r>
        <w:rPr>
          <w:szCs w:val="22"/>
        </w:rPr>
        <w:tab/>
        <w:t>The Parties acknowledge that any proceedings that might result from the Violations would be time-consuming and require a substantial expenditure of public and private resources.  In order to conserve such resources, resolve the matter, and promote the Station’s compliance with the Rules, the Parties are entering into this Consent Decree, in consideration of the mutual commitments made herein.</w:t>
      </w:r>
    </w:p>
    <w:p w:rsidR="00387EDC" w:rsidRPr="00EE5485" w:rsidRDefault="00387EDC" w:rsidP="00387EDC">
      <w:pPr>
        <w:rPr>
          <w:szCs w:val="22"/>
        </w:rPr>
      </w:pPr>
    </w:p>
    <w:p w:rsidR="00387EDC" w:rsidRPr="00EE5485" w:rsidRDefault="00387EDC" w:rsidP="00387EDC">
      <w:pPr>
        <w:rPr>
          <w:szCs w:val="22"/>
        </w:rPr>
      </w:pPr>
      <w:r w:rsidRPr="00EE5485">
        <w:rPr>
          <w:szCs w:val="22"/>
        </w:rPr>
        <w:tab/>
      </w:r>
      <w:r>
        <w:rPr>
          <w:szCs w:val="22"/>
        </w:rPr>
        <w:t>7.</w:t>
      </w:r>
      <w:r w:rsidRPr="00EE5485">
        <w:rPr>
          <w:szCs w:val="22"/>
        </w:rPr>
        <w:tab/>
      </w:r>
      <w:r>
        <w:rPr>
          <w:szCs w:val="22"/>
        </w:rPr>
        <w:t xml:space="preserve">The Parties </w:t>
      </w:r>
      <w:r w:rsidRPr="00EE5485">
        <w:rPr>
          <w:szCs w:val="22"/>
        </w:rPr>
        <w:t>agree to be legally bound by the terms and conditions of this Consent Decree.</w:t>
      </w:r>
      <w:r>
        <w:rPr>
          <w:szCs w:val="22"/>
        </w:rPr>
        <w:t xml:space="preserve">  GB and CATCO further </w:t>
      </w:r>
      <w:r w:rsidRPr="00EE5485">
        <w:rPr>
          <w:szCs w:val="22"/>
        </w:rPr>
        <w:t>agree that the Bureau has jurisdiction over the matters contained in this Consent Decree</w:t>
      </w:r>
      <w:r>
        <w:rPr>
          <w:szCs w:val="22"/>
        </w:rPr>
        <w:t xml:space="preserve"> and the authority to enter into and adopt this Consent Decree.</w:t>
      </w:r>
    </w:p>
    <w:p w:rsidR="00387EDC" w:rsidRPr="00EE5485" w:rsidRDefault="00387EDC" w:rsidP="00387EDC">
      <w:pPr>
        <w:rPr>
          <w:szCs w:val="22"/>
        </w:rPr>
      </w:pPr>
    </w:p>
    <w:p w:rsidR="00387EDC" w:rsidRPr="00EE5485" w:rsidRDefault="00387EDC" w:rsidP="00387EDC">
      <w:pPr>
        <w:rPr>
          <w:szCs w:val="22"/>
        </w:rPr>
      </w:pPr>
      <w:r w:rsidRPr="00EE5485">
        <w:rPr>
          <w:szCs w:val="22"/>
        </w:rPr>
        <w:tab/>
      </w:r>
      <w:r>
        <w:rPr>
          <w:szCs w:val="22"/>
        </w:rPr>
        <w:t>8.</w:t>
      </w:r>
      <w:r w:rsidRPr="00EE5485">
        <w:rPr>
          <w:szCs w:val="22"/>
        </w:rPr>
        <w:tab/>
        <w:t xml:space="preserve">The </w:t>
      </w:r>
      <w:r>
        <w:rPr>
          <w:szCs w:val="22"/>
        </w:rPr>
        <w:t>P</w:t>
      </w:r>
      <w:r w:rsidRPr="00EE5485">
        <w:rPr>
          <w:szCs w:val="22"/>
        </w:rPr>
        <w:t xml:space="preserve">arties agree </w:t>
      </w:r>
      <w:r>
        <w:rPr>
          <w:szCs w:val="22"/>
        </w:rPr>
        <w:t xml:space="preserve">that this Consent Decree shall become effective on the Effective Date as defined herein.  Upon the Effective Date, the Adopting Order and this Consent Decree shall have the same force and effect as any other order of the Commission.  GB and CATCO </w:t>
      </w:r>
      <w:r w:rsidRPr="004141E9">
        <w:rPr>
          <w:szCs w:val="22"/>
        </w:rPr>
        <w:t xml:space="preserve">agree that </w:t>
      </w:r>
      <w:r>
        <w:rPr>
          <w:szCs w:val="22"/>
        </w:rPr>
        <w:t xml:space="preserve">each </w:t>
      </w:r>
      <w:r w:rsidRPr="004141E9">
        <w:rPr>
          <w:szCs w:val="22"/>
        </w:rPr>
        <w:t xml:space="preserve">is required to comply with each individual condition of this Consent Decree.  Each specific condition is a separate condition of the Consent Decree as approved.  To the extent that </w:t>
      </w:r>
      <w:r>
        <w:rPr>
          <w:szCs w:val="22"/>
        </w:rPr>
        <w:t xml:space="preserve">either GB or CATCO </w:t>
      </w:r>
      <w:r w:rsidRPr="004141E9">
        <w:rPr>
          <w:szCs w:val="22"/>
        </w:rPr>
        <w:t xml:space="preserve">fails to satisfy any condition or Commission Rule, in the absence of Commission alteration of the condition or Rule, </w:t>
      </w:r>
      <w:r>
        <w:rPr>
          <w:szCs w:val="22"/>
        </w:rPr>
        <w:t xml:space="preserve">GB or CATCO </w:t>
      </w:r>
      <w:r w:rsidRPr="004141E9">
        <w:rPr>
          <w:szCs w:val="22"/>
        </w:rPr>
        <w:t>will be deemed noncompliant and may be subject to possible enforcement action, including, but not limited to, revocation of the relief, designation of the matter for hearing, letters of admonishment and/or forfeitures.</w:t>
      </w:r>
      <w:r>
        <w:rPr>
          <w:szCs w:val="22"/>
        </w:rPr>
        <w:t xml:space="preserve">  Any violation of the Adopting Order or the terms of this Consent Decree shall constitute a separate violation of a Commission order, entitling the Commission to exercise any rights </w:t>
      </w:r>
      <w:r w:rsidRPr="00EE5485">
        <w:rPr>
          <w:szCs w:val="22"/>
        </w:rPr>
        <w:t>and</w:t>
      </w:r>
      <w:r>
        <w:rPr>
          <w:szCs w:val="22"/>
        </w:rPr>
        <w:t xml:space="preserve"> remedies attendant to enforcement of a Commission order.</w:t>
      </w:r>
    </w:p>
    <w:p w:rsidR="00387EDC" w:rsidRPr="00EE5485" w:rsidRDefault="00387EDC" w:rsidP="00387EDC">
      <w:pPr>
        <w:rPr>
          <w:szCs w:val="22"/>
        </w:rPr>
      </w:pPr>
      <w:r w:rsidRPr="00EE5485">
        <w:rPr>
          <w:szCs w:val="22"/>
        </w:rPr>
        <w:t xml:space="preserve"> </w:t>
      </w:r>
    </w:p>
    <w:p w:rsidR="00387EDC" w:rsidRDefault="00387EDC" w:rsidP="0038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Pr>
          <w:szCs w:val="22"/>
        </w:rPr>
        <w:t>9.</w:t>
      </w:r>
      <w:r w:rsidRPr="00EE5485">
        <w:rPr>
          <w:szCs w:val="22"/>
        </w:rPr>
        <w:tab/>
      </w:r>
      <w:r w:rsidRPr="00000E3C">
        <w:rPr>
          <w:szCs w:val="22"/>
        </w:rPr>
        <w:t>In express reliance on the covenants and representations in this Consent Decree</w:t>
      </w:r>
      <w:r>
        <w:rPr>
          <w:szCs w:val="22"/>
        </w:rPr>
        <w:t xml:space="preserve"> and to avoid further expenditure of public resources</w:t>
      </w:r>
      <w:r w:rsidRPr="00000E3C">
        <w:rPr>
          <w:szCs w:val="22"/>
        </w:rPr>
        <w:t xml:space="preserve">, the Bureau agrees </w:t>
      </w:r>
      <w:r>
        <w:rPr>
          <w:szCs w:val="22"/>
        </w:rPr>
        <w:t xml:space="preserve">to terminate the Investigation.  In consideration for the termination of the Investigation as provided herein, GB and CATCO agree to the terms, conditions, and procedures contained herein.  The Bureau further agrees that, in the absence of new material evidence, it will </w:t>
      </w:r>
      <w:r w:rsidRPr="00000E3C">
        <w:rPr>
          <w:szCs w:val="22"/>
        </w:rPr>
        <w:t>not use the Violation</w:t>
      </w:r>
      <w:r>
        <w:rPr>
          <w:szCs w:val="22"/>
        </w:rPr>
        <w:t>s</w:t>
      </w:r>
      <w:r w:rsidRPr="00000E3C">
        <w:rPr>
          <w:szCs w:val="22"/>
        </w:rPr>
        <w:t xml:space="preserve"> in any action against </w:t>
      </w:r>
      <w:r>
        <w:rPr>
          <w:szCs w:val="22"/>
        </w:rPr>
        <w:t>GB and CATCO</w:t>
      </w:r>
      <w:r w:rsidRPr="00000E3C">
        <w:rPr>
          <w:szCs w:val="22"/>
        </w:rPr>
        <w:t xml:space="preserve">, provided that </w:t>
      </w:r>
      <w:r>
        <w:rPr>
          <w:szCs w:val="22"/>
        </w:rPr>
        <w:t xml:space="preserve">each of GB and CATCO </w:t>
      </w:r>
      <w:r w:rsidRPr="00000E3C">
        <w:rPr>
          <w:szCs w:val="22"/>
        </w:rPr>
        <w:t>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Pr>
          <w:szCs w:val="22"/>
        </w:rPr>
        <w:t xml:space="preserve">either GB or CATCO </w:t>
      </w:r>
      <w:r w:rsidRPr="00000E3C">
        <w:rPr>
          <w:szCs w:val="22"/>
        </w:rPr>
        <w:t>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387EDC" w:rsidRDefault="00387EDC" w:rsidP="0038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387EDC" w:rsidRDefault="00387EDC" w:rsidP="00387EDC">
      <w:pPr>
        <w:rPr>
          <w:szCs w:val="22"/>
        </w:rPr>
      </w:pPr>
      <w:r w:rsidRPr="00EE5485">
        <w:rPr>
          <w:szCs w:val="22"/>
        </w:rPr>
        <w:tab/>
      </w:r>
      <w:r>
        <w:rPr>
          <w:szCs w:val="22"/>
        </w:rPr>
        <w:t>10.</w:t>
      </w:r>
      <w:r w:rsidRPr="00EE5485">
        <w:rPr>
          <w:szCs w:val="22"/>
        </w:rPr>
        <w:tab/>
      </w:r>
      <w:r>
        <w:rPr>
          <w:szCs w:val="22"/>
        </w:rPr>
        <w:t>Solely for purposes of this Consent Decree and in reliance on paragraph 9 hereof, GB stipulates that it violated Section 1.65 of the Rules by failing to amend the Reed Assignment Application to report Olivares’ acquisition of 100 percent of GB’s voting and equity shares pursuant to the Olivares Purchase.  In addition, GB stipulates that it violated Section 310(d) of the Act and Section 73.3540 of the Rules by failing to seek any Commission approval of Olivares’ acquisition of licensee GB’s voting and equity</w:t>
      </w:r>
      <w:r w:rsidRPr="00E77607">
        <w:rPr>
          <w:szCs w:val="22"/>
        </w:rPr>
        <w:t xml:space="preserve"> </w:t>
      </w:r>
      <w:r>
        <w:rPr>
          <w:szCs w:val="22"/>
        </w:rPr>
        <w:t xml:space="preserve">shares.  </w:t>
      </w:r>
    </w:p>
    <w:p w:rsidR="00387EDC" w:rsidRPr="00EE5485" w:rsidRDefault="00387EDC" w:rsidP="00387EDC">
      <w:pPr>
        <w:rPr>
          <w:szCs w:val="22"/>
        </w:rPr>
      </w:pPr>
      <w:r>
        <w:rPr>
          <w:szCs w:val="22"/>
        </w:rPr>
        <w:t xml:space="preserve"> </w:t>
      </w:r>
    </w:p>
    <w:p w:rsidR="00387EDC" w:rsidRDefault="00387EDC" w:rsidP="0038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r>
        <w:rPr>
          <w:szCs w:val="22"/>
        </w:rPr>
        <w:tab/>
        <w:t>11.</w:t>
      </w:r>
      <w:r w:rsidRPr="00EE5485">
        <w:rPr>
          <w:szCs w:val="22"/>
        </w:rPr>
        <w:tab/>
      </w:r>
      <w:r>
        <w:rPr>
          <w:szCs w:val="22"/>
        </w:rPr>
        <w:t xml:space="preserve">GB agrees to pay a civil penalty </w:t>
      </w:r>
      <w:r w:rsidRPr="00EE5485">
        <w:rPr>
          <w:szCs w:val="22"/>
        </w:rPr>
        <w:t xml:space="preserve">to the United States Treasury in the amount of </w:t>
      </w:r>
      <w:r>
        <w:rPr>
          <w:szCs w:val="22"/>
        </w:rPr>
        <w:t>Eleven Thousand D</w:t>
      </w:r>
      <w:r w:rsidRPr="00557CAC">
        <w:rPr>
          <w:szCs w:val="22"/>
        </w:rPr>
        <w:t>ollars (</w:t>
      </w:r>
      <w:r>
        <w:rPr>
          <w:szCs w:val="22"/>
        </w:rPr>
        <w:t>$11,0</w:t>
      </w:r>
      <w:r w:rsidRPr="00557CAC">
        <w:rPr>
          <w:szCs w:val="22"/>
        </w:rPr>
        <w:t>00</w:t>
      </w:r>
      <w:r>
        <w:rPr>
          <w:szCs w:val="22"/>
        </w:rPr>
        <w:t xml:space="preserve">), within ninety (90) calendar days after the Effective Date.  </w:t>
      </w:r>
      <w:r>
        <w:rPr>
          <w:spacing w:val="2"/>
        </w:rPr>
        <w:t xml:space="preserve">Licensee will </w:t>
      </w:r>
      <w:r>
        <w:rPr>
          <w:spacing w:val="-2"/>
        </w:rPr>
        <w:t>a</w:t>
      </w:r>
      <w:r>
        <w:rPr>
          <w:spacing w:val="1"/>
        </w:rPr>
        <w:t>l</w:t>
      </w:r>
      <w:r>
        <w:t>so s</w:t>
      </w:r>
      <w:r>
        <w:rPr>
          <w:spacing w:val="1"/>
        </w:rPr>
        <w:t>e</w:t>
      </w:r>
      <w:r>
        <w:t xml:space="preserve">nd </w:t>
      </w:r>
      <w:r>
        <w:rPr>
          <w:spacing w:val="-2"/>
        </w:rPr>
        <w:t>e</w:t>
      </w:r>
      <w:r>
        <w:rPr>
          <w:spacing w:val="1"/>
        </w:rPr>
        <w:t>l</w:t>
      </w:r>
      <w:r>
        <w:t>e</w:t>
      </w:r>
      <w:r>
        <w:rPr>
          <w:spacing w:val="-2"/>
        </w:rPr>
        <w:t>c</w:t>
      </w:r>
      <w:r>
        <w:rPr>
          <w:spacing w:val="1"/>
        </w:rPr>
        <w:t>t</w:t>
      </w:r>
      <w:r>
        <w:rPr>
          <w:spacing w:val="-2"/>
        </w:rPr>
        <w:t>r</w:t>
      </w:r>
      <w:r>
        <w:t>on</w:t>
      </w:r>
      <w:r>
        <w:rPr>
          <w:spacing w:val="-1"/>
        </w:rPr>
        <w:t>i</w:t>
      </w:r>
      <w:r>
        <w:t>c no</w:t>
      </w:r>
      <w:r>
        <w:rPr>
          <w:spacing w:val="1"/>
        </w:rPr>
        <w:t>t</w:t>
      </w:r>
      <w:r>
        <w:rPr>
          <w:spacing w:val="-1"/>
        </w:rPr>
        <w:t>i</w:t>
      </w:r>
      <w:r>
        <w:rPr>
          <w:spacing w:val="1"/>
        </w:rPr>
        <w:t>f</w:t>
      </w:r>
      <w:r>
        <w:rPr>
          <w:spacing w:val="-1"/>
        </w:rPr>
        <w:t>i</w:t>
      </w:r>
      <w:r>
        <w:t>c</w:t>
      </w:r>
      <w:r>
        <w:rPr>
          <w:spacing w:val="-2"/>
        </w:rPr>
        <w:t>a</w:t>
      </w:r>
      <w:r>
        <w:rPr>
          <w:spacing w:val="1"/>
        </w:rPr>
        <w:t>ti</w:t>
      </w:r>
      <w:r>
        <w:t>on</w:t>
      </w:r>
      <w:r>
        <w:rPr>
          <w:spacing w:val="12"/>
        </w:rPr>
        <w:t xml:space="preserve"> </w:t>
      </w:r>
      <w:r>
        <w:t>of</w:t>
      </w:r>
      <w:r>
        <w:rPr>
          <w:spacing w:val="13"/>
        </w:rPr>
        <w:t xml:space="preserve"> </w:t>
      </w:r>
      <w:r>
        <w:t>pa</w:t>
      </w:r>
      <w:r>
        <w:rPr>
          <w:spacing w:val="-2"/>
        </w:rPr>
        <w:t>y</w:t>
      </w:r>
      <w:r>
        <w:rPr>
          <w:spacing w:val="-4"/>
        </w:rPr>
        <w:t>m</w:t>
      </w:r>
      <w:r>
        <w:t>ent</w:t>
      </w:r>
      <w:r>
        <w:rPr>
          <w:spacing w:val="15"/>
        </w:rPr>
        <w:t xml:space="preserve"> </w:t>
      </w:r>
      <w:r>
        <w:rPr>
          <w:spacing w:val="1"/>
        </w:rPr>
        <w:t>t</w:t>
      </w:r>
      <w:r>
        <w:t>o</w:t>
      </w:r>
      <w:r>
        <w:rPr>
          <w:spacing w:val="15"/>
        </w:rPr>
        <w:t xml:space="preserve"> Christine Goepp </w:t>
      </w:r>
      <w:r>
        <w:rPr>
          <w:color w:val="000000"/>
        </w:rPr>
        <w:t>at Christine.Goepp</w:t>
      </w:r>
      <w:r>
        <w:t>@fcc.gov and Michael Wagner at Michael.Wagner@fcc.gov</w:t>
      </w:r>
      <w:r>
        <w:rPr>
          <w:color w:val="000000"/>
        </w:rPr>
        <w:t xml:space="preserve"> on</w:t>
      </w:r>
      <w:r>
        <w:rPr>
          <w:color w:val="000000"/>
          <w:spacing w:val="12"/>
        </w:rPr>
        <w:t xml:space="preserve"> </w:t>
      </w:r>
      <w:r>
        <w:rPr>
          <w:color w:val="000000"/>
          <w:spacing w:val="1"/>
        </w:rPr>
        <w:t>t</w:t>
      </w:r>
      <w:r>
        <w:rPr>
          <w:color w:val="000000"/>
          <w:spacing w:val="-2"/>
        </w:rPr>
        <w:t>h</w:t>
      </w:r>
      <w:r>
        <w:rPr>
          <w:color w:val="000000"/>
        </w:rPr>
        <w:t>e</w:t>
      </w:r>
      <w:r>
        <w:rPr>
          <w:color w:val="000000"/>
          <w:spacing w:val="12"/>
        </w:rPr>
        <w:t xml:space="preserve"> </w:t>
      </w:r>
      <w:r>
        <w:rPr>
          <w:color w:val="000000"/>
          <w:spacing w:val="-2"/>
        </w:rPr>
        <w:t>d</w:t>
      </w:r>
      <w:r>
        <w:rPr>
          <w:color w:val="000000"/>
        </w:rPr>
        <w:t>a</w:t>
      </w:r>
      <w:r>
        <w:rPr>
          <w:color w:val="000000"/>
          <w:spacing w:val="1"/>
        </w:rPr>
        <w:t>t</w:t>
      </w:r>
      <w:r>
        <w:rPr>
          <w:color w:val="000000"/>
        </w:rPr>
        <w:t>e</w:t>
      </w:r>
      <w:r>
        <w:rPr>
          <w:color w:val="000000"/>
          <w:spacing w:val="10"/>
        </w:rPr>
        <w:t xml:space="preserve"> </w:t>
      </w:r>
      <w:r>
        <w:rPr>
          <w:color w:val="000000"/>
        </w:rPr>
        <w:t>s</w:t>
      </w:r>
      <w:r>
        <w:rPr>
          <w:color w:val="000000"/>
          <w:spacing w:val="-2"/>
        </w:rPr>
        <w:t>a</w:t>
      </w:r>
      <w:r>
        <w:rPr>
          <w:color w:val="000000"/>
          <w:spacing w:val="1"/>
        </w:rPr>
        <w:t>i</w:t>
      </w:r>
      <w:r>
        <w:rPr>
          <w:color w:val="000000"/>
        </w:rPr>
        <w:t>d</w:t>
      </w:r>
      <w:r>
        <w:rPr>
          <w:color w:val="000000"/>
          <w:spacing w:val="9"/>
        </w:rPr>
        <w:t xml:space="preserve"> </w:t>
      </w:r>
      <w:r>
        <w:rPr>
          <w:color w:val="000000"/>
        </w:rPr>
        <w:t>pa</w:t>
      </w:r>
      <w:r>
        <w:rPr>
          <w:color w:val="000000"/>
          <w:spacing w:val="-2"/>
        </w:rPr>
        <w:t>y</w:t>
      </w:r>
      <w:r>
        <w:rPr>
          <w:color w:val="000000"/>
          <w:spacing w:val="-4"/>
        </w:rPr>
        <w:t>m</w:t>
      </w:r>
      <w:r>
        <w:rPr>
          <w:color w:val="000000"/>
        </w:rPr>
        <w:t>ent</w:t>
      </w:r>
      <w:r>
        <w:rPr>
          <w:color w:val="000000"/>
          <w:spacing w:val="13"/>
        </w:rPr>
        <w:t xml:space="preserve"> </w:t>
      </w:r>
      <w:r>
        <w:rPr>
          <w:color w:val="000000"/>
          <w:spacing w:val="1"/>
        </w:rPr>
        <w:t>i</w:t>
      </w:r>
      <w:r>
        <w:rPr>
          <w:color w:val="000000"/>
        </w:rPr>
        <w:t>s</w:t>
      </w:r>
      <w:r>
        <w:rPr>
          <w:color w:val="000000"/>
          <w:spacing w:val="10"/>
        </w:rPr>
        <w:t xml:space="preserve"> </w:t>
      </w:r>
      <w:r>
        <w:rPr>
          <w:color w:val="000000"/>
          <w:spacing w:val="-4"/>
        </w:rPr>
        <w:t>m</w:t>
      </w:r>
      <w:r>
        <w:rPr>
          <w:color w:val="000000"/>
        </w:rPr>
        <w:t xml:space="preserve">ade.  </w:t>
      </w:r>
      <w:r w:rsidRPr="00CE64F6">
        <w:t xml:space="preserve">Such </w:t>
      </w:r>
      <w:r>
        <w:t xml:space="preserve">payment </w:t>
      </w:r>
      <w:r>
        <w:rPr>
          <w:szCs w:val="22"/>
        </w:rPr>
        <w:t xml:space="preserve">will be made, without further protest or recourse to a </w:t>
      </w:r>
      <w:r>
        <w:rPr>
          <w:i/>
          <w:iCs/>
          <w:szCs w:val="22"/>
        </w:rPr>
        <w:t>trial de novo</w:t>
      </w:r>
      <w:r w:rsidRPr="006A385D">
        <w:rPr>
          <w:i/>
        </w:rPr>
        <w:t xml:space="preserve">, </w:t>
      </w:r>
      <w:r>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Pr>
          <w:color w:val="000000"/>
          <w:spacing w:val="-1"/>
        </w:rPr>
        <w:t>R</w:t>
      </w:r>
      <w:r>
        <w:rPr>
          <w:color w:val="000000"/>
        </w:rPr>
        <w:t>e</w:t>
      </w:r>
      <w:r>
        <w:rPr>
          <w:color w:val="000000"/>
          <w:spacing w:val="-2"/>
        </w:rPr>
        <w:t>g</w:t>
      </w:r>
      <w:r>
        <w:rPr>
          <w:color w:val="000000"/>
        </w:rPr>
        <w:t>a</w:t>
      </w:r>
      <w:r>
        <w:rPr>
          <w:color w:val="000000"/>
          <w:spacing w:val="1"/>
        </w:rPr>
        <w:t>r</w:t>
      </w:r>
      <w:r>
        <w:rPr>
          <w:color w:val="000000"/>
        </w:rPr>
        <w:t>d</w:t>
      </w:r>
      <w:r>
        <w:rPr>
          <w:color w:val="000000"/>
          <w:spacing w:val="-1"/>
        </w:rPr>
        <w:t>l</w:t>
      </w:r>
      <w:r>
        <w:rPr>
          <w:color w:val="000000"/>
        </w:rPr>
        <w:t>e</w:t>
      </w:r>
      <w:r>
        <w:rPr>
          <w:color w:val="000000"/>
          <w:spacing w:val="1"/>
        </w:rPr>
        <w:t>s</w:t>
      </w:r>
      <w:r>
        <w:rPr>
          <w:color w:val="000000"/>
        </w:rPr>
        <w:t>s</w:t>
      </w:r>
      <w:r>
        <w:rPr>
          <w:color w:val="000000"/>
          <w:spacing w:val="24"/>
        </w:rPr>
        <w:t xml:space="preserve"> </w:t>
      </w:r>
      <w:r>
        <w:rPr>
          <w:color w:val="000000"/>
        </w:rPr>
        <w:t>of</w:t>
      </w:r>
      <w:r>
        <w:rPr>
          <w:color w:val="000000"/>
          <w:spacing w:val="27"/>
        </w:rPr>
        <w:t xml:space="preserve"> </w:t>
      </w:r>
      <w:r>
        <w:rPr>
          <w:color w:val="000000"/>
          <w:spacing w:val="-1"/>
        </w:rPr>
        <w:t>t</w:t>
      </w:r>
      <w:r>
        <w:rPr>
          <w:color w:val="000000"/>
        </w:rPr>
        <w:t>he</w:t>
      </w:r>
      <w:r>
        <w:rPr>
          <w:color w:val="000000"/>
          <w:spacing w:val="27"/>
        </w:rPr>
        <w:t xml:space="preserve"> </w:t>
      </w:r>
      <w:r>
        <w:rPr>
          <w:color w:val="000000"/>
          <w:spacing w:val="-2"/>
        </w:rPr>
        <w:t>f</w:t>
      </w:r>
      <w:r>
        <w:rPr>
          <w:color w:val="000000"/>
        </w:rPr>
        <w:t>o</w:t>
      </w:r>
      <w:r>
        <w:rPr>
          <w:color w:val="000000"/>
          <w:spacing w:val="1"/>
        </w:rPr>
        <w:t>r</w:t>
      </w:r>
      <w:r>
        <w:rPr>
          <w:color w:val="000000"/>
        </w:rPr>
        <w:t>m</w:t>
      </w:r>
      <w:r>
        <w:rPr>
          <w:color w:val="000000"/>
          <w:spacing w:val="23"/>
        </w:rPr>
        <w:t xml:space="preserve"> </w:t>
      </w:r>
      <w:r>
        <w:rPr>
          <w:color w:val="000000"/>
        </w:rPr>
        <w:t>of</w:t>
      </w:r>
      <w:r>
        <w:rPr>
          <w:color w:val="000000"/>
          <w:spacing w:val="27"/>
        </w:rPr>
        <w:t xml:space="preserve"> </w:t>
      </w:r>
      <w:r>
        <w:rPr>
          <w:color w:val="000000"/>
        </w:rPr>
        <w:t>pa</w:t>
      </w:r>
      <w:r>
        <w:rPr>
          <w:color w:val="000000"/>
          <w:spacing w:val="-2"/>
        </w:rPr>
        <w:t>y</w:t>
      </w:r>
      <w:r>
        <w:rPr>
          <w:color w:val="000000"/>
          <w:spacing w:val="-4"/>
        </w:rPr>
        <w:t>m</w:t>
      </w:r>
      <w:r>
        <w:rPr>
          <w:color w:val="000000"/>
        </w:rPr>
        <w:t>en</w:t>
      </w:r>
      <w:r>
        <w:rPr>
          <w:color w:val="000000"/>
          <w:spacing w:val="1"/>
        </w:rPr>
        <w:t>t</w:t>
      </w:r>
      <w:r>
        <w:rPr>
          <w:color w:val="000000"/>
        </w:rPr>
        <w:t>,</w:t>
      </w:r>
      <w:r>
        <w:rPr>
          <w:color w:val="000000"/>
          <w:spacing w:val="26"/>
        </w:rPr>
        <w:t xml:space="preserve"> </w:t>
      </w:r>
      <w:r>
        <w:rPr>
          <w:color w:val="000000"/>
        </w:rPr>
        <w:t>a</w:t>
      </w:r>
      <w:r>
        <w:rPr>
          <w:color w:val="000000"/>
          <w:spacing w:val="27"/>
        </w:rPr>
        <w:t xml:space="preserve"> </w:t>
      </w:r>
      <w:r>
        <w:rPr>
          <w:color w:val="000000"/>
        </w:rPr>
        <w:t>co</w:t>
      </w:r>
      <w:r>
        <w:rPr>
          <w:color w:val="000000"/>
          <w:spacing w:val="-3"/>
        </w:rPr>
        <w:t>m</w:t>
      </w:r>
      <w:r>
        <w:rPr>
          <w:color w:val="000000"/>
        </w:rPr>
        <w:t>p</w:t>
      </w:r>
      <w:r>
        <w:rPr>
          <w:color w:val="000000"/>
          <w:spacing w:val="1"/>
        </w:rPr>
        <w:t>l</w:t>
      </w:r>
      <w:r>
        <w:rPr>
          <w:color w:val="000000"/>
        </w:rPr>
        <w:t>e</w:t>
      </w:r>
      <w:r>
        <w:rPr>
          <w:color w:val="000000"/>
          <w:spacing w:val="1"/>
        </w:rPr>
        <w:t>t</w:t>
      </w:r>
      <w:r>
        <w:rPr>
          <w:color w:val="000000"/>
        </w:rPr>
        <w:t>ed</w:t>
      </w:r>
      <w:r>
        <w:rPr>
          <w:color w:val="000000"/>
          <w:spacing w:val="27"/>
        </w:rPr>
        <w:t xml:space="preserve"> </w:t>
      </w:r>
      <w:r>
        <w:rPr>
          <w:color w:val="000000"/>
        </w:rPr>
        <w:t>F</w:t>
      </w:r>
      <w:r>
        <w:rPr>
          <w:color w:val="000000"/>
          <w:spacing w:val="-1"/>
        </w:rPr>
        <w:t>C</w:t>
      </w:r>
      <w:r>
        <w:rPr>
          <w:color w:val="000000"/>
        </w:rPr>
        <w:t>C Form</w:t>
      </w:r>
      <w:r>
        <w:rPr>
          <w:color w:val="000000"/>
          <w:spacing w:val="33"/>
        </w:rPr>
        <w:t xml:space="preserve"> </w:t>
      </w:r>
      <w:r>
        <w:rPr>
          <w:color w:val="000000"/>
        </w:rPr>
        <w:t>159</w:t>
      </w:r>
      <w:r>
        <w:rPr>
          <w:color w:val="000000"/>
          <w:spacing w:val="36"/>
        </w:rPr>
        <w:t xml:space="preserve"> </w:t>
      </w:r>
      <w:r>
        <w:rPr>
          <w:color w:val="000000"/>
          <w:spacing w:val="1"/>
        </w:rPr>
        <w:t>(</w:t>
      </w:r>
      <w:r>
        <w:rPr>
          <w:color w:val="000000"/>
          <w:spacing w:val="-1"/>
        </w:rPr>
        <w:t>R</w:t>
      </w:r>
      <w:r>
        <w:rPr>
          <w:color w:val="000000"/>
        </w:rPr>
        <w:t>e</w:t>
      </w:r>
      <w:r>
        <w:rPr>
          <w:color w:val="000000"/>
          <w:spacing w:val="-3"/>
        </w:rPr>
        <w:t>m</w:t>
      </w:r>
      <w:r>
        <w:rPr>
          <w:color w:val="000000"/>
          <w:spacing w:val="1"/>
        </w:rPr>
        <w:t>itt</w:t>
      </w:r>
      <w:r>
        <w:rPr>
          <w:color w:val="000000"/>
        </w:rPr>
        <w:t>an</w:t>
      </w:r>
      <w:r>
        <w:rPr>
          <w:color w:val="000000"/>
          <w:spacing w:val="-2"/>
        </w:rPr>
        <w:t>c</w:t>
      </w:r>
      <w:r>
        <w:rPr>
          <w:color w:val="000000"/>
        </w:rPr>
        <w:t>e</w:t>
      </w:r>
      <w:r>
        <w:rPr>
          <w:color w:val="000000"/>
          <w:spacing w:val="36"/>
        </w:rPr>
        <w:t xml:space="preserve"> </w:t>
      </w:r>
      <w:r>
        <w:rPr>
          <w:color w:val="000000"/>
          <w:spacing w:val="-1"/>
        </w:rPr>
        <w:t>A</w:t>
      </w:r>
      <w:r>
        <w:rPr>
          <w:color w:val="000000"/>
          <w:spacing w:val="-2"/>
        </w:rPr>
        <w:t>dv</w:t>
      </w:r>
      <w:r>
        <w:rPr>
          <w:color w:val="000000"/>
          <w:spacing w:val="1"/>
        </w:rPr>
        <w:t>i</w:t>
      </w:r>
      <w:r>
        <w:rPr>
          <w:color w:val="000000"/>
        </w:rPr>
        <w:t xml:space="preserve">ce) </w:t>
      </w:r>
      <w:r>
        <w:rPr>
          <w:color w:val="000000"/>
          <w:spacing w:val="-4"/>
        </w:rPr>
        <w:t>m</w:t>
      </w:r>
      <w:r>
        <w:rPr>
          <w:color w:val="000000"/>
        </w:rPr>
        <w:t>ust</w:t>
      </w:r>
      <w:r>
        <w:rPr>
          <w:color w:val="000000"/>
          <w:spacing w:val="37"/>
        </w:rPr>
        <w:t xml:space="preserve"> </w:t>
      </w:r>
      <w:r>
        <w:rPr>
          <w:color w:val="000000"/>
        </w:rPr>
        <w:t>be</w:t>
      </w:r>
      <w:r>
        <w:rPr>
          <w:color w:val="000000"/>
          <w:spacing w:val="36"/>
        </w:rPr>
        <w:t xml:space="preserve"> </w:t>
      </w:r>
      <w:r>
        <w:rPr>
          <w:color w:val="000000"/>
        </w:rPr>
        <w:t>sub</w:t>
      </w:r>
      <w:r>
        <w:rPr>
          <w:color w:val="000000"/>
          <w:spacing w:val="-3"/>
        </w:rPr>
        <w:t>m</w:t>
      </w:r>
      <w:r>
        <w:rPr>
          <w:color w:val="000000"/>
          <w:spacing w:val="1"/>
        </w:rPr>
        <w:t>i</w:t>
      </w:r>
      <w:r>
        <w:rPr>
          <w:color w:val="000000"/>
          <w:spacing w:val="-1"/>
        </w:rPr>
        <w:t>t</w:t>
      </w:r>
      <w:r>
        <w:rPr>
          <w:color w:val="000000"/>
          <w:spacing w:val="1"/>
        </w:rPr>
        <w:t>t</w:t>
      </w:r>
      <w:r>
        <w:rPr>
          <w:color w:val="000000"/>
        </w:rPr>
        <w:t>ed</w:t>
      </w:r>
      <w:r>
        <w:rPr>
          <w:color w:val="000000"/>
          <w:spacing w:val="2"/>
        </w:rPr>
        <w:t>.</w:t>
      </w:r>
      <w:r>
        <w:rPr>
          <w:color w:val="000000"/>
          <w:position w:val="10"/>
          <w:sz w:val="14"/>
          <w:szCs w:val="14"/>
        </w:rPr>
        <w:t xml:space="preserve">  </w:t>
      </w:r>
      <w:r>
        <w:rPr>
          <w:color w:val="000000"/>
        </w:rPr>
        <w:t>When</w:t>
      </w:r>
      <w:r>
        <w:rPr>
          <w:color w:val="000000"/>
          <w:spacing w:val="36"/>
        </w:rPr>
        <w:t xml:space="preserve"> </w:t>
      </w:r>
      <w:r>
        <w:rPr>
          <w:color w:val="000000"/>
        </w:rPr>
        <w:t>co</w:t>
      </w:r>
      <w:r>
        <w:rPr>
          <w:color w:val="000000"/>
          <w:spacing w:val="-3"/>
        </w:rPr>
        <w:t>m</w:t>
      </w:r>
      <w:r>
        <w:rPr>
          <w:color w:val="000000"/>
        </w:rPr>
        <w:t>p</w:t>
      </w:r>
      <w:r>
        <w:rPr>
          <w:color w:val="000000"/>
          <w:spacing w:val="1"/>
        </w:rPr>
        <w:t>l</w:t>
      </w:r>
      <w:r>
        <w:rPr>
          <w:color w:val="000000"/>
          <w:spacing w:val="-2"/>
        </w:rPr>
        <w:t>e</w:t>
      </w:r>
      <w:r>
        <w:rPr>
          <w:color w:val="000000"/>
          <w:spacing w:val="1"/>
        </w:rPr>
        <w:t>ti</w:t>
      </w:r>
      <w:r>
        <w:rPr>
          <w:color w:val="000000"/>
        </w:rPr>
        <w:t>ng</w:t>
      </w:r>
      <w:r>
        <w:rPr>
          <w:color w:val="000000"/>
          <w:spacing w:val="34"/>
        </w:rPr>
        <w:t xml:space="preserve"> </w:t>
      </w:r>
      <w:r>
        <w:rPr>
          <w:color w:val="000000"/>
          <w:spacing w:val="1"/>
        </w:rPr>
        <w:t>t</w:t>
      </w:r>
      <w:r>
        <w:rPr>
          <w:color w:val="000000"/>
        </w:rPr>
        <w:t>he</w:t>
      </w:r>
      <w:r>
        <w:rPr>
          <w:color w:val="000000"/>
          <w:spacing w:val="36"/>
        </w:rPr>
        <w:t xml:space="preserve"> </w:t>
      </w:r>
      <w:r>
        <w:rPr>
          <w:color w:val="000000"/>
        </w:rPr>
        <w:t>F</w:t>
      </w:r>
      <w:r>
        <w:rPr>
          <w:color w:val="000000"/>
          <w:spacing w:val="-4"/>
        </w:rPr>
        <w:t>C</w:t>
      </w:r>
      <w:r>
        <w:rPr>
          <w:color w:val="000000"/>
        </w:rPr>
        <w:t>C</w:t>
      </w:r>
      <w:r>
        <w:rPr>
          <w:color w:val="000000"/>
          <w:spacing w:val="35"/>
        </w:rPr>
        <w:t xml:space="preserve"> </w:t>
      </w:r>
      <w:r>
        <w:rPr>
          <w:color w:val="000000"/>
        </w:rPr>
        <w:t>Form</w:t>
      </w:r>
      <w:r>
        <w:rPr>
          <w:color w:val="000000"/>
          <w:spacing w:val="33"/>
        </w:rPr>
        <w:t xml:space="preserve"> </w:t>
      </w:r>
      <w:r>
        <w:rPr>
          <w:color w:val="000000"/>
        </w:rPr>
        <w:t>159,</w:t>
      </w:r>
      <w:r>
        <w:rPr>
          <w:color w:val="000000"/>
          <w:spacing w:val="36"/>
        </w:rPr>
        <w:t xml:space="preserve"> </w:t>
      </w:r>
      <w:r>
        <w:rPr>
          <w:color w:val="000000"/>
        </w:rPr>
        <w:t>en</w:t>
      </w:r>
      <w:r>
        <w:rPr>
          <w:color w:val="000000"/>
          <w:spacing w:val="1"/>
        </w:rPr>
        <w:t>t</w:t>
      </w:r>
      <w:r>
        <w:rPr>
          <w:color w:val="000000"/>
        </w:rPr>
        <w:t>er</w:t>
      </w:r>
      <w:r>
        <w:rPr>
          <w:color w:val="000000"/>
          <w:spacing w:val="35"/>
        </w:rPr>
        <w:t xml:space="preserve"> </w:t>
      </w:r>
      <w:r>
        <w:rPr>
          <w:color w:val="000000"/>
          <w:spacing w:val="1"/>
        </w:rPr>
        <w:t>t</w:t>
      </w:r>
      <w:r>
        <w:rPr>
          <w:color w:val="000000"/>
        </w:rPr>
        <w:t xml:space="preserve">he </w:t>
      </w:r>
      <w:r>
        <w:rPr>
          <w:spacing w:val="-1"/>
        </w:rPr>
        <w:t>A</w:t>
      </w:r>
      <w:r>
        <w:t>ccount</w:t>
      </w:r>
      <w:r>
        <w:rPr>
          <w:spacing w:val="6"/>
        </w:rPr>
        <w:t xml:space="preserve"> </w:t>
      </w:r>
      <w:r>
        <w:rPr>
          <w:spacing w:val="-1"/>
        </w:rPr>
        <w:t>N</w:t>
      </w:r>
      <w:r>
        <w:t>u</w:t>
      </w:r>
      <w:r>
        <w:rPr>
          <w:spacing w:val="-4"/>
        </w:rPr>
        <w:t>m</w:t>
      </w:r>
      <w:r>
        <w:t>b</w:t>
      </w:r>
      <w:r>
        <w:rPr>
          <w:spacing w:val="1"/>
        </w:rPr>
        <w:t>e</w:t>
      </w:r>
      <w:r>
        <w:t>r</w:t>
      </w:r>
      <w:r>
        <w:rPr>
          <w:spacing w:val="5"/>
        </w:rPr>
        <w:t xml:space="preserve"> </w:t>
      </w:r>
      <w:r>
        <w:rPr>
          <w:spacing w:val="1"/>
        </w:rPr>
        <w:t>i</w:t>
      </w:r>
      <w:r>
        <w:t>n</w:t>
      </w:r>
      <w:r>
        <w:rPr>
          <w:spacing w:val="5"/>
        </w:rPr>
        <w:t xml:space="preserve"> </w:t>
      </w:r>
      <w:r>
        <w:rPr>
          <w:spacing w:val="-2"/>
        </w:rPr>
        <w:t>b</w:t>
      </w:r>
      <w:r>
        <w:rPr>
          <w:spacing w:val="1"/>
        </w:rPr>
        <w:t>l</w:t>
      </w:r>
      <w:r>
        <w:t>ock</w:t>
      </w:r>
      <w:r>
        <w:rPr>
          <w:spacing w:val="3"/>
        </w:rPr>
        <w:t xml:space="preserve"> </w:t>
      </w:r>
      <w:r>
        <w:t>nu</w:t>
      </w:r>
      <w:r>
        <w:rPr>
          <w:spacing w:val="-4"/>
        </w:rPr>
        <w:t>m</w:t>
      </w:r>
      <w:r>
        <w:t>ber</w:t>
      </w:r>
      <w:r>
        <w:rPr>
          <w:spacing w:val="6"/>
        </w:rPr>
        <w:t xml:space="preserve"> </w:t>
      </w:r>
      <w:r>
        <w:t>23A</w:t>
      </w:r>
      <w:r>
        <w:rPr>
          <w:spacing w:val="4"/>
        </w:rPr>
        <w:t xml:space="preserve"> </w:t>
      </w:r>
      <w:r>
        <w:rPr>
          <w:spacing w:val="1"/>
        </w:rPr>
        <w:t>(</w:t>
      </w:r>
      <w:r>
        <w:t>ca</w:t>
      </w:r>
      <w:r>
        <w:rPr>
          <w:spacing w:val="-1"/>
        </w:rPr>
        <w:t>l</w:t>
      </w:r>
      <w:r>
        <w:t>l</w:t>
      </w:r>
      <w:r>
        <w:rPr>
          <w:spacing w:val="6"/>
        </w:rPr>
        <w:t xml:space="preserve"> </w:t>
      </w:r>
      <w:r>
        <w:rPr>
          <w:spacing w:val="-2"/>
        </w:rPr>
        <w:t>s</w:t>
      </w:r>
      <w:r>
        <w:rPr>
          <w:spacing w:val="1"/>
        </w:rPr>
        <w:t>i</w:t>
      </w:r>
      <w:r>
        <w:rPr>
          <w:spacing w:val="-2"/>
        </w:rPr>
        <w:t>g</w:t>
      </w:r>
      <w:r>
        <w:t>n</w:t>
      </w:r>
      <w:r>
        <w:rPr>
          <w:spacing w:val="1"/>
        </w:rPr>
        <w:t>/</w:t>
      </w:r>
      <w:r>
        <w:t>o</w:t>
      </w:r>
      <w:r>
        <w:rPr>
          <w:spacing w:val="1"/>
        </w:rPr>
        <w:t>t</w:t>
      </w:r>
      <w:r>
        <w:rPr>
          <w:spacing w:val="-2"/>
        </w:rPr>
        <w:t>he</w:t>
      </w:r>
      <w:r>
        <w:t>r</w:t>
      </w:r>
      <w:r>
        <w:rPr>
          <w:spacing w:val="5"/>
        </w:rPr>
        <w:t xml:space="preserve"> </w:t>
      </w:r>
      <w:r>
        <w:rPr>
          <w:spacing w:val="-4"/>
        </w:rPr>
        <w:t>I</w:t>
      </w:r>
      <w:r>
        <w:rPr>
          <w:spacing w:val="-1"/>
        </w:rPr>
        <w:t>D</w:t>
      </w:r>
      <w:r>
        <w:t>)</w:t>
      </w:r>
      <w:r>
        <w:rPr>
          <w:spacing w:val="5"/>
        </w:rPr>
        <w:t xml:space="preserve"> </w:t>
      </w:r>
      <w:r>
        <w:t>and</w:t>
      </w:r>
      <w:r>
        <w:rPr>
          <w:spacing w:val="5"/>
        </w:rPr>
        <w:t xml:space="preserve"> </w:t>
      </w:r>
      <w:r>
        <w:t>en</w:t>
      </w:r>
      <w:r>
        <w:rPr>
          <w:spacing w:val="1"/>
        </w:rPr>
        <w:t>t</w:t>
      </w:r>
      <w:r>
        <w:t>er</w:t>
      </w:r>
      <w:r>
        <w:rPr>
          <w:spacing w:val="4"/>
        </w:rPr>
        <w:t xml:space="preserve"> </w:t>
      </w:r>
      <w:r>
        <w:rPr>
          <w:spacing w:val="1"/>
        </w:rPr>
        <w:t>t</w:t>
      </w:r>
      <w:r>
        <w:t>he</w:t>
      </w:r>
      <w:r>
        <w:rPr>
          <w:spacing w:val="5"/>
        </w:rPr>
        <w:t xml:space="preserve"> </w:t>
      </w:r>
      <w:r>
        <w:rPr>
          <w:spacing w:val="-1"/>
        </w:rPr>
        <w:t>l</w:t>
      </w:r>
      <w:r>
        <w:t>e</w:t>
      </w:r>
      <w:r>
        <w:rPr>
          <w:spacing w:val="-1"/>
        </w:rPr>
        <w:t>t</w:t>
      </w:r>
      <w:r>
        <w:rPr>
          <w:spacing w:val="1"/>
        </w:rPr>
        <w:t>t</w:t>
      </w:r>
      <w:r>
        <w:rPr>
          <w:spacing w:val="-2"/>
        </w:rPr>
        <w:t>e</w:t>
      </w:r>
      <w:r>
        <w:rPr>
          <w:spacing w:val="1"/>
        </w:rPr>
        <w:t>r</w:t>
      </w:r>
      <w:r>
        <w:t>s</w:t>
      </w:r>
      <w:r>
        <w:rPr>
          <w:spacing w:val="5"/>
        </w:rPr>
        <w:t xml:space="preserve"> </w:t>
      </w:r>
      <w:r>
        <w:rPr>
          <w:spacing w:val="-2"/>
        </w:rPr>
        <w:t>“</w:t>
      </w:r>
      <w:r>
        <w:t>F</w:t>
      </w:r>
      <w:r>
        <w:rPr>
          <w:spacing w:val="-1"/>
        </w:rPr>
        <w:t>OR</w:t>
      </w:r>
      <w:r>
        <w:t>F”</w:t>
      </w:r>
      <w:r>
        <w:rPr>
          <w:spacing w:val="5"/>
        </w:rPr>
        <w:t xml:space="preserve"> </w:t>
      </w:r>
      <w:r>
        <w:rPr>
          <w:spacing w:val="1"/>
        </w:rPr>
        <w:t>i</w:t>
      </w:r>
      <w:r>
        <w:t>n</w:t>
      </w:r>
      <w:r>
        <w:rPr>
          <w:spacing w:val="5"/>
        </w:rPr>
        <w:t xml:space="preserve"> </w:t>
      </w:r>
      <w:r>
        <w:t>b</w:t>
      </w:r>
      <w:r>
        <w:rPr>
          <w:spacing w:val="1"/>
        </w:rPr>
        <w:t>l</w:t>
      </w:r>
      <w:r>
        <w:rPr>
          <w:spacing w:val="-2"/>
        </w:rPr>
        <w:t>o</w:t>
      </w:r>
      <w:r>
        <w:t>ck</w:t>
      </w:r>
      <w:r>
        <w:rPr>
          <w:spacing w:val="3"/>
        </w:rPr>
        <w:t xml:space="preserve"> </w:t>
      </w:r>
      <w:r>
        <w:t>nu</w:t>
      </w:r>
      <w:r>
        <w:rPr>
          <w:spacing w:val="-4"/>
        </w:rPr>
        <w:t>m</w:t>
      </w:r>
      <w:r>
        <w:t>ber 24A</w:t>
      </w:r>
      <w:r>
        <w:rPr>
          <w:spacing w:val="28"/>
        </w:rPr>
        <w:t xml:space="preserve"> </w:t>
      </w:r>
      <w:r>
        <w:rPr>
          <w:spacing w:val="1"/>
        </w:rPr>
        <w:t>(</w:t>
      </w:r>
      <w:r>
        <w:t>pay</w:t>
      </w:r>
      <w:r>
        <w:rPr>
          <w:spacing w:val="-3"/>
        </w:rPr>
        <w:t>m</w:t>
      </w:r>
      <w:r>
        <w:t>ent</w:t>
      </w:r>
      <w:r>
        <w:rPr>
          <w:spacing w:val="30"/>
        </w:rPr>
        <w:t xml:space="preserve"> </w:t>
      </w:r>
      <w:r>
        <w:rPr>
          <w:spacing w:val="1"/>
        </w:rPr>
        <w:t>t</w:t>
      </w:r>
      <w:r>
        <w:rPr>
          <w:spacing w:val="-2"/>
        </w:rPr>
        <w:t>y</w:t>
      </w:r>
      <w:r>
        <w:t>pe</w:t>
      </w:r>
      <w:r>
        <w:rPr>
          <w:spacing w:val="29"/>
        </w:rPr>
        <w:t xml:space="preserve"> </w:t>
      </w:r>
      <w:r>
        <w:t>code</w:t>
      </w:r>
      <w:r>
        <w:rPr>
          <w:spacing w:val="1"/>
        </w:rPr>
        <w:t>)</w:t>
      </w:r>
      <w:r>
        <w:t xml:space="preserve">.  Below are additional instructions that should be followed based on the form of payment selected:  </w:t>
      </w:r>
    </w:p>
    <w:p w:rsidR="00387EDC" w:rsidRDefault="00387EDC" w:rsidP="00387EDC">
      <w:pPr>
        <w:spacing w:before="16" w:line="220" w:lineRule="exact"/>
      </w:pPr>
    </w:p>
    <w:p w:rsidR="00387EDC" w:rsidRDefault="00387EDC" w:rsidP="00387EDC">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387EDC" w:rsidRDefault="00387EDC" w:rsidP="00387EDC">
      <w:pPr>
        <w:spacing w:before="16" w:line="220" w:lineRule="exact"/>
      </w:pPr>
    </w:p>
    <w:p w:rsidR="00387EDC" w:rsidRDefault="00387EDC" w:rsidP="00387EDC">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387EDC" w:rsidRDefault="00387EDC" w:rsidP="00387EDC">
      <w:pPr>
        <w:spacing w:before="2" w:line="240" w:lineRule="exact"/>
        <w:rPr>
          <w:sz w:val="24"/>
          <w:szCs w:val="24"/>
        </w:rPr>
      </w:pPr>
    </w:p>
    <w:p w:rsidR="00387EDC" w:rsidRPr="007756EF" w:rsidRDefault="00387EDC" w:rsidP="00387EDC">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 St.</w:t>
      </w:r>
      <w:r>
        <w:rPr>
          <w:spacing w:val="53"/>
        </w:rPr>
        <w:t xml:space="preserve"> </w:t>
      </w:r>
      <w:r>
        <w:t>Loui</w:t>
      </w:r>
      <w:r>
        <w:rPr>
          <w:spacing w:val="1"/>
        </w:rPr>
        <w:t>s</w:t>
      </w:r>
      <w:r>
        <w:t>,</w:t>
      </w:r>
      <w:r>
        <w:rPr>
          <w:spacing w:val="53"/>
        </w:rPr>
        <w:t xml:space="preserve"> </w:t>
      </w:r>
      <w:r>
        <w:t>MO 63101.</w:t>
      </w:r>
    </w:p>
    <w:p w:rsidR="00387EDC" w:rsidRDefault="00387EDC" w:rsidP="00387EDC">
      <w:pPr>
        <w:pStyle w:val="BodyText"/>
        <w:tabs>
          <w:tab w:val="left" w:pos="1430"/>
        </w:tabs>
        <w:jc w:val="left"/>
        <w:rPr>
          <w:szCs w:val="22"/>
        </w:rPr>
      </w:pPr>
    </w:p>
    <w:p w:rsidR="00387EDC" w:rsidRPr="00557CAC" w:rsidRDefault="00387EDC" w:rsidP="00387EDC">
      <w:pPr>
        <w:pStyle w:val="BodyText"/>
        <w:tabs>
          <w:tab w:val="left" w:pos="1430"/>
        </w:tabs>
        <w:jc w:val="left"/>
        <w:rPr>
          <w:szCs w:val="22"/>
        </w:rPr>
      </w:pPr>
      <w:r>
        <w:rPr>
          <w:szCs w:val="22"/>
        </w:rPr>
        <w:tab/>
        <w:t>12.</w:t>
      </w:r>
      <w:r>
        <w:rPr>
          <w:szCs w:val="22"/>
        </w:rPr>
        <w:tab/>
        <w:t xml:space="preserve">The Bureau finds that its Investigation raises no substantial and material questions of fact as to whether GB or CATCO possesses the basic qualifications, including those relating to character, to hold or obtain a Commission license or authorization. Accordingly, the Bureau agrees to grant the CATCO Application, after the Effective Date, provided that the following conditions have been met: 1) the civil penalty payment referred to in paragraph 11 of this Decree has been fully and timely satisfied; and 2) there are no issues other than the Violations that would preclude grant of the Application. </w:t>
      </w:r>
    </w:p>
    <w:p w:rsidR="00387EDC" w:rsidRDefault="00387EDC" w:rsidP="00387EDC">
      <w:pPr>
        <w:rPr>
          <w:color w:val="000000"/>
          <w:w w:val="0"/>
          <w:szCs w:val="22"/>
        </w:rPr>
      </w:pPr>
    </w:p>
    <w:p w:rsidR="00387EDC" w:rsidRDefault="00387EDC" w:rsidP="00387EDC">
      <w:pPr>
        <w:rPr>
          <w:szCs w:val="22"/>
        </w:rPr>
      </w:pPr>
      <w:r>
        <w:rPr>
          <w:color w:val="000000"/>
          <w:w w:val="0"/>
          <w:szCs w:val="22"/>
        </w:rPr>
        <w:tab/>
        <w:t>13.</w:t>
      </w:r>
      <w:r>
        <w:rPr>
          <w:color w:val="000000"/>
          <w:w w:val="0"/>
          <w:szCs w:val="22"/>
        </w:rPr>
        <w:tab/>
      </w:r>
      <w:r>
        <w:rPr>
          <w:szCs w:val="22"/>
        </w:rPr>
        <w:t xml:space="preserve">GB and CATCO each agrees to </w:t>
      </w:r>
      <w:r w:rsidRPr="00EE5485">
        <w:rPr>
          <w:szCs w:val="22"/>
        </w:rPr>
        <w:t xml:space="preserve">waive any and all rights it may have to seek administrative or judicial reconsideration, review, appeal, or stay, or to otherwise challenge the validity of this Consent Decree and the </w:t>
      </w:r>
      <w:r>
        <w:rPr>
          <w:szCs w:val="22"/>
        </w:rPr>
        <w:t xml:space="preserve">Adopting </w:t>
      </w:r>
      <w:r w:rsidRPr="00EE5485">
        <w:rPr>
          <w:szCs w:val="22"/>
        </w:rPr>
        <w:t xml:space="preserve">Order, provided the Consent Decree </w:t>
      </w:r>
      <w:r>
        <w:rPr>
          <w:szCs w:val="22"/>
        </w:rPr>
        <w:t xml:space="preserve">is adopted </w:t>
      </w:r>
      <w:r w:rsidRPr="00EE5485">
        <w:rPr>
          <w:szCs w:val="22"/>
        </w:rPr>
        <w:t>without change, addition or modification</w:t>
      </w:r>
      <w:r>
        <w:rPr>
          <w:szCs w:val="22"/>
        </w:rPr>
        <w:t>.  If any Party (</w:t>
      </w:r>
      <w:r w:rsidRPr="00EE5485">
        <w:rPr>
          <w:szCs w:val="22"/>
        </w:rPr>
        <w:t>or the United States on behalf of the Commission</w:t>
      </w:r>
      <w:r>
        <w:rPr>
          <w:szCs w:val="22"/>
        </w:rPr>
        <w:t>)</w:t>
      </w:r>
      <w:r w:rsidRPr="00EE5485">
        <w:rPr>
          <w:szCs w:val="22"/>
        </w:rPr>
        <w:t xml:space="preserve">, brings a judicial action to enforce the terms of the </w:t>
      </w:r>
      <w:r>
        <w:rPr>
          <w:szCs w:val="22"/>
        </w:rPr>
        <w:t>Consent Decree or Adopting Order</w:t>
      </w:r>
      <w:r w:rsidRPr="00EE5485">
        <w:rPr>
          <w:szCs w:val="22"/>
        </w:rPr>
        <w:t xml:space="preserve">, </w:t>
      </w:r>
      <w:r>
        <w:rPr>
          <w:szCs w:val="22"/>
        </w:rPr>
        <w:t xml:space="preserve">no Party </w:t>
      </w:r>
      <w:r w:rsidRPr="00EE5485">
        <w:rPr>
          <w:szCs w:val="22"/>
        </w:rPr>
        <w:t xml:space="preserve">will contest the validity of the Consent Decree or </w:t>
      </w:r>
      <w:r>
        <w:rPr>
          <w:szCs w:val="22"/>
        </w:rPr>
        <w:t xml:space="preserve">Adopting </w:t>
      </w:r>
      <w:r w:rsidRPr="00EE5485">
        <w:rPr>
          <w:szCs w:val="22"/>
        </w:rPr>
        <w:t xml:space="preserve">Order, and </w:t>
      </w:r>
      <w:r>
        <w:rPr>
          <w:szCs w:val="22"/>
        </w:rPr>
        <w:t xml:space="preserve">GB and CATCO </w:t>
      </w:r>
      <w:r w:rsidRPr="00EE5485">
        <w:rPr>
          <w:szCs w:val="22"/>
        </w:rPr>
        <w:t xml:space="preserve">will waive any statutory right to a </w:t>
      </w:r>
      <w:r w:rsidRPr="00EF54B6">
        <w:rPr>
          <w:i/>
          <w:szCs w:val="22"/>
        </w:rPr>
        <w:t>trial</w:t>
      </w:r>
      <w:r w:rsidRPr="00EE5485">
        <w:rPr>
          <w:szCs w:val="22"/>
        </w:rPr>
        <w:t xml:space="preserve"> </w:t>
      </w:r>
      <w:r w:rsidRPr="00EE5485">
        <w:rPr>
          <w:i/>
          <w:szCs w:val="22"/>
        </w:rPr>
        <w:t>de novo</w:t>
      </w:r>
      <w:r>
        <w:rPr>
          <w:szCs w:val="22"/>
        </w:rPr>
        <w:t xml:space="preserve">.  GB and CATCO each further </w:t>
      </w:r>
      <w:r w:rsidRPr="00EE5485">
        <w:rPr>
          <w:szCs w:val="22"/>
        </w:rPr>
        <w:t>agree</w:t>
      </w:r>
      <w:r>
        <w:rPr>
          <w:szCs w:val="22"/>
        </w:rPr>
        <w:t>s</w:t>
      </w:r>
      <w:r w:rsidRPr="00EE5485">
        <w:rPr>
          <w:szCs w:val="22"/>
        </w:rPr>
        <w:t xml:space="preserve"> to waive any claims it may otherwise have under the Equal Access to Justice Act, 5 U.S.C. Section 504 and 47 </w:t>
      </w:r>
      <w:r>
        <w:rPr>
          <w:szCs w:val="22"/>
        </w:rPr>
        <w:t>CFR</w:t>
      </w:r>
      <w:r w:rsidRPr="00EE5485">
        <w:rPr>
          <w:szCs w:val="22"/>
        </w:rPr>
        <w:t xml:space="preserve"> Section 1.1501 </w:t>
      </w:r>
      <w:r w:rsidRPr="00EE5485">
        <w:rPr>
          <w:i/>
          <w:szCs w:val="22"/>
        </w:rPr>
        <w:t>et seq.</w:t>
      </w:r>
      <w:r w:rsidRPr="00EE5485">
        <w:rPr>
          <w:szCs w:val="22"/>
        </w:rPr>
        <w:t xml:space="preserve">, relating to the matters </w:t>
      </w:r>
      <w:r>
        <w:rPr>
          <w:szCs w:val="22"/>
        </w:rPr>
        <w:t>herein.</w:t>
      </w:r>
    </w:p>
    <w:p w:rsidR="00387EDC" w:rsidRDefault="00387EDC" w:rsidP="00387EDC">
      <w:pPr>
        <w:rPr>
          <w:szCs w:val="22"/>
        </w:rPr>
      </w:pPr>
    </w:p>
    <w:p w:rsidR="00387EDC" w:rsidRDefault="00387EDC" w:rsidP="00387EDC">
      <w:pPr>
        <w:rPr>
          <w:szCs w:val="22"/>
        </w:rPr>
      </w:pPr>
      <w:r>
        <w:rPr>
          <w:szCs w:val="22"/>
        </w:rPr>
        <w:tab/>
        <w:t>14.</w:t>
      </w:r>
      <w:r>
        <w:rPr>
          <w:szCs w:val="22"/>
        </w:rPr>
        <w:tab/>
        <w:t xml:space="preserve">The Parties agree </w:t>
      </w:r>
      <w:r w:rsidRPr="00EE5485">
        <w:rPr>
          <w:szCs w:val="22"/>
        </w:rPr>
        <w:t>that</w:t>
      </w:r>
      <w:r>
        <w:rPr>
          <w:szCs w:val="22"/>
        </w:rPr>
        <w:t xml:space="preserve"> if a court of competent jurisdiction renders any of the provisions of this Consent Decree </w:t>
      </w:r>
      <w:r w:rsidRPr="00EE5485">
        <w:rPr>
          <w:szCs w:val="22"/>
        </w:rPr>
        <w:t xml:space="preserve">invalid </w:t>
      </w:r>
      <w:r>
        <w:rPr>
          <w:szCs w:val="22"/>
        </w:rPr>
        <w:t xml:space="preserve">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w:t>
      </w:r>
      <w:r w:rsidRPr="00EE5485">
        <w:rPr>
          <w:szCs w:val="22"/>
        </w:rPr>
        <w:t>any court of competent jurisdiction, it will become null and void and may not be used in any manner in any legal proceeding.</w:t>
      </w:r>
    </w:p>
    <w:p w:rsidR="00387EDC" w:rsidRDefault="00387EDC" w:rsidP="00387EDC">
      <w:pPr>
        <w:rPr>
          <w:szCs w:val="22"/>
        </w:rPr>
      </w:pPr>
    </w:p>
    <w:p w:rsidR="00387EDC" w:rsidRDefault="00387EDC" w:rsidP="00387EDC">
      <w:pPr>
        <w:rPr>
          <w:szCs w:val="22"/>
        </w:rPr>
      </w:pPr>
      <w:r>
        <w:rPr>
          <w:szCs w:val="22"/>
        </w:rPr>
        <w:tab/>
        <w:t>15.</w:t>
      </w:r>
      <w:r>
        <w:rPr>
          <w:szCs w:val="22"/>
        </w:rPr>
        <w:tab/>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Commission rule or order.</w:t>
      </w:r>
    </w:p>
    <w:p w:rsidR="00387EDC" w:rsidRDefault="00387EDC" w:rsidP="00387EDC">
      <w:pPr>
        <w:rPr>
          <w:szCs w:val="22"/>
        </w:rPr>
      </w:pPr>
    </w:p>
    <w:p w:rsidR="00387EDC" w:rsidRPr="00EE5485" w:rsidRDefault="00387EDC" w:rsidP="0038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16.</w:t>
      </w:r>
      <w:r>
        <w:rPr>
          <w:szCs w:val="22"/>
        </w:rPr>
        <w:tab/>
        <w:t xml:space="preserve">The Parties agree and </w:t>
      </w:r>
      <w:r w:rsidRPr="00EE5485">
        <w:rPr>
          <w:szCs w:val="22"/>
        </w:rPr>
        <w:t xml:space="preserve">acknowledge that this Consent Decree </w:t>
      </w:r>
      <w:r>
        <w:rPr>
          <w:szCs w:val="22"/>
        </w:rPr>
        <w:t>shall constitute a final settlement between GB, CATCO and the Bureau concerning the Violations discussed herein.</w:t>
      </w:r>
      <w:r w:rsidRPr="00EE5485">
        <w:rPr>
          <w:szCs w:val="22"/>
        </w:rPr>
        <w:tab/>
      </w:r>
    </w:p>
    <w:p w:rsidR="00387EDC" w:rsidRPr="00EE5485" w:rsidRDefault="00387EDC" w:rsidP="00387EDC">
      <w:pPr>
        <w:rPr>
          <w:szCs w:val="22"/>
        </w:rPr>
      </w:pPr>
    </w:p>
    <w:p w:rsidR="00387EDC" w:rsidRDefault="00387EDC" w:rsidP="00387EDC">
      <w:pPr>
        <w:rPr>
          <w:szCs w:val="22"/>
        </w:rPr>
      </w:pPr>
      <w:r w:rsidRPr="00EE5485">
        <w:rPr>
          <w:szCs w:val="22"/>
        </w:rPr>
        <w:tab/>
      </w:r>
      <w:r>
        <w:rPr>
          <w:szCs w:val="22"/>
        </w:rPr>
        <w:t>17.</w:t>
      </w:r>
      <w:r>
        <w:rPr>
          <w:szCs w:val="22"/>
        </w:rPr>
        <w:tab/>
        <w:t>This Consent Decree cannot be modified or amended without the advance written consent of all Parties.</w:t>
      </w:r>
    </w:p>
    <w:p w:rsidR="00387EDC" w:rsidRPr="00EE5485" w:rsidRDefault="00387EDC" w:rsidP="00387EDC">
      <w:pPr>
        <w:rPr>
          <w:szCs w:val="22"/>
        </w:rPr>
      </w:pPr>
    </w:p>
    <w:p w:rsidR="00387EDC" w:rsidRDefault="00387EDC" w:rsidP="00387EDC">
      <w:pPr>
        <w:rPr>
          <w:szCs w:val="22"/>
        </w:rPr>
      </w:pPr>
      <w:r w:rsidRPr="00EE5485">
        <w:rPr>
          <w:szCs w:val="22"/>
        </w:rPr>
        <w:tab/>
      </w:r>
      <w:r>
        <w:rPr>
          <w:szCs w:val="22"/>
        </w:rPr>
        <w:t>18.</w:t>
      </w:r>
      <w:r w:rsidRPr="00EE5485">
        <w:rPr>
          <w:szCs w:val="22"/>
        </w:rPr>
        <w:tab/>
      </w:r>
      <w:r>
        <w:rPr>
          <w:szCs w:val="22"/>
        </w:rPr>
        <w:t>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87EDC" w:rsidRDefault="00387EDC" w:rsidP="00387EDC">
      <w:pPr>
        <w:rPr>
          <w:szCs w:val="22"/>
        </w:rPr>
      </w:pPr>
    </w:p>
    <w:p w:rsidR="00387EDC" w:rsidRPr="00EE5485" w:rsidRDefault="00387EDC" w:rsidP="00387EDC">
      <w:pPr>
        <w:ind w:firstLine="720"/>
        <w:rPr>
          <w:szCs w:val="22"/>
        </w:rPr>
      </w:pPr>
      <w:r>
        <w:rPr>
          <w:szCs w:val="22"/>
        </w:rPr>
        <w:t>19.</w:t>
      </w:r>
      <w:r>
        <w:rPr>
          <w:szCs w:val="22"/>
        </w:rPr>
        <w:tab/>
      </w:r>
      <w:r w:rsidRPr="00EE5485">
        <w:rPr>
          <w:szCs w:val="22"/>
        </w:rPr>
        <w:t>This Consent Decree may be signed in counterparts and/or by telecopy</w:t>
      </w:r>
      <w:r>
        <w:rPr>
          <w:szCs w:val="22"/>
        </w:rPr>
        <w:t xml:space="preserve"> or pdf</w:t>
      </w:r>
      <w:r w:rsidRPr="00EE5485">
        <w:rPr>
          <w:szCs w:val="22"/>
        </w:rPr>
        <w:t xml:space="preserve"> and, when so executed, the counterparts, taken together, will constitute a legally binding and enforceable instrument whether executed by telecopy</w:t>
      </w:r>
      <w:r>
        <w:rPr>
          <w:szCs w:val="22"/>
        </w:rPr>
        <w:t xml:space="preserve"> or pdf</w:t>
      </w:r>
      <w:r w:rsidRPr="00EE5485">
        <w:rPr>
          <w:szCs w:val="22"/>
        </w:rPr>
        <w:t xml:space="preserve"> or by original signatures.</w:t>
      </w:r>
    </w:p>
    <w:p w:rsidR="00387EDC" w:rsidRPr="00EE5485" w:rsidRDefault="00387EDC" w:rsidP="00387EDC">
      <w:pPr>
        <w:jc w:val="both"/>
        <w:rPr>
          <w:szCs w:val="22"/>
        </w:rPr>
      </w:pPr>
    </w:p>
    <w:p w:rsidR="00387EDC" w:rsidRPr="00EE5485" w:rsidRDefault="00387EDC" w:rsidP="00387EDC">
      <w:pPr>
        <w:jc w:val="both"/>
        <w:rPr>
          <w:szCs w:val="22"/>
        </w:rPr>
      </w:pPr>
    </w:p>
    <w:p w:rsidR="00387EDC" w:rsidRPr="00C1664A" w:rsidRDefault="00387EDC" w:rsidP="00387EDC">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387EDC" w:rsidRPr="00C1664A" w:rsidRDefault="00387EDC" w:rsidP="00387EDC">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387EDC" w:rsidRDefault="00387EDC" w:rsidP="00387EDC">
      <w:pPr>
        <w:jc w:val="both"/>
        <w:rPr>
          <w:szCs w:val="22"/>
        </w:rPr>
      </w:pPr>
    </w:p>
    <w:p w:rsidR="00387EDC" w:rsidRPr="00EE5485" w:rsidRDefault="00387EDC" w:rsidP="00387EDC">
      <w:pPr>
        <w:jc w:val="both"/>
        <w:rPr>
          <w:szCs w:val="22"/>
        </w:rPr>
      </w:pPr>
    </w:p>
    <w:p w:rsidR="00387EDC" w:rsidRPr="00EE5485" w:rsidRDefault="00387EDC" w:rsidP="00387EDC">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r>
        <w:rPr>
          <w:szCs w:val="22"/>
          <w:u w:val="single"/>
        </w:rPr>
        <w:t>____</w:t>
      </w:r>
    </w:p>
    <w:p w:rsidR="00387EDC" w:rsidRDefault="00387EDC" w:rsidP="00387EDC">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William T. Lake</w:t>
      </w:r>
      <w:r w:rsidRPr="00EE5485">
        <w:rPr>
          <w:szCs w:val="22"/>
        </w:rPr>
        <w:t xml:space="preserve">, Chief </w:t>
      </w:r>
    </w:p>
    <w:p w:rsidR="00387EDC" w:rsidRDefault="00387EDC" w:rsidP="00387EDC">
      <w:pPr>
        <w:jc w:val="both"/>
        <w:rPr>
          <w:szCs w:val="22"/>
        </w:rPr>
      </w:pPr>
      <w:r>
        <w:rPr>
          <w:szCs w:val="22"/>
        </w:rPr>
        <w:tab/>
      </w:r>
    </w:p>
    <w:p w:rsidR="00387EDC" w:rsidRDefault="00387EDC" w:rsidP="00387EDC">
      <w:pPr>
        <w:jc w:val="both"/>
        <w:rPr>
          <w:szCs w:val="22"/>
        </w:rPr>
      </w:pPr>
    </w:p>
    <w:p w:rsidR="00387EDC" w:rsidRPr="00905582" w:rsidRDefault="00387EDC" w:rsidP="00387EDC">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387EDC" w:rsidRDefault="00387EDC" w:rsidP="00387EDC">
      <w:pPr>
        <w:ind w:left="4320"/>
        <w:rPr>
          <w:b/>
        </w:rPr>
      </w:pPr>
    </w:p>
    <w:p w:rsidR="00387EDC" w:rsidRDefault="00387EDC" w:rsidP="00387EDC">
      <w:pPr>
        <w:rPr>
          <w:b/>
        </w:rPr>
      </w:pPr>
    </w:p>
    <w:p w:rsidR="00387EDC" w:rsidRDefault="00387EDC" w:rsidP="00387EDC">
      <w:pPr>
        <w:ind w:left="3600" w:firstLine="720"/>
        <w:jc w:val="both"/>
        <w:rPr>
          <w:color w:val="000000"/>
          <w:szCs w:val="22"/>
        </w:rPr>
      </w:pPr>
      <w:r w:rsidRPr="001F2669">
        <w:rPr>
          <w:color w:val="000000"/>
          <w:szCs w:val="22"/>
        </w:rPr>
        <w:t>GB ENTERPRISES COMMUNICATIONS CORP.</w:t>
      </w:r>
      <w:r>
        <w:rPr>
          <w:color w:val="000000"/>
          <w:szCs w:val="22"/>
        </w:rPr>
        <w:t xml:space="preserve"> </w:t>
      </w:r>
    </w:p>
    <w:p w:rsidR="00387EDC" w:rsidRPr="00C1664A" w:rsidRDefault="00387EDC" w:rsidP="00387EDC">
      <w:pPr>
        <w:ind w:left="3600" w:firstLine="720"/>
        <w:jc w:val="both"/>
        <w:rPr>
          <w:b/>
          <w:szCs w:val="22"/>
        </w:rPr>
      </w:pPr>
    </w:p>
    <w:p w:rsidR="00387EDC" w:rsidRPr="00EE5485" w:rsidRDefault="00387EDC" w:rsidP="00387EDC">
      <w:pPr>
        <w:jc w:val="both"/>
        <w:rPr>
          <w:szCs w:val="22"/>
        </w:rPr>
      </w:pPr>
    </w:p>
    <w:p w:rsidR="00387EDC" w:rsidRPr="008C426B" w:rsidRDefault="00387EDC" w:rsidP="00387EDC">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387EDC" w:rsidRDefault="00387EDC" w:rsidP="00387EDC">
      <w:pPr>
        <w:ind w:left="4320"/>
        <w:rPr>
          <w:szCs w:val="22"/>
        </w:rPr>
      </w:pPr>
      <w:r>
        <w:rPr>
          <w:szCs w:val="22"/>
        </w:rPr>
        <w:t xml:space="preserve">       George R. Reed, Receiver</w:t>
      </w:r>
    </w:p>
    <w:p w:rsidR="00387EDC" w:rsidRDefault="00387EDC" w:rsidP="00387EDC">
      <w:pPr>
        <w:jc w:val="both"/>
      </w:pPr>
    </w:p>
    <w:p w:rsidR="00387EDC" w:rsidRDefault="00387EDC" w:rsidP="00387EDC">
      <w:pPr>
        <w:jc w:val="both"/>
        <w:rPr>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387EDC" w:rsidRPr="00EE5485" w:rsidRDefault="00387EDC" w:rsidP="00387EDC">
      <w:pPr>
        <w:jc w:val="both"/>
        <w:rPr>
          <w:szCs w:val="22"/>
        </w:rPr>
      </w:pPr>
    </w:p>
    <w:p w:rsidR="00387EDC" w:rsidRPr="00EE5485" w:rsidRDefault="00387EDC" w:rsidP="00387EDC">
      <w:pPr>
        <w:jc w:val="both"/>
        <w:rPr>
          <w:szCs w:val="22"/>
        </w:rPr>
      </w:pPr>
    </w:p>
    <w:p w:rsidR="00387EDC" w:rsidRPr="008C426B" w:rsidRDefault="00387EDC" w:rsidP="00387EDC">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387EDC" w:rsidRDefault="00387EDC" w:rsidP="00387EDC">
      <w:pPr>
        <w:ind w:left="4320"/>
        <w:rPr>
          <w:szCs w:val="22"/>
        </w:rPr>
      </w:pPr>
      <w:r>
        <w:rPr>
          <w:szCs w:val="22"/>
        </w:rPr>
        <w:t xml:space="preserve">       Edward Olivares, Sole Shareholder</w:t>
      </w:r>
    </w:p>
    <w:p w:rsidR="00387EDC" w:rsidRDefault="00387EDC" w:rsidP="00387EDC">
      <w:pPr>
        <w:jc w:val="both"/>
      </w:pPr>
    </w:p>
    <w:p w:rsidR="00387EDC" w:rsidRDefault="00387EDC" w:rsidP="00387EDC">
      <w:pPr>
        <w:jc w:val="both"/>
        <w:rPr>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387EDC" w:rsidRDefault="00387EDC" w:rsidP="00387EDC">
      <w:pPr>
        <w:widowControl/>
        <w:jc w:val="center"/>
        <w:rPr>
          <w:szCs w:val="22"/>
        </w:rPr>
      </w:pPr>
    </w:p>
    <w:p w:rsidR="00387EDC" w:rsidRDefault="00387EDC" w:rsidP="00387EDC">
      <w:pPr>
        <w:ind w:left="4320"/>
        <w:rPr>
          <w:color w:val="000000"/>
          <w:szCs w:val="22"/>
        </w:rPr>
      </w:pPr>
    </w:p>
    <w:p w:rsidR="00387EDC" w:rsidRPr="008C426B" w:rsidRDefault="00387EDC" w:rsidP="00387EDC">
      <w:pPr>
        <w:ind w:left="4320"/>
        <w:rPr>
          <w:b/>
        </w:rPr>
      </w:pPr>
      <w:r w:rsidRPr="001F2669">
        <w:rPr>
          <w:color w:val="000000"/>
          <w:szCs w:val="22"/>
        </w:rPr>
        <w:t>CATCO COMMUNICATIONS, LLC</w:t>
      </w:r>
      <w:r>
        <w:rPr>
          <w:b/>
        </w:rPr>
        <w:t>.</w:t>
      </w:r>
    </w:p>
    <w:p w:rsidR="00387EDC" w:rsidRDefault="00387EDC" w:rsidP="00387EDC">
      <w:pPr>
        <w:widowControl/>
        <w:rPr>
          <w:szCs w:val="22"/>
        </w:rPr>
      </w:pPr>
    </w:p>
    <w:p w:rsidR="00387EDC" w:rsidRDefault="00387EDC" w:rsidP="00387EDC">
      <w:pPr>
        <w:widowControl/>
        <w:jc w:val="center"/>
        <w:rPr>
          <w:szCs w:val="22"/>
        </w:rPr>
      </w:pPr>
    </w:p>
    <w:p w:rsidR="00387EDC" w:rsidRPr="008C426B" w:rsidRDefault="00387EDC" w:rsidP="00387EDC">
      <w:pPr>
        <w:ind w:left="3600" w:firstLine="720"/>
        <w:jc w:val="both"/>
        <w:rPr>
          <w:b/>
          <w:szCs w:val="22"/>
          <w:u w:val="single"/>
        </w:rPr>
      </w:pPr>
      <w:r>
        <w:rPr>
          <w:szCs w:val="22"/>
        </w:rPr>
        <w:t xml:space="preserve">By: </w:t>
      </w:r>
      <w:r>
        <w:rPr>
          <w:szCs w:val="22"/>
          <w:u w:val="single"/>
        </w:rPr>
        <w:t>_________________________________________</w:t>
      </w:r>
    </w:p>
    <w:p w:rsidR="00387EDC" w:rsidRDefault="00387EDC" w:rsidP="00387EDC">
      <w:pPr>
        <w:ind w:left="4320"/>
        <w:rPr>
          <w:szCs w:val="22"/>
        </w:rPr>
      </w:pPr>
      <w:r>
        <w:rPr>
          <w:szCs w:val="22"/>
        </w:rPr>
        <w:t xml:space="preserve">       Thomas C. Saunders, Member</w:t>
      </w:r>
    </w:p>
    <w:p w:rsidR="00387EDC" w:rsidRDefault="00387EDC" w:rsidP="00387EDC">
      <w:pPr>
        <w:ind w:left="4320"/>
        <w:rPr>
          <w:szCs w:val="22"/>
        </w:rPr>
      </w:pPr>
    </w:p>
    <w:p w:rsidR="00387EDC" w:rsidRDefault="00387EDC" w:rsidP="00387EDC">
      <w:pPr>
        <w:ind w:left="4320"/>
        <w:rPr>
          <w:szCs w:val="22"/>
        </w:rPr>
      </w:pPr>
      <w:r>
        <w:rPr>
          <w:szCs w:val="22"/>
        </w:rPr>
        <w:t xml:space="preserve">          </w:t>
      </w:r>
    </w:p>
    <w:p w:rsidR="00387EDC" w:rsidRDefault="00387EDC" w:rsidP="00F76938">
      <w:pPr>
        <w:ind w:left="3600" w:firstLine="720"/>
        <w:jc w:val="both"/>
        <w:rPr>
          <w:szCs w:val="22"/>
        </w:rPr>
      </w:pPr>
      <w:r w:rsidRPr="00EE5485">
        <w:rPr>
          <w:szCs w:val="22"/>
        </w:rPr>
        <w:t xml:space="preserve">Date:  </w:t>
      </w:r>
      <w:r w:rsidRPr="00EE5485">
        <w:rPr>
          <w:szCs w:val="22"/>
          <w:u w:val="single"/>
        </w:rPr>
        <w:t>__________________________________</w:t>
      </w:r>
    </w:p>
    <w:sectPr w:rsidR="00387EDC"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DE" w:rsidRDefault="003E38DE">
      <w:pPr>
        <w:spacing w:line="20" w:lineRule="exact"/>
      </w:pPr>
    </w:p>
  </w:endnote>
  <w:endnote w:type="continuationSeparator" w:id="0">
    <w:p w:rsidR="003E38DE" w:rsidRDefault="003E38DE">
      <w:r>
        <w:t xml:space="preserve"> </w:t>
      </w:r>
    </w:p>
  </w:endnote>
  <w:endnote w:type="continuationNotice" w:id="1">
    <w:p w:rsidR="003E38DE" w:rsidRDefault="003E38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6F" w:rsidRDefault="001E1C6F" w:rsidP="0055614C">
    <w:pPr>
      <w:pStyle w:val="Footer"/>
      <w:framePr w:wrap="around" w:vAnchor="text" w:hAnchor="margin" w:xAlign="center" w:y="1"/>
    </w:pPr>
    <w:r>
      <w:fldChar w:fldCharType="begin"/>
    </w:r>
    <w:r>
      <w:instrText xml:space="preserve">PAGE  </w:instrText>
    </w:r>
    <w:r>
      <w:fldChar w:fldCharType="end"/>
    </w:r>
  </w:p>
  <w:p w:rsidR="001E1C6F" w:rsidRDefault="001E1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6F" w:rsidRDefault="001E1C6F" w:rsidP="0055614C">
    <w:pPr>
      <w:pStyle w:val="Footer"/>
      <w:framePr w:wrap="around" w:vAnchor="text" w:hAnchor="margin" w:xAlign="center" w:y="1"/>
    </w:pPr>
    <w:r>
      <w:fldChar w:fldCharType="begin"/>
    </w:r>
    <w:r>
      <w:instrText xml:space="preserve">PAGE  </w:instrText>
    </w:r>
    <w:r>
      <w:fldChar w:fldCharType="separate"/>
    </w:r>
    <w:r w:rsidR="009A5AE2">
      <w:rPr>
        <w:noProof/>
      </w:rPr>
      <w:t>2</w:t>
    </w:r>
    <w:r>
      <w:fldChar w:fldCharType="end"/>
    </w:r>
  </w:p>
  <w:p w:rsidR="001E1C6F" w:rsidRDefault="001E1C6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6F" w:rsidRDefault="001E1C6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DE" w:rsidRDefault="003E38DE">
      <w:r>
        <w:separator/>
      </w:r>
    </w:p>
  </w:footnote>
  <w:footnote w:type="continuationSeparator" w:id="0">
    <w:p w:rsidR="003E38DE" w:rsidRDefault="003E38DE" w:rsidP="00C721AC">
      <w:pPr>
        <w:spacing w:before="120"/>
        <w:rPr>
          <w:sz w:val="20"/>
        </w:rPr>
      </w:pPr>
      <w:r>
        <w:rPr>
          <w:sz w:val="20"/>
        </w:rPr>
        <w:t xml:space="preserve">(Continued from previous page)  </w:t>
      </w:r>
      <w:r>
        <w:rPr>
          <w:sz w:val="20"/>
        </w:rPr>
        <w:separator/>
      </w:r>
    </w:p>
  </w:footnote>
  <w:footnote w:type="continuationNotice" w:id="1">
    <w:p w:rsidR="003E38DE" w:rsidRDefault="003E38DE" w:rsidP="00C721AC">
      <w:pPr>
        <w:jc w:val="right"/>
        <w:rPr>
          <w:sz w:val="20"/>
        </w:rPr>
      </w:pPr>
      <w:r>
        <w:rPr>
          <w:sz w:val="20"/>
        </w:rPr>
        <w:t>(continued….)</w:t>
      </w:r>
    </w:p>
  </w:footnote>
  <w:footnote w:id="2">
    <w:p w:rsidR="001E1C6F" w:rsidRDefault="001E1C6F" w:rsidP="00B21E61">
      <w:pPr>
        <w:pStyle w:val="FootnoteText"/>
        <w:spacing w:before="120"/>
      </w:pPr>
      <w:r w:rsidRPr="006271C0">
        <w:rPr>
          <w:rStyle w:val="FootnoteReference"/>
        </w:rPr>
        <w:footnoteRef/>
      </w:r>
      <w:r w:rsidR="00B21E61">
        <w:t xml:space="preserve"> </w:t>
      </w:r>
      <w:r w:rsidRPr="006271C0">
        <w:t>On October 17, 2014, George R. Reed (Reed) and CATCO filed a Joint Opposition to Petition to Deny (Opposition).</w:t>
      </w:r>
      <w:r w:rsidR="00B21E61">
        <w:t xml:space="preserve">  Also part of</w:t>
      </w:r>
      <w:r w:rsidR="00206919">
        <w:t xml:space="preserve"> the record is GB’s May 21, 2015, response </w:t>
      </w:r>
      <w:r w:rsidR="00AC23E5">
        <w:t xml:space="preserve">(LOI Response) </w:t>
      </w:r>
      <w:r w:rsidR="00206919">
        <w:t>to an April</w:t>
      </w:r>
      <w:r w:rsidR="00206919" w:rsidRPr="00206919">
        <w:t xml:space="preserve"> 2, 2015, Bureau letter of inquiry </w:t>
      </w:r>
      <w:r w:rsidR="00AC23E5">
        <w:t xml:space="preserve">(LOI) </w:t>
      </w:r>
      <w:r w:rsidR="00206919" w:rsidRPr="00206919">
        <w:t>requesting: (1) a copy of the Assignment of Rights dated February 10, 2014</w:t>
      </w:r>
      <w:r w:rsidR="0022416F">
        <w:t>,</w:t>
      </w:r>
      <w:r w:rsidR="00206919" w:rsidRPr="00206919">
        <w:t xml:space="preserve"> between Olivares an</w:t>
      </w:r>
      <w:r w:rsidR="00B21E61">
        <w:t>d TAACO</w:t>
      </w:r>
      <w:r w:rsidR="00BB4A22">
        <w:t>, LLC (TAACO)</w:t>
      </w:r>
      <w:r w:rsidR="00206919" w:rsidRPr="00206919">
        <w:t>; (2) information on each holder of GB stock from August 8, 2011</w:t>
      </w:r>
      <w:r w:rsidR="00AD6DFD">
        <w:t xml:space="preserve">, </w:t>
      </w:r>
      <w:r w:rsidR="00206919" w:rsidRPr="00206919">
        <w:t>to the date of response; and (3) particulars of the January 24, 2013, foreclosure sale conducted by the Polk County Sherriff’s Office.</w:t>
      </w:r>
      <w:r w:rsidR="00B21E61">
        <w:t xml:space="preserve">  </w:t>
      </w:r>
      <w:r w:rsidR="00B21E61">
        <w:rPr>
          <w:i/>
        </w:rPr>
        <w:t xml:space="preserve">See </w:t>
      </w:r>
      <w:r w:rsidR="0078532C">
        <w:t xml:space="preserve">Letter of Inquiry from Peter H. Doyle, Chief, Audio Division, Media Bureau, to </w:t>
      </w:r>
      <w:r w:rsidR="00113048">
        <w:t xml:space="preserve">Lewis J. Paper, Esq., </w:t>
      </w:r>
      <w:r w:rsidR="00113048">
        <w:rPr>
          <w:i/>
        </w:rPr>
        <w:t>et al.</w:t>
      </w:r>
      <w:r w:rsidR="00B21E61">
        <w:t>, Ref No. 1800B3-CEG (</w:t>
      </w:r>
      <w:r w:rsidR="00AC23E5">
        <w:t xml:space="preserve">MB </w:t>
      </w:r>
      <w:r w:rsidR="00B21E61">
        <w:t>Apr. 2, 2015).</w:t>
      </w:r>
    </w:p>
  </w:footnote>
  <w:footnote w:id="3">
    <w:p w:rsidR="001E1C6F" w:rsidRDefault="001E1C6F">
      <w:pPr>
        <w:pStyle w:val="FootnoteText"/>
      </w:pPr>
      <w:r>
        <w:rPr>
          <w:rStyle w:val="FootnoteReference"/>
        </w:rPr>
        <w:footnoteRef/>
      </w:r>
      <w:r>
        <w:t xml:space="preserve"> 47 </w:t>
      </w:r>
      <w:r w:rsidR="0022416F">
        <w:t>CFR</w:t>
      </w:r>
      <w:r>
        <w:t xml:space="preserve"> § 1.65</w:t>
      </w:r>
      <w:r w:rsidR="008D305A">
        <w:t xml:space="preserve"> (Section 1.65)</w:t>
      </w:r>
      <w:r>
        <w:t>.</w:t>
      </w:r>
    </w:p>
  </w:footnote>
  <w:footnote w:id="4">
    <w:p w:rsidR="001E1C6F" w:rsidRDefault="001E1C6F" w:rsidP="00DF2675">
      <w:pPr>
        <w:pStyle w:val="FootnoteText"/>
        <w:spacing w:before="120"/>
      </w:pPr>
      <w:r w:rsidRPr="006271C0">
        <w:rPr>
          <w:rStyle w:val="FootnoteReference"/>
        </w:rPr>
        <w:footnoteRef/>
      </w:r>
      <w:r w:rsidRPr="006271C0">
        <w:t xml:space="preserve"> </w:t>
      </w:r>
      <w:r w:rsidRPr="00166905">
        <w:rPr>
          <w:i/>
        </w:rPr>
        <w:t>Edward Olivares v. Martin Santos</w:t>
      </w:r>
      <w:r w:rsidRPr="006271C0">
        <w:t>, Case Number 2009CA-005214</w:t>
      </w:r>
      <w:r w:rsidR="003346B3">
        <w:t>, Emergency Motion</w:t>
      </w:r>
      <w:r w:rsidRPr="006271C0">
        <w:t xml:space="preserve"> (Fla. Cir. Ct. Feb. 15, 2012)</w:t>
      </w:r>
      <w:r w:rsidR="00F02B8E">
        <w:t xml:space="preserve"> </w:t>
      </w:r>
      <w:r w:rsidRPr="006271C0">
        <w:t>(</w:t>
      </w:r>
      <w:r w:rsidR="00F02B8E">
        <w:rPr>
          <w:i/>
        </w:rPr>
        <w:t>Olivares v. Santos</w:t>
      </w:r>
      <w:r w:rsidR="009C77D5">
        <w:t>).</w:t>
      </w:r>
    </w:p>
  </w:footnote>
  <w:footnote w:id="5">
    <w:p w:rsidR="001E1C6F" w:rsidRDefault="001E1C6F" w:rsidP="00DF2675">
      <w:pPr>
        <w:pStyle w:val="FootnoteText"/>
        <w:spacing w:before="120"/>
      </w:pPr>
      <w:r w:rsidRPr="006271C0">
        <w:rPr>
          <w:rStyle w:val="FootnoteReference"/>
        </w:rPr>
        <w:footnoteRef/>
      </w:r>
      <w:r w:rsidRPr="006271C0">
        <w:t xml:space="preserve"> </w:t>
      </w:r>
      <w:r w:rsidR="00F02B8E">
        <w:rPr>
          <w:i/>
        </w:rPr>
        <w:t xml:space="preserve">See </w:t>
      </w:r>
      <w:r w:rsidR="0078532C">
        <w:rPr>
          <w:i/>
        </w:rPr>
        <w:t>WHNR(AM), Cypress Gardens, Florida</w:t>
      </w:r>
      <w:r w:rsidRPr="006271C0">
        <w:t>, Letter</w:t>
      </w:r>
      <w:r w:rsidR="0078532C">
        <w:t xml:space="preserve"> Order</w:t>
      </w:r>
      <w:r w:rsidRPr="006271C0">
        <w:t>,</w:t>
      </w:r>
      <w:r w:rsidRPr="006271C0">
        <w:rPr>
          <w:i/>
        </w:rPr>
        <w:t xml:space="preserve"> </w:t>
      </w:r>
      <w:r w:rsidRPr="006271C0">
        <w:rPr>
          <w:iCs/>
        </w:rPr>
        <w:t>28 FCC Rcd 4550, 4550-51 (MB 2013) (</w:t>
      </w:r>
      <w:r w:rsidRPr="006271C0">
        <w:rPr>
          <w:i/>
          <w:iCs/>
        </w:rPr>
        <w:t>Reconsideration Decision</w:t>
      </w:r>
      <w:r w:rsidRPr="006271C0">
        <w:rPr>
          <w:iCs/>
        </w:rPr>
        <w:t>).</w:t>
      </w:r>
    </w:p>
  </w:footnote>
  <w:footnote w:id="6">
    <w:p w:rsidR="001E1C6F" w:rsidRPr="00F02B8E" w:rsidRDefault="001E1C6F" w:rsidP="00DF2675">
      <w:pPr>
        <w:pStyle w:val="FootnoteText"/>
        <w:spacing w:before="120"/>
      </w:pPr>
      <w:r w:rsidRPr="006271C0">
        <w:rPr>
          <w:rStyle w:val="FootnoteReference"/>
        </w:rPr>
        <w:footnoteRef/>
      </w:r>
      <w:r w:rsidRPr="006271C0">
        <w:t xml:space="preserve"> </w:t>
      </w:r>
      <w:r w:rsidR="00F02B8E">
        <w:rPr>
          <w:i/>
        </w:rPr>
        <w:t>Olivares v. Santos</w:t>
      </w:r>
      <w:r w:rsidR="00976F5C">
        <w:t>, Final Judgment (Aug. 8, 2011)</w:t>
      </w:r>
      <w:r w:rsidR="009C77D5">
        <w:t>.</w:t>
      </w:r>
    </w:p>
  </w:footnote>
  <w:footnote w:id="7">
    <w:p w:rsidR="001E1C6F" w:rsidRDefault="001E1C6F" w:rsidP="00DF2675">
      <w:pPr>
        <w:pStyle w:val="FootnoteText"/>
        <w:spacing w:before="120"/>
      </w:pPr>
      <w:r w:rsidRPr="006271C0">
        <w:rPr>
          <w:rStyle w:val="FootnoteReference"/>
        </w:rPr>
        <w:footnoteRef/>
      </w:r>
      <w:r w:rsidRPr="006271C0">
        <w:t xml:space="preserve"> File No. BAL-20110810AAB (Florida Spanish Assignment Application).  Poderosa filed a petition to deny the Florida Spanish Assignment Application on October 4, 2011.</w:t>
      </w:r>
    </w:p>
  </w:footnote>
  <w:footnote w:id="8">
    <w:p w:rsidR="001E1C6F" w:rsidRDefault="001E1C6F" w:rsidP="00DF2675">
      <w:pPr>
        <w:pStyle w:val="FootnoteText"/>
        <w:spacing w:before="120"/>
      </w:pPr>
      <w:r w:rsidRPr="006271C0">
        <w:rPr>
          <w:rStyle w:val="FootnoteReference"/>
        </w:rPr>
        <w:footnoteRef/>
      </w:r>
      <w:r w:rsidRPr="006271C0">
        <w:t xml:space="preserve"> </w:t>
      </w:r>
      <w:r w:rsidRPr="000831BD">
        <w:rPr>
          <w:i/>
        </w:rPr>
        <w:t>Martin Santos and GB Enterprises Communications, Corp, v. Carlos Guerrero and La Poderosa</w:t>
      </w:r>
      <w:r w:rsidRPr="006271C0">
        <w:t xml:space="preserve">, LLC, Case Number 53-2011 CA-001681-000-LK (Fla. Cir. Ct. Jan. 24, 2012).  </w:t>
      </w:r>
    </w:p>
  </w:footnote>
  <w:footnote w:id="9">
    <w:p w:rsidR="001E1C6F" w:rsidRDefault="001E1C6F" w:rsidP="00DF2675">
      <w:pPr>
        <w:pStyle w:val="FootnoteText"/>
        <w:spacing w:before="120"/>
      </w:pPr>
      <w:r w:rsidRPr="006271C0">
        <w:rPr>
          <w:rStyle w:val="FootnoteReference"/>
        </w:rPr>
        <w:footnoteRef/>
      </w:r>
      <w:r w:rsidRPr="006271C0">
        <w:t xml:space="preserve"> </w:t>
      </w:r>
      <w:r w:rsidRPr="006271C0">
        <w:rPr>
          <w:i/>
        </w:rPr>
        <w:t xml:space="preserve">See </w:t>
      </w:r>
      <w:r w:rsidR="00113048">
        <w:rPr>
          <w:i/>
        </w:rPr>
        <w:t>WHNR(AM), Cypress Gardens, Florida</w:t>
      </w:r>
      <w:r w:rsidR="00113048" w:rsidRPr="006271C0">
        <w:t>, Letter</w:t>
      </w:r>
      <w:r w:rsidR="00113048">
        <w:t xml:space="preserve"> Order</w:t>
      </w:r>
      <w:r w:rsidRPr="006271C0">
        <w:t xml:space="preserve">, </w:t>
      </w:r>
      <w:r w:rsidRPr="006271C0">
        <w:rPr>
          <w:iCs/>
        </w:rPr>
        <w:t>27 FCC Rcd 9048, 9051 (MB 2012) (</w:t>
      </w:r>
      <w:r w:rsidRPr="006271C0">
        <w:rPr>
          <w:i/>
          <w:iCs/>
        </w:rPr>
        <w:t>Staff Letter</w:t>
      </w:r>
      <w:r w:rsidRPr="006271C0">
        <w:rPr>
          <w:iCs/>
        </w:rPr>
        <w:t>).</w:t>
      </w:r>
    </w:p>
  </w:footnote>
  <w:footnote w:id="10">
    <w:p w:rsidR="001E1C6F" w:rsidRPr="00976F5C" w:rsidRDefault="001E1C6F" w:rsidP="00DF2675">
      <w:pPr>
        <w:pStyle w:val="FootnoteText"/>
        <w:spacing w:before="120"/>
      </w:pPr>
      <w:r w:rsidRPr="006271C0">
        <w:rPr>
          <w:rStyle w:val="FootnoteReference"/>
        </w:rPr>
        <w:footnoteRef/>
      </w:r>
      <w:r w:rsidRPr="006271C0">
        <w:t xml:space="preserve"> </w:t>
      </w:r>
      <w:r w:rsidR="00976F5C">
        <w:rPr>
          <w:i/>
        </w:rPr>
        <w:t>Olivares v. Santos</w:t>
      </w:r>
      <w:r w:rsidR="00976F5C">
        <w:t>, Order Granting Motion for Injunctive Relief and Appointment of Receiver (Feb. 16, 2012).</w:t>
      </w:r>
    </w:p>
  </w:footnote>
  <w:footnote w:id="11">
    <w:p w:rsidR="001E1C6F" w:rsidRDefault="001E1C6F" w:rsidP="00DF2675">
      <w:pPr>
        <w:pStyle w:val="FootnoteText"/>
        <w:spacing w:before="120"/>
      </w:pPr>
      <w:r w:rsidRPr="006271C0">
        <w:rPr>
          <w:rStyle w:val="FootnoteReference"/>
        </w:rPr>
        <w:footnoteRef/>
      </w:r>
      <w:r w:rsidRPr="006271C0">
        <w:t xml:space="preserve"> </w:t>
      </w:r>
      <w:r w:rsidRPr="006271C0">
        <w:rPr>
          <w:i/>
        </w:rPr>
        <w:t xml:space="preserve">See </w:t>
      </w:r>
      <w:r w:rsidRPr="006271C0">
        <w:t xml:space="preserve">File No. </w:t>
      </w:r>
      <w:r w:rsidRPr="006271C0">
        <w:rPr>
          <w:color w:val="000000"/>
        </w:rPr>
        <w:t>BAL-20120316AAP.</w:t>
      </w:r>
    </w:p>
  </w:footnote>
  <w:footnote w:id="12">
    <w:p w:rsidR="001E1C6F" w:rsidRDefault="001E1C6F" w:rsidP="00DF2675">
      <w:pPr>
        <w:pStyle w:val="FootnoteText"/>
        <w:spacing w:before="120"/>
      </w:pPr>
      <w:r w:rsidRPr="006271C0">
        <w:rPr>
          <w:rStyle w:val="FootnoteReference"/>
        </w:rPr>
        <w:footnoteRef/>
      </w:r>
      <w:r w:rsidRPr="006271C0">
        <w:t xml:space="preserve"> </w:t>
      </w:r>
      <w:r w:rsidRPr="006271C0">
        <w:rPr>
          <w:i/>
        </w:rPr>
        <w:t>Staff Letter</w:t>
      </w:r>
      <w:r w:rsidR="00104F13">
        <w:t>, 27 FCC Rcd</w:t>
      </w:r>
      <w:r w:rsidRPr="006271C0">
        <w:rPr>
          <w:i/>
        </w:rPr>
        <w:t xml:space="preserve"> </w:t>
      </w:r>
      <w:r w:rsidRPr="006271C0">
        <w:t>at 9052-53.</w:t>
      </w:r>
    </w:p>
  </w:footnote>
  <w:footnote w:id="13">
    <w:p w:rsidR="00974C9A" w:rsidRPr="00974C9A" w:rsidRDefault="00974C9A">
      <w:pPr>
        <w:pStyle w:val="FootnoteText"/>
      </w:pPr>
      <w:r>
        <w:rPr>
          <w:rStyle w:val="FootnoteReference"/>
        </w:rPr>
        <w:footnoteRef/>
      </w:r>
      <w:r>
        <w:t xml:space="preserve"> </w:t>
      </w:r>
      <w:r>
        <w:rPr>
          <w:i/>
        </w:rPr>
        <w:t>Olivares v. Santos</w:t>
      </w:r>
      <w:r>
        <w:t xml:space="preserve">, </w:t>
      </w:r>
      <w:r w:rsidR="00C02D23">
        <w:t xml:space="preserve">Order of Proceedings Supplementary (June 12, 2012). </w:t>
      </w:r>
    </w:p>
  </w:footnote>
  <w:footnote w:id="14">
    <w:p w:rsidR="001E1C6F" w:rsidRDefault="001E1C6F" w:rsidP="00DF2675">
      <w:pPr>
        <w:pStyle w:val="FootnoteText"/>
        <w:spacing w:before="120"/>
      </w:pPr>
      <w:r w:rsidRPr="006271C0">
        <w:rPr>
          <w:rStyle w:val="FootnoteReference"/>
        </w:rPr>
        <w:footnoteRef/>
      </w:r>
      <w:r w:rsidRPr="006271C0">
        <w:t xml:space="preserve"> Poderosa Petition for Reconsideration at 3 (explaining that the difference between an assignment and a transfer of control was a “critical one” in terms of Poderosa’s ability as a creditor to collect on a debt secured against GB’s corporate assets).</w:t>
      </w:r>
    </w:p>
  </w:footnote>
  <w:footnote w:id="15">
    <w:p w:rsidR="001E1C6F" w:rsidRDefault="001E1C6F" w:rsidP="00DF2675">
      <w:pPr>
        <w:pStyle w:val="FootnoteText"/>
      </w:pPr>
      <w:r>
        <w:rPr>
          <w:rStyle w:val="FootnoteReference"/>
        </w:rPr>
        <w:footnoteRef/>
      </w:r>
      <w:r>
        <w:t xml:space="preserve"> </w:t>
      </w:r>
      <w:r w:rsidR="00AC23E5">
        <w:rPr>
          <w:i/>
        </w:rPr>
        <w:t>Olivares v. Santos</w:t>
      </w:r>
      <w:r>
        <w:t>,</w:t>
      </w:r>
      <w:r w:rsidRPr="006271C0">
        <w:t xml:space="preserve"> Order Denying Intervenors’ Verified Emergency Motion to Intervene, to Set Aside Appointment of Receiver and for Expedited Hearing and Granting Receiver’s Request for Guidance on Certain Issues Pursuant to the Supplemental Update to Statement of Position of Receiver as to All Pending Issues </w:t>
      </w:r>
      <w:r w:rsidR="00681802">
        <w:t>(</w:t>
      </w:r>
      <w:r w:rsidRPr="006271C0">
        <w:t>June 20, 2013) (Guidance Order)</w:t>
      </w:r>
      <w:r>
        <w:t xml:space="preserve"> at 2</w:t>
      </w:r>
      <w:r w:rsidRPr="006271C0">
        <w:t>.</w:t>
      </w:r>
      <w:r>
        <w:t xml:space="preserve"> </w:t>
      </w:r>
    </w:p>
  </w:footnote>
  <w:footnote w:id="16">
    <w:p w:rsidR="001E1C6F" w:rsidRDefault="001E1C6F" w:rsidP="00DF2675">
      <w:pPr>
        <w:pStyle w:val="FootnoteText"/>
        <w:spacing w:before="120"/>
      </w:pPr>
      <w:r w:rsidRPr="006271C0">
        <w:rPr>
          <w:rStyle w:val="FootnoteReference"/>
        </w:rPr>
        <w:footnoteRef/>
      </w:r>
      <w:r w:rsidRPr="006271C0">
        <w:t xml:space="preserve"> Opposition at 8, n.11</w:t>
      </w:r>
      <w:r>
        <w:t>;</w:t>
      </w:r>
      <w:r w:rsidRPr="007C0EB8">
        <w:t xml:space="preserve"> </w:t>
      </w:r>
      <w:r w:rsidRPr="006271C0">
        <w:t>Transfer Application, Exhibit 1, n.1.</w:t>
      </w:r>
    </w:p>
  </w:footnote>
  <w:footnote w:id="17">
    <w:p w:rsidR="00166905" w:rsidRPr="0084338D" w:rsidRDefault="00166905">
      <w:pPr>
        <w:pStyle w:val="FootnoteText"/>
      </w:pPr>
      <w:r>
        <w:rPr>
          <w:rStyle w:val="FootnoteReference"/>
        </w:rPr>
        <w:footnoteRef/>
      </w:r>
      <w:r>
        <w:t xml:space="preserve"> </w:t>
      </w:r>
      <w:r>
        <w:rPr>
          <w:i/>
        </w:rPr>
        <w:t>See</w:t>
      </w:r>
      <w:r w:rsidR="00F76938">
        <w:rPr>
          <w:i/>
        </w:rPr>
        <w:t xml:space="preserve"> also</w:t>
      </w:r>
      <w:r>
        <w:rPr>
          <w:i/>
        </w:rPr>
        <w:t xml:space="preserve"> infra</w:t>
      </w:r>
      <w:r>
        <w:t xml:space="preserve">, </w:t>
      </w:r>
      <w:r w:rsidR="00CA0BDC">
        <w:t>para.</w:t>
      </w:r>
      <w:r w:rsidRPr="00A246E8">
        <w:t xml:space="preserve"> 6.</w:t>
      </w:r>
      <w:r w:rsidR="00A31F83">
        <w:t xml:space="preserve">  </w:t>
      </w:r>
    </w:p>
  </w:footnote>
  <w:footnote w:id="18">
    <w:p w:rsidR="001E1C6F" w:rsidRDefault="001E1C6F" w:rsidP="00DF2675">
      <w:pPr>
        <w:pStyle w:val="FootnoteText"/>
        <w:spacing w:before="120"/>
      </w:pPr>
      <w:r w:rsidRPr="006271C0">
        <w:rPr>
          <w:rStyle w:val="FootnoteReference"/>
        </w:rPr>
        <w:footnoteRef/>
      </w:r>
      <w:r w:rsidRPr="006271C0">
        <w:t xml:space="preserve"> </w:t>
      </w:r>
      <w:r w:rsidRPr="006271C0">
        <w:rPr>
          <w:i/>
        </w:rPr>
        <w:t>Reconsideration Decision</w:t>
      </w:r>
      <w:r w:rsidR="00166905">
        <w:t xml:space="preserve">, </w:t>
      </w:r>
      <w:r w:rsidR="00166905" w:rsidRPr="006271C0">
        <w:rPr>
          <w:iCs/>
        </w:rPr>
        <w:t>28 FCC Rcd</w:t>
      </w:r>
      <w:r w:rsidRPr="006271C0">
        <w:rPr>
          <w:iCs/>
        </w:rPr>
        <w:t xml:space="preserve"> at 4552.</w:t>
      </w:r>
    </w:p>
  </w:footnote>
  <w:footnote w:id="19">
    <w:p w:rsidR="001E1C6F" w:rsidRPr="00974C9A" w:rsidRDefault="001E1C6F" w:rsidP="00DF2675">
      <w:pPr>
        <w:pStyle w:val="FootnoteText"/>
        <w:spacing w:before="120"/>
      </w:pPr>
      <w:r w:rsidRPr="006271C0">
        <w:rPr>
          <w:rStyle w:val="FootnoteReference"/>
        </w:rPr>
        <w:footnoteRef/>
      </w:r>
      <w:r w:rsidRPr="006271C0">
        <w:t xml:space="preserve"> </w:t>
      </w:r>
      <w:r w:rsidRPr="006271C0">
        <w:rPr>
          <w:i/>
        </w:rPr>
        <w:t>Reconsideration Decision</w:t>
      </w:r>
      <w:r w:rsidR="00166905">
        <w:t xml:space="preserve">, </w:t>
      </w:r>
      <w:r w:rsidR="00166905" w:rsidRPr="006271C0">
        <w:rPr>
          <w:iCs/>
        </w:rPr>
        <w:t>28 FCC Rcd</w:t>
      </w:r>
      <w:r w:rsidRPr="006271C0">
        <w:rPr>
          <w:iCs/>
        </w:rPr>
        <w:t xml:space="preserve"> at 4552-53; </w:t>
      </w:r>
      <w:r w:rsidR="007F2BC2">
        <w:rPr>
          <w:i/>
          <w:iCs/>
        </w:rPr>
        <w:t xml:space="preserve">see </w:t>
      </w:r>
      <w:r w:rsidRPr="006271C0">
        <w:rPr>
          <w:iCs/>
        </w:rPr>
        <w:t xml:space="preserve">47 </w:t>
      </w:r>
      <w:r w:rsidR="0022416F">
        <w:rPr>
          <w:iCs/>
        </w:rPr>
        <w:t>CFR</w:t>
      </w:r>
      <w:r w:rsidR="00D22819">
        <w:rPr>
          <w:iCs/>
        </w:rPr>
        <w:t xml:space="preserve"> § 1.65.  On April 16, 2013</w:t>
      </w:r>
      <w:r w:rsidRPr="006271C0">
        <w:rPr>
          <w:iCs/>
        </w:rPr>
        <w:t>, Reed filed a Petition for Partial Reconsideration of this admonishment, which the Bureau denied on December 12, 2013.</w:t>
      </w:r>
      <w:r w:rsidR="00974C9A">
        <w:rPr>
          <w:iCs/>
        </w:rPr>
        <w:t xml:space="preserve">  </w:t>
      </w:r>
      <w:r w:rsidR="00974C9A">
        <w:rPr>
          <w:i/>
          <w:iCs/>
        </w:rPr>
        <w:t xml:space="preserve">See </w:t>
      </w:r>
      <w:r w:rsidR="00113048">
        <w:rPr>
          <w:i/>
        </w:rPr>
        <w:t>WHNR(AM), Cypress Gardens, Florida</w:t>
      </w:r>
      <w:r w:rsidR="00113048" w:rsidRPr="006271C0">
        <w:t>, Letter</w:t>
      </w:r>
      <w:r w:rsidR="00113048">
        <w:t xml:space="preserve"> Order</w:t>
      </w:r>
      <w:r w:rsidR="00974C9A">
        <w:rPr>
          <w:iCs/>
        </w:rPr>
        <w:t>, 28 FCC Rcd 16553 (MB 2013)</w:t>
      </w:r>
      <w:r w:rsidR="00F36315">
        <w:rPr>
          <w:iCs/>
        </w:rPr>
        <w:t xml:space="preserve"> (</w:t>
      </w:r>
      <w:r w:rsidR="00F36315" w:rsidRPr="00F36315">
        <w:rPr>
          <w:i/>
          <w:iCs/>
        </w:rPr>
        <w:t>Admonishment Decision</w:t>
      </w:r>
      <w:r w:rsidR="00F36315">
        <w:rPr>
          <w:iCs/>
        </w:rPr>
        <w:t>)</w:t>
      </w:r>
      <w:r w:rsidR="00974C9A">
        <w:rPr>
          <w:iCs/>
        </w:rPr>
        <w:t>.</w:t>
      </w:r>
    </w:p>
  </w:footnote>
  <w:footnote w:id="20">
    <w:p w:rsidR="001E1C6F" w:rsidRDefault="001E1C6F" w:rsidP="00DF2675">
      <w:pPr>
        <w:pStyle w:val="FootnoteText"/>
        <w:spacing w:before="120"/>
      </w:pPr>
      <w:r w:rsidRPr="006271C0">
        <w:rPr>
          <w:rStyle w:val="FootnoteReference"/>
        </w:rPr>
        <w:footnoteRef/>
      </w:r>
      <w:r w:rsidRPr="006271C0">
        <w:t xml:space="preserve"> </w:t>
      </w:r>
      <w:r w:rsidRPr="006271C0">
        <w:rPr>
          <w:i/>
        </w:rPr>
        <w:t>Reconsideration Decision</w:t>
      </w:r>
      <w:r w:rsidRPr="006271C0">
        <w:t>, 28 FCC Rcd at 4552, n.19.</w:t>
      </w:r>
    </w:p>
  </w:footnote>
  <w:footnote w:id="21">
    <w:p w:rsidR="001E1C6F" w:rsidRDefault="001E1C6F" w:rsidP="00DF2675">
      <w:pPr>
        <w:pStyle w:val="FootnoteText"/>
        <w:spacing w:before="120"/>
      </w:pPr>
      <w:r w:rsidRPr="006271C0">
        <w:rPr>
          <w:rStyle w:val="FootnoteReference"/>
        </w:rPr>
        <w:footnoteRef/>
      </w:r>
      <w:r w:rsidRPr="006271C0">
        <w:t xml:space="preserve"> </w:t>
      </w:r>
      <w:r>
        <w:t>Guidance Order</w:t>
      </w:r>
      <w:r w:rsidRPr="006271C0">
        <w:t>, Ordering Claus</w:t>
      </w:r>
      <w:r>
        <w:t>es, para. 3.a</w:t>
      </w:r>
      <w:r w:rsidRPr="006271C0">
        <w:t>.</w:t>
      </w:r>
    </w:p>
  </w:footnote>
  <w:footnote w:id="22">
    <w:p w:rsidR="001E1C6F" w:rsidRDefault="001E1C6F" w:rsidP="00DF2675">
      <w:pPr>
        <w:pStyle w:val="FootnoteText"/>
        <w:spacing w:before="120"/>
      </w:pPr>
      <w:r w:rsidRPr="006271C0">
        <w:rPr>
          <w:rStyle w:val="FootnoteReference"/>
        </w:rPr>
        <w:footnoteRef/>
      </w:r>
      <w:r w:rsidRPr="006271C0">
        <w:t xml:space="preserve"> </w:t>
      </w:r>
      <w:r w:rsidRPr="006271C0">
        <w:rPr>
          <w:i/>
        </w:rPr>
        <w:t>Id</w:t>
      </w:r>
      <w:r w:rsidRPr="006271C0">
        <w:t>.</w:t>
      </w:r>
      <w:r w:rsidRPr="006271C0">
        <w:rPr>
          <w:color w:val="000000"/>
        </w:rPr>
        <w:t xml:space="preserve"> </w:t>
      </w:r>
    </w:p>
  </w:footnote>
  <w:footnote w:id="23">
    <w:p w:rsidR="001E1C6F" w:rsidRDefault="001E1C6F" w:rsidP="00DF2675">
      <w:pPr>
        <w:pStyle w:val="FootnoteText"/>
        <w:spacing w:before="120"/>
      </w:pPr>
      <w:r w:rsidRPr="006271C0">
        <w:rPr>
          <w:rStyle w:val="FootnoteReference"/>
        </w:rPr>
        <w:footnoteRef/>
      </w:r>
      <w:r w:rsidRPr="006271C0">
        <w:t xml:space="preserve"> File No. BTC-20130628AAD.  The Transfer Application was granted on July 31, 2013. </w:t>
      </w:r>
    </w:p>
  </w:footnote>
  <w:footnote w:id="24">
    <w:p w:rsidR="001E1C6F" w:rsidRDefault="001E1C6F" w:rsidP="00DF2675">
      <w:pPr>
        <w:pStyle w:val="FootnoteText"/>
        <w:spacing w:before="120"/>
      </w:pPr>
      <w:r w:rsidRPr="006271C0">
        <w:rPr>
          <w:rStyle w:val="FootnoteReference"/>
        </w:rPr>
        <w:footnoteRef/>
      </w:r>
      <w:r w:rsidRPr="006271C0">
        <w:t xml:space="preserve"> Transfer Application, Exhibit 6, n.1; (stating that the information </w:t>
      </w:r>
      <w:r>
        <w:t>had also been</w:t>
      </w:r>
      <w:r w:rsidR="00F36315">
        <w:t xml:space="preserve"> disclosed in the</w:t>
      </w:r>
      <w:r w:rsidRPr="006271C0">
        <w:rPr>
          <w:color w:val="000000"/>
        </w:rPr>
        <w:t xml:space="preserve"> April 16, 2013, Petition for Partial Reconsideration of the </w:t>
      </w:r>
      <w:r w:rsidRPr="006271C0">
        <w:rPr>
          <w:i/>
          <w:color w:val="000000"/>
        </w:rPr>
        <w:t>Reconsideration Decision</w:t>
      </w:r>
      <w:r w:rsidR="00F36315">
        <w:rPr>
          <w:color w:val="000000"/>
        </w:rPr>
        <w:t>)</w:t>
      </w:r>
      <w:r w:rsidRPr="006271C0">
        <w:rPr>
          <w:color w:val="000000"/>
        </w:rPr>
        <w:t xml:space="preserve">. </w:t>
      </w:r>
    </w:p>
  </w:footnote>
  <w:footnote w:id="25">
    <w:p w:rsidR="001E1C6F" w:rsidRDefault="001E1C6F" w:rsidP="00DF2675">
      <w:pPr>
        <w:pStyle w:val="FootnoteText"/>
        <w:spacing w:before="120"/>
      </w:pPr>
      <w:r w:rsidRPr="006271C0">
        <w:rPr>
          <w:rStyle w:val="FootnoteReference"/>
        </w:rPr>
        <w:footnoteRef/>
      </w:r>
      <w:r w:rsidRPr="006271C0">
        <w:t xml:space="preserve"> </w:t>
      </w:r>
      <w:r w:rsidRPr="006271C0">
        <w:rPr>
          <w:i/>
        </w:rPr>
        <w:t>Id</w:t>
      </w:r>
      <w:r w:rsidRPr="006271C0">
        <w:t>.</w:t>
      </w:r>
    </w:p>
  </w:footnote>
  <w:footnote w:id="26">
    <w:p w:rsidR="001E1C6F" w:rsidRDefault="001E1C6F" w:rsidP="00DF2675">
      <w:pPr>
        <w:pStyle w:val="FootnoteText"/>
      </w:pPr>
      <w:r>
        <w:rPr>
          <w:rStyle w:val="FootnoteReference"/>
        </w:rPr>
        <w:footnoteRef/>
      </w:r>
      <w:r>
        <w:t xml:space="preserve"> In the LOI Response, Reed explains that he filed the CATCO Assignment Application, a year later, “instead of an application to tra</w:t>
      </w:r>
      <w:r w:rsidR="0049032D">
        <w:t>nsfer control of GB to Olivares.</w:t>
      </w:r>
      <w:r>
        <w:t>”  LOI Response at 5.</w:t>
      </w:r>
    </w:p>
  </w:footnote>
  <w:footnote w:id="27">
    <w:p w:rsidR="001E1C6F" w:rsidRDefault="001E1C6F" w:rsidP="00DF2675">
      <w:pPr>
        <w:pStyle w:val="FootnoteText"/>
        <w:spacing w:before="120"/>
      </w:pPr>
      <w:r w:rsidRPr="006271C0">
        <w:rPr>
          <w:rStyle w:val="FootnoteReference"/>
        </w:rPr>
        <w:footnoteRef/>
      </w:r>
      <w:r w:rsidRPr="006271C0">
        <w:t xml:space="preserve"> Opposition at 7 (</w:t>
      </w:r>
      <w:r w:rsidRPr="006271C0">
        <w:rPr>
          <w:color w:val="000000"/>
        </w:rPr>
        <w:t>“Reed, as Receiver, has not relinquished control of GB or the Station’s license”)</w:t>
      </w:r>
      <w:r w:rsidRPr="006271C0">
        <w:t>.</w:t>
      </w:r>
    </w:p>
  </w:footnote>
  <w:footnote w:id="28">
    <w:p w:rsidR="001E1C6F" w:rsidRDefault="001E1C6F" w:rsidP="00DF2675">
      <w:pPr>
        <w:pStyle w:val="FootnoteText"/>
        <w:spacing w:before="120"/>
      </w:pPr>
      <w:r w:rsidRPr="006271C0">
        <w:rPr>
          <w:rStyle w:val="FootnoteReference"/>
        </w:rPr>
        <w:footnoteRef/>
      </w:r>
      <w:r w:rsidRPr="006271C0">
        <w:t xml:space="preserve"> Opposition at 13 (stating that Reed “initiated discussions with Olivares, GB’s sole stockholder, about the parameters of any transaction that would involve a transfer of control of GB and the Station license . . . Olivares was not able to come to satisfactory financial terms with the Receiver.”); Guidance Order at 2 (“[Reed] expressed concern that relinquishing control of GB and its stock and assets would risk non-satis</w:t>
      </w:r>
      <w:r>
        <w:t>faction of [Reed’s] unpaid oblig</w:t>
      </w:r>
      <w:r w:rsidRPr="006271C0">
        <w:t>ations.”)</w:t>
      </w:r>
    </w:p>
  </w:footnote>
  <w:footnote w:id="29">
    <w:p w:rsidR="001E1C6F" w:rsidRDefault="001E1C6F" w:rsidP="00DF2675">
      <w:pPr>
        <w:pStyle w:val="FootnoteText"/>
      </w:pPr>
      <w:r>
        <w:rPr>
          <w:rStyle w:val="FootnoteReference"/>
        </w:rPr>
        <w:footnoteRef/>
      </w:r>
      <w:r>
        <w:t xml:space="preserve"> CATCO Assignment Application, Exhibit 5, Assignment and Assumption Agreement at 1, 3. </w:t>
      </w:r>
      <w:r w:rsidRPr="006271C0">
        <w:t xml:space="preserve"> </w:t>
      </w:r>
    </w:p>
  </w:footnote>
  <w:footnote w:id="30">
    <w:p w:rsidR="00F82BE6" w:rsidRDefault="00F82BE6">
      <w:pPr>
        <w:pStyle w:val="FootnoteText"/>
      </w:pPr>
      <w:r>
        <w:rPr>
          <w:rStyle w:val="FootnoteReference"/>
        </w:rPr>
        <w:footnoteRef/>
      </w:r>
      <w:r>
        <w:t xml:space="preserve"> Opposition at 12</w:t>
      </w:r>
      <w:r w:rsidR="008D367A">
        <w:t>-13</w:t>
      </w:r>
      <w:r>
        <w:t>.</w:t>
      </w:r>
    </w:p>
  </w:footnote>
  <w:footnote w:id="31">
    <w:p w:rsidR="001E1C6F" w:rsidRPr="009D4F6A" w:rsidRDefault="001E1C6F" w:rsidP="00CF7F86">
      <w:pPr>
        <w:rPr>
          <w:color w:val="000000"/>
          <w:szCs w:val="22"/>
        </w:rPr>
      </w:pPr>
      <w:r w:rsidRPr="006271C0">
        <w:rPr>
          <w:rStyle w:val="FootnoteReference"/>
        </w:rPr>
        <w:footnoteRef/>
      </w:r>
      <w:r w:rsidRPr="006271C0">
        <w:t xml:space="preserve"> </w:t>
      </w:r>
      <w:r w:rsidRPr="00CF7F86">
        <w:rPr>
          <w:snapToGrid/>
          <w:kern w:val="0"/>
          <w:sz w:val="20"/>
        </w:rPr>
        <w:t xml:space="preserve">CATCO Assignment Application, Exhibit 5, Stipulation for Entry of Order Approving Settlement, at 2-3 (Stipulation);  CATCO Assignment Application, Exhibit 5, Settlement Agreement at 8 (Settlement Agreement).  </w:t>
      </w:r>
    </w:p>
  </w:footnote>
  <w:footnote w:id="32">
    <w:p w:rsidR="001E1C6F" w:rsidRDefault="001E1C6F" w:rsidP="00DF2675">
      <w:pPr>
        <w:pStyle w:val="FootnoteText"/>
        <w:spacing w:before="120"/>
      </w:pPr>
      <w:r w:rsidRPr="006271C0">
        <w:rPr>
          <w:rStyle w:val="FootnoteReference"/>
        </w:rPr>
        <w:footnoteRef/>
      </w:r>
      <w:r>
        <w:t xml:space="preserve"> Settlement Agreement at 7-8</w:t>
      </w:r>
      <w:r w:rsidRPr="006271C0">
        <w:t xml:space="preserve">. </w:t>
      </w:r>
    </w:p>
  </w:footnote>
  <w:footnote w:id="33">
    <w:p w:rsidR="00206919" w:rsidRDefault="00206919">
      <w:pPr>
        <w:pStyle w:val="FootnoteText"/>
      </w:pPr>
      <w:r>
        <w:rPr>
          <w:rStyle w:val="FootnoteReference"/>
        </w:rPr>
        <w:footnoteRef/>
      </w:r>
      <w:r>
        <w:t xml:space="preserve"> Thomas Saunders, a managing member of CATCO, was counsel to Olivares in the Olivares Judgment proceeding.</w:t>
      </w:r>
    </w:p>
  </w:footnote>
  <w:footnote w:id="34">
    <w:p w:rsidR="001E1C6F" w:rsidRDefault="001E1C6F" w:rsidP="00DF2675">
      <w:pPr>
        <w:pStyle w:val="FootnoteText"/>
        <w:spacing w:before="120"/>
      </w:pPr>
      <w:r w:rsidRPr="006271C0">
        <w:rPr>
          <w:rStyle w:val="FootnoteReference"/>
        </w:rPr>
        <w:footnoteRef/>
      </w:r>
      <w:r w:rsidRPr="006271C0">
        <w:t xml:space="preserve"> </w:t>
      </w:r>
      <w:r>
        <w:t xml:space="preserve">CATCO Assignment Application, Exhibit 5, Assignment and Assumption Agreement at 1. </w:t>
      </w:r>
      <w:r w:rsidRPr="006271C0">
        <w:t xml:space="preserve"> </w:t>
      </w:r>
      <w:r w:rsidR="00851438">
        <w:t>The p</w:t>
      </w:r>
      <w:r w:rsidR="0097787B">
        <w:t>arties also entered into an Amended Settlement Agreement and Assignment of Rights “made effective as of February 10, 2014,” that separately settled Olivares’ debt to Saunders Law Group, LLC, in return for the assignment of certain remaining claims aga</w:t>
      </w:r>
      <w:r w:rsidR="00BB4A22">
        <w:t>inst third parties to TAACO</w:t>
      </w:r>
      <w:r w:rsidR="0097787B">
        <w:t>.</w:t>
      </w:r>
      <w:r w:rsidR="0024494B">
        <w:t xml:space="preserve"> </w:t>
      </w:r>
    </w:p>
  </w:footnote>
  <w:footnote w:id="35">
    <w:p w:rsidR="008C0201" w:rsidRDefault="008C0201">
      <w:pPr>
        <w:pStyle w:val="FootnoteText"/>
      </w:pPr>
      <w:r>
        <w:rPr>
          <w:rStyle w:val="FootnoteReference"/>
        </w:rPr>
        <w:footnoteRef/>
      </w:r>
      <w:r>
        <w:t xml:space="preserve"> Petition to Deny at 14 and Exhibit 7</w:t>
      </w:r>
      <w:r w:rsidR="00191218">
        <w:t>.</w:t>
      </w:r>
    </w:p>
  </w:footnote>
  <w:footnote w:id="36">
    <w:p w:rsidR="001E1C6F" w:rsidRDefault="001E1C6F" w:rsidP="00DF2675">
      <w:pPr>
        <w:pStyle w:val="FootnoteText"/>
        <w:spacing w:before="120"/>
      </w:pPr>
      <w:r w:rsidRPr="006271C0">
        <w:rPr>
          <w:rStyle w:val="FootnoteReference"/>
        </w:rPr>
        <w:footnoteRef/>
      </w:r>
      <w:r w:rsidRPr="006271C0">
        <w:t xml:space="preserve"> To support its allegation that CATCO and Olivares assumed premature control of the Station, Poderosa appends a copy of a letter from Olivares’ counsel implying that Olivares, as sole shareholder, controls GB.  Petition to Deny, Exhibit 1, “Exh 8 Ltr Asserting Olivares (not R</w:t>
      </w:r>
      <w:r>
        <w:t>eceiver) controlled GBE re TBA.”</w:t>
      </w:r>
      <w:r w:rsidRPr="006271C0">
        <w:t xml:space="preserve"> </w:t>
      </w:r>
    </w:p>
  </w:footnote>
  <w:footnote w:id="37">
    <w:p w:rsidR="008C0201" w:rsidRPr="008C0201" w:rsidRDefault="008C0201">
      <w:pPr>
        <w:pStyle w:val="FootnoteText"/>
      </w:pPr>
      <w:r>
        <w:rPr>
          <w:rStyle w:val="FootnoteReference"/>
        </w:rPr>
        <w:footnoteRef/>
      </w:r>
      <w:r>
        <w:t xml:space="preserve"> Petition to Deny at 9-10</w:t>
      </w:r>
      <w:r w:rsidR="00962987">
        <w:t>,</w:t>
      </w:r>
      <w:r w:rsidR="00745EBB">
        <w:t xml:space="preserve"> </w:t>
      </w:r>
      <w:r>
        <w:t>Exhibit 1</w:t>
      </w:r>
      <w:r w:rsidR="00962987">
        <w:t>.</w:t>
      </w:r>
    </w:p>
  </w:footnote>
  <w:footnote w:id="38">
    <w:p w:rsidR="001E1C6F" w:rsidRDefault="001E1C6F" w:rsidP="00DF2675">
      <w:pPr>
        <w:pStyle w:val="FootnoteText"/>
        <w:spacing w:before="120"/>
      </w:pPr>
      <w:r w:rsidRPr="006271C0">
        <w:rPr>
          <w:rStyle w:val="FootnoteReference"/>
        </w:rPr>
        <w:footnoteRef/>
      </w:r>
      <w:r w:rsidRPr="006271C0">
        <w:t xml:space="preserve"> Opposition at 6-7.</w:t>
      </w:r>
    </w:p>
  </w:footnote>
  <w:footnote w:id="39">
    <w:p w:rsidR="001E1C6F" w:rsidRDefault="001E1C6F" w:rsidP="00DF2675">
      <w:pPr>
        <w:pStyle w:val="FootnoteText"/>
        <w:spacing w:before="120"/>
      </w:pPr>
      <w:r w:rsidRPr="006271C0">
        <w:rPr>
          <w:rStyle w:val="FootnoteReference"/>
        </w:rPr>
        <w:footnoteRef/>
      </w:r>
      <w:r w:rsidRPr="006271C0">
        <w:t xml:space="preserve"> Opposition at 8.</w:t>
      </w:r>
    </w:p>
  </w:footnote>
  <w:footnote w:id="40">
    <w:p w:rsidR="001E1C6F" w:rsidRDefault="001E1C6F" w:rsidP="00DF2675">
      <w:pPr>
        <w:pStyle w:val="FootnoteText"/>
        <w:spacing w:before="120"/>
      </w:pPr>
      <w:r w:rsidRPr="006271C0">
        <w:rPr>
          <w:rStyle w:val="FootnoteReference"/>
        </w:rPr>
        <w:footnoteRef/>
      </w:r>
      <w:r w:rsidR="001C7CF2">
        <w:t xml:space="preserve"> </w:t>
      </w:r>
      <w:r w:rsidR="001C7CF2">
        <w:rPr>
          <w:i/>
        </w:rPr>
        <w:t>Id.</w:t>
      </w:r>
      <w:r w:rsidRPr="006271C0">
        <w:t xml:space="preserve"> at 9-10, 14-15.</w:t>
      </w:r>
    </w:p>
  </w:footnote>
  <w:footnote w:id="41">
    <w:p w:rsidR="001E1C6F" w:rsidRPr="006271C0" w:rsidRDefault="001E1C6F" w:rsidP="00CF7F86">
      <w:pPr>
        <w:pStyle w:val="FootnoteText"/>
        <w:spacing w:before="120"/>
      </w:pPr>
      <w:r w:rsidRPr="006271C0">
        <w:rPr>
          <w:rStyle w:val="FootnoteReference"/>
        </w:rPr>
        <w:footnoteRef/>
      </w:r>
      <w:r w:rsidRPr="006271C0">
        <w:t xml:space="preserve"> 47 </w:t>
      </w:r>
      <w:r w:rsidR="0022416F">
        <w:t>CFR</w:t>
      </w:r>
      <w:r w:rsidRPr="006271C0">
        <w:t xml:space="preserve"> § 73.3584(a).</w:t>
      </w:r>
    </w:p>
  </w:footnote>
  <w:footnote w:id="42">
    <w:p w:rsidR="001E1C6F" w:rsidRPr="006271C0" w:rsidRDefault="001E1C6F" w:rsidP="00CF7F86">
      <w:pPr>
        <w:pStyle w:val="FootnoteText"/>
        <w:spacing w:before="120"/>
      </w:pPr>
      <w:r w:rsidRPr="006271C0">
        <w:rPr>
          <w:rStyle w:val="FootnoteReference"/>
        </w:rPr>
        <w:footnoteRef/>
      </w:r>
      <w:r w:rsidRPr="006271C0">
        <w:t xml:space="preserve"> </w:t>
      </w:r>
      <w:r w:rsidRPr="006271C0">
        <w:rPr>
          <w:i/>
        </w:rPr>
        <w:t>Broadcast Applications</w:t>
      </w:r>
      <w:r w:rsidRPr="006271C0">
        <w:t>, Public Notice, Report No. 28312 (Aug. 27, 2014).</w:t>
      </w:r>
    </w:p>
  </w:footnote>
  <w:footnote w:id="43">
    <w:p w:rsidR="001E1C6F" w:rsidRPr="006271C0" w:rsidRDefault="001E1C6F" w:rsidP="00CF7F86">
      <w:pPr>
        <w:pStyle w:val="FootnoteText"/>
        <w:spacing w:before="120"/>
      </w:pPr>
      <w:r w:rsidRPr="006271C0">
        <w:rPr>
          <w:rStyle w:val="FootnoteReference"/>
        </w:rPr>
        <w:footnoteRef/>
      </w:r>
      <w:r w:rsidRPr="006271C0">
        <w:t xml:space="preserve"> 47 </w:t>
      </w:r>
      <w:r w:rsidR="0022416F">
        <w:t>CFR</w:t>
      </w:r>
      <w:r w:rsidRPr="006271C0">
        <w:t xml:space="preserve"> § 73.3587.</w:t>
      </w:r>
    </w:p>
  </w:footnote>
  <w:footnote w:id="44">
    <w:p w:rsidR="001E1C6F" w:rsidRPr="006271C0" w:rsidRDefault="001E1C6F" w:rsidP="00A6640A">
      <w:pPr>
        <w:pStyle w:val="FootnoteText"/>
        <w:spacing w:before="120"/>
      </w:pPr>
      <w:r w:rsidRPr="006271C0">
        <w:rPr>
          <w:rStyle w:val="FootnoteReference"/>
        </w:rPr>
        <w:footnoteRef/>
      </w:r>
      <w:r w:rsidRPr="006271C0">
        <w:t xml:space="preserve"> </w:t>
      </w:r>
      <w:r w:rsidRPr="006271C0">
        <w:rPr>
          <w:i/>
        </w:rPr>
        <w:t>See, e.g.</w:t>
      </w:r>
      <w:r w:rsidRPr="006271C0">
        <w:t xml:space="preserve">, </w:t>
      </w:r>
      <w:r w:rsidRPr="006271C0">
        <w:rPr>
          <w:i/>
        </w:rPr>
        <w:t>WWOR-TV, Inc.,</w:t>
      </w:r>
      <w:r w:rsidRPr="006271C0">
        <w:t xml:space="preserve"> Memorandum Opinion and Order, </w:t>
      </w:r>
      <w:hyperlink r:id="rId1" w:tgtFrame="_top" w:history="1">
        <w:r w:rsidR="00676759" w:rsidRPr="00676759">
          <w:rPr>
            <w:rStyle w:val="Hyperlink"/>
            <w:snapToGrid w:val="0"/>
            <w:kern w:val="28"/>
            <w:sz w:val="22"/>
          </w:rPr>
          <w:t>http://telecomlaw.bna.com/terc/display/link_res.adp?fedfid=27792279&amp;fname=fccrcd_6_193&amp;vname=comrgdec</w:t>
        </w:r>
      </w:hyperlink>
      <w:bookmarkStart w:id="1" w:name="ctx3"/>
      <w:bookmarkEnd w:id="1"/>
      <w:r w:rsidR="003E2E4D" w:rsidRPr="006271C0">
        <w:rPr>
          <w:noProof/>
        </w:rPr>
        <w:drawing>
          <wp:inline distT="0" distB="0" distL="0" distR="0" wp14:anchorId="0256842E" wp14:editId="4C199B3F">
            <wp:extent cx="9525" cy="9525"/>
            <wp:effectExtent l="0" t="0" r="0" b="0"/>
            <wp:docPr id="5" name="Picture 1" descr="previous hit">
              <a:hlinkClick xmlns:a="http://schemas.openxmlformats.org/drawingml/2006/main" r:id="rId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2" w:name="a0d4k3v3r9"/>
      <w:r w:rsidRPr="006271C0">
        <w:t>6 FCC Rcd 193</w:t>
      </w:r>
      <w:r w:rsidR="003E2E4D" w:rsidRPr="006271C0">
        <w:rPr>
          <w:noProof/>
        </w:rPr>
        <w:drawing>
          <wp:inline distT="0" distB="0" distL="0" distR="0" wp14:anchorId="0D65A51F" wp14:editId="0F7C4997">
            <wp:extent cx="9525" cy="9525"/>
            <wp:effectExtent l="0" t="0" r="0" b="0"/>
            <wp:docPr id="6" name="Picture 2" descr="next hit">
              <a:hlinkClick xmlns:a="http://schemas.openxmlformats.org/drawingml/2006/main"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5" w:tgtFrame="_top" w:history="1">
        <w:r w:rsidR="00676759" w:rsidRPr="00676759">
          <w:rPr>
            <w:rStyle w:val="Hyperlink"/>
            <w:snapToGrid w:val="0"/>
            <w:kern w:val="28"/>
            <w:sz w:val="22"/>
          </w:rPr>
          <w:t>http://telecomlaw.bna.com/terc/display/link_res.adp?fedfid=27792279&amp;fname=fccrcd_6_193&amp;vname=comrgdec</w:t>
        </w:r>
      </w:hyperlink>
      <w:r w:rsidRPr="006271C0">
        <w:t>, 197 n.10 (1990)</w:t>
      </w:r>
      <w:bookmarkEnd w:id="2"/>
      <w:r w:rsidR="001C7CF2">
        <w:t>.</w:t>
      </w:r>
    </w:p>
  </w:footnote>
  <w:footnote w:id="45">
    <w:p w:rsidR="001E1C6F" w:rsidRDefault="001E1C6F" w:rsidP="00A6640A">
      <w:pPr>
        <w:pStyle w:val="FootnoteText"/>
      </w:pPr>
      <w:r>
        <w:rPr>
          <w:rStyle w:val="FootnoteReference"/>
        </w:rPr>
        <w:footnoteRef/>
      </w:r>
      <w:r>
        <w:t xml:space="preserve"> 47 U.S.C. § 310(d).</w:t>
      </w:r>
    </w:p>
  </w:footnote>
  <w:footnote w:id="46">
    <w:p w:rsidR="001E1C6F" w:rsidRDefault="001E1C6F" w:rsidP="00A6640A">
      <w:pPr>
        <w:pStyle w:val="FootnoteText"/>
      </w:pPr>
      <w:r>
        <w:rPr>
          <w:rStyle w:val="FootnoteReference"/>
        </w:rPr>
        <w:footnoteRef/>
      </w:r>
      <w:r>
        <w:t xml:space="preserve"> 47 </w:t>
      </w:r>
      <w:r w:rsidR="0022416F">
        <w:t>CFR</w:t>
      </w:r>
      <w:r>
        <w:t xml:space="preserve"> § 1.65, </w:t>
      </w:r>
      <w:r w:rsidR="00197678">
        <w:t>73</w:t>
      </w:r>
      <w:r>
        <w:t>.</w:t>
      </w:r>
      <w:r w:rsidR="00197678">
        <w:t>354</w:t>
      </w:r>
      <w:r w:rsidR="002864F9">
        <w:t>0</w:t>
      </w:r>
      <w:r>
        <w:t>; 47 U.S.C. § 310(d).</w:t>
      </w:r>
    </w:p>
  </w:footnote>
  <w:footnote w:id="47">
    <w:p w:rsidR="001E1C6F" w:rsidRPr="006271C0" w:rsidRDefault="001E1C6F" w:rsidP="001E1C6F">
      <w:pPr>
        <w:pStyle w:val="FootnoteText"/>
        <w:spacing w:before="120"/>
      </w:pPr>
      <w:r w:rsidRPr="006271C0">
        <w:rPr>
          <w:rStyle w:val="FootnoteReference"/>
        </w:rPr>
        <w:footnoteRef/>
      </w:r>
      <w:r w:rsidRPr="006271C0">
        <w:t xml:space="preserve"> 47 U.S.C. § 310(d); </w:t>
      </w:r>
      <w:r w:rsidRPr="006271C0">
        <w:rPr>
          <w:i/>
        </w:rPr>
        <w:t xml:space="preserve">see also </w:t>
      </w:r>
      <w:r w:rsidRPr="006271C0">
        <w:t xml:space="preserve">47 </w:t>
      </w:r>
      <w:r w:rsidR="0022416F">
        <w:t>CFR</w:t>
      </w:r>
      <w:r w:rsidRPr="006271C0">
        <w:t xml:space="preserve"> § 73.3540(a).</w:t>
      </w:r>
    </w:p>
  </w:footnote>
  <w:footnote w:id="48">
    <w:p w:rsidR="001E1C6F" w:rsidRPr="006271C0" w:rsidRDefault="001E1C6F" w:rsidP="001E1C6F">
      <w:pPr>
        <w:pStyle w:val="FootnoteText"/>
        <w:spacing w:before="120"/>
      </w:pPr>
      <w:r w:rsidRPr="006271C0">
        <w:rPr>
          <w:rStyle w:val="FootnoteReference"/>
        </w:rPr>
        <w:footnoteRef/>
      </w:r>
      <w:r w:rsidRPr="006271C0">
        <w:t xml:space="preserve"> </w:t>
      </w:r>
      <w:r w:rsidR="007D32A0">
        <w:rPr>
          <w:i/>
        </w:rPr>
        <w:t xml:space="preserve">See, e.g., </w:t>
      </w:r>
      <w:r w:rsidRPr="006271C0">
        <w:rPr>
          <w:i/>
        </w:rPr>
        <w:t>Contel Cellular Inc.</w:t>
      </w:r>
      <w:r w:rsidRPr="006271C0">
        <w:t>, Memorandum Opinion and Order, 9 FCC Rcd 5309, 5310 (MSD 1994</w:t>
      </w:r>
      <w:r w:rsidR="00D72769">
        <w:t>)</w:t>
      </w:r>
      <w:r w:rsidR="008704BF">
        <w:t xml:space="preserve"> (</w:t>
      </w:r>
      <w:r w:rsidR="008704BF">
        <w:rPr>
          <w:i/>
        </w:rPr>
        <w:t>Contel Cellular</w:t>
      </w:r>
      <w:r w:rsidRPr="006271C0">
        <w:t>)</w:t>
      </w:r>
      <w:r w:rsidR="00721661">
        <w:t xml:space="preserve">; </w:t>
      </w:r>
      <w:r w:rsidR="00721661">
        <w:rPr>
          <w:i/>
        </w:rPr>
        <w:t xml:space="preserve">see also </w:t>
      </w:r>
      <w:r w:rsidR="002864F9">
        <w:t>47</w:t>
      </w:r>
      <w:r w:rsidR="00721661">
        <w:t xml:space="preserve"> </w:t>
      </w:r>
      <w:r w:rsidR="0022416F">
        <w:t>CFR</w:t>
      </w:r>
      <w:r w:rsidR="00721661">
        <w:t xml:space="preserve"> § 73.3555</w:t>
      </w:r>
      <w:r w:rsidRPr="006271C0">
        <w:t>.</w:t>
      </w:r>
    </w:p>
  </w:footnote>
  <w:footnote w:id="49">
    <w:p w:rsidR="00FD15A5" w:rsidRPr="00E332E3" w:rsidRDefault="00FD15A5">
      <w:pPr>
        <w:pStyle w:val="FootnoteText"/>
      </w:pPr>
      <w:r>
        <w:rPr>
          <w:rStyle w:val="FootnoteReference"/>
        </w:rPr>
        <w:footnoteRef/>
      </w:r>
      <w:r>
        <w:t xml:space="preserve"> </w:t>
      </w:r>
      <w:r>
        <w:rPr>
          <w:i/>
        </w:rPr>
        <w:t xml:space="preserve">See, e.g., </w:t>
      </w:r>
      <w:r w:rsidR="003D1033" w:rsidRPr="00BB400D">
        <w:rPr>
          <w:i/>
        </w:rPr>
        <w:t>Inforum Communications Inc.</w:t>
      </w:r>
      <w:r w:rsidR="003D1033" w:rsidRPr="00BB400D">
        <w:t xml:space="preserve">, </w:t>
      </w:r>
      <w:r w:rsidR="003D1033" w:rsidRPr="00BB400D">
        <w:rPr>
          <w:rStyle w:val="Emphasis"/>
          <w:i w:val="0"/>
        </w:rPr>
        <w:t>Memorandum Opinion and Order</w:t>
      </w:r>
      <w:r w:rsidR="003D1033" w:rsidRPr="00BB400D">
        <w:t>, 20 FCC Rcd 820, 827 (2005)</w:t>
      </w:r>
      <w:r w:rsidR="003D1033">
        <w:t xml:space="preserve"> (noting that it is the Commission's policy “to accommodate court decrees adjudicating disputes over contract and property rights, unless a public interest determination compels a different result”)</w:t>
      </w:r>
      <w:r w:rsidR="00E332E3">
        <w:t xml:space="preserve">; </w:t>
      </w:r>
      <w:r w:rsidR="00E332E3">
        <w:rPr>
          <w:i/>
        </w:rPr>
        <w:t>Estate of Peggy Haley</w:t>
      </w:r>
      <w:r w:rsidR="00E332E3">
        <w:t>, Letter Decision, 23 FCC Rcd 12687 (MB 2008)</w:t>
      </w:r>
      <w:bookmarkStart w:id="3" w:name="ctx1"/>
      <w:bookmarkEnd w:id="3"/>
      <w:r w:rsidR="00E332E3">
        <w:t>.</w:t>
      </w:r>
    </w:p>
  </w:footnote>
  <w:footnote w:id="50">
    <w:p w:rsidR="002A07DA" w:rsidRPr="00EC6E3C" w:rsidRDefault="002A07DA" w:rsidP="002A07DA">
      <w:pPr>
        <w:pStyle w:val="FootnoteText"/>
        <w:spacing w:before="120"/>
      </w:pPr>
      <w:r w:rsidRPr="00EC6E3C">
        <w:rPr>
          <w:rStyle w:val="FootnoteReference"/>
        </w:rPr>
        <w:footnoteRef/>
      </w:r>
      <w:r>
        <w:t xml:space="preserve"> </w:t>
      </w:r>
      <w:r w:rsidR="00185C2D">
        <w:rPr>
          <w:i/>
        </w:rPr>
        <w:t>See, e.g.,</w:t>
      </w:r>
      <w:r w:rsidR="008704BF">
        <w:t xml:space="preserve"> </w:t>
      </w:r>
      <w:r w:rsidR="008704BF" w:rsidRPr="008704BF">
        <w:rPr>
          <w:i/>
        </w:rPr>
        <w:t>Contel Cellular</w:t>
      </w:r>
      <w:r w:rsidR="008704BF">
        <w:t xml:space="preserve">, 9 FCC Rcd </w:t>
      </w:r>
      <w:r w:rsidR="00185C2D">
        <w:t>at 5310</w:t>
      </w:r>
      <w:r>
        <w:t xml:space="preserve"> </w:t>
      </w:r>
      <w:r w:rsidRPr="00EC6E3C">
        <w:t>(“</w:t>
      </w:r>
      <w:r w:rsidR="004860A4">
        <w:t>There is no reason for us to withhold action on the applications pending resolution of this dispute.  Granting the applications simply authorizes the transfer of control of the licensee to take place.  The forum having jurisdiction over the parties could enjoin the stock sale from going forward until it decides the respective rights of the parties.</w:t>
      </w:r>
      <w:r w:rsidRPr="00EC6E3C">
        <w:rPr>
          <w:color w:val="252525"/>
        </w:rPr>
        <w:t>”)</w:t>
      </w:r>
      <w:r>
        <w:rPr>
          <w:color w:val="252525"/>
        </w:rPr>
        <w:t>.</w:t>
      </w:r>
    </w:p>
  </w:footnote>
  <w:footnote w:id="51">
    <w:p w:rsidR="00FE221B" w:rsidRPr="00FE221B" w:rsidRDefault="00FE221B">
      <w:pPr>
        <w:pStyle w:val="FootnoteText"/>
      </w:pPr>
      <w:r>
        <w:rPr>
          <w:rStyle w:val="FootnoteReference"/>
        </w:rPr>
        <w:footnoteRef/>
      </w:r>
      <w:r>
        <w:t xml:space="preserve"> </w:t>
      </w:r>
      <w:r>
        <w:rPr>
          <w:i/>
        </w:rPr>
        <w:t xml:space="preserve">See, e.g., </w:t>
      </w:r>
      <w:r w:rsidRPr="007406DE">
        <w:rPr>
          <w:i/>
        </w:rPr>
        <w:t>Jefferson Radio Co., Inc. v. FCC</w:t>
      </w:r>
      <w:r>
        <w:t>, 340 F.2d 781, 783 (1964) (“It is the recognized policy of the Commission that assignment of broadcast authorization will not be considered until the Commission has determined that the assignor has not forfeited the authorization.”)</w:t>
      </w:r>
      <w:r w:rsidR="00867127">
        <w:t xml:space="preserve"> (internal citations omitted)</w:t>
      </w:r>
      <w:r>
        <w:t>.</w:t>
      </w:r>
    </w:p>
  </w:footnote>
  <w:footnote w:id="52">
    <w:p w:rsidR="004860A4" w:rsidRDefault="004860A4" w:rsidP="004860A4">
      <w:pPr>
        <w:pStyle w:val="FootnoteText"/>
      </w:pPr>
      <w:r>
        <w:rPr>
          <w:rStyle w:val="FootnoteReference"/>
        </w:rPr>
        <w:footnoteRef/>
      </w:r>
      <w:r>
        <w:t xml:space="preserve"> </w:t>
      </w:r>
      <w:r w:rsidRPr="007406DE">
        <w:rPr>
          <w:rStyle w:val="emphi"/>
          <w:i/>
        </w:rPr>
        <w:t>Fatima Response, Inc.,</w:t>
      </w:r>
      <w:r w:rsidRPr="007406DE">
        <w:rPr>
          <w:i/>
        </w:rPr>
        <w:t xml:space="preserve"> </w:t>
      </w:r>
      <w:r>
        <w:t xml:space="preserve">Memorandum Opinion and Order, </w:t>
      </w:r>
      <w:r w:rsidRPr="00AE3D1F">
        <w:t>14 FCC Rcd 18543</w:t>
      </w:r>
      <w:r>
        <w:t xml:space="preserve"> (1999); </w:t>
      </w:r>
      <w:r w:rsidRPr="007406DE">
        <w:rPr>
          <w:rStyle w:val="emphi"/>
          <w:i/>
        </w:rPr>
        <w:t>Aspen FM, Inc.</w:t>
      </w:r>
      <w:r>
        <w:rPr>
          <w:rStyle w:val="emphi"/>
        </w:rPr>
        <w:t>,</w:t>
      </w:r>
      <w:r>
        <w:t xml:space="preserve"> Memorandum Opinion and Order, </w:t>
      </w:r>
      <w:r w:rsidRPr="00AE3D1F">
        <w:t>12 FCC Rcd 17852</w:t>
      </w:r>
      <w:r>
        <w:t xml:space="preserve"> (1997).</w:t>
      </w:r>
    </w:p>
  </w:footnote>
  <w:footnote w:id="53">
    <w:p w:rsidR="00700C0F" w:rsidRPr="00700C0F" w:rsidRDefault="00700C0F">
      <w:pPr>
        <w:pStyle w:val="FootnoteText"/>
      </w:pPr>
      <w:r>
        <w:rPr>
          <w:rStyle w:val="FootnoteReference"/>
        </w:rPr>
        <w:footnoteRef/>
      </w:r>
      <w:r>
        <w:t xml:space="preserve"> </w:t>
      </w:r>
      <w:r w:rsidR="009967F4">
        <w:t>However, we distinguish this situation</w:t>
      </w:r>
      <w:r w:rsidR="007D0899">
        <w:t xml:space="preserve"> from a noncommercial educational (NCE) or low power FM (LPFM) applicant’s failure to establish eligibility to hold a license due to lack of non-profit organizational status.</w:t>
      </w:r>
      <w:r>
        <w:t xml:space="preserve">  </w:t>
      </w:r>
      <w:r>
        <w:rPr>
          <w:i/>
        </w:rPr>
        <w:t>See, e.g.</w:t>
      </w:r>
      <w:r>
        <w:t xml:space="preserve">, </w:t>
      </w:r>
      <w:r w:rsidRPr="007406DE">
        <w:rPr>
          <w:i/>
        </w:rPr>
        <w:t>Applications for Review of Decisions Regarding Six Applications for New Low Power FM Stations</w:t>
      </w:r>
      <w:r>
        <w:t>, Memorandum Opinion and Order, 28 FCC Rcd 13390, 13395</w:t>
      </w:r>
      <w:r w:rsidR="00FE221B">
        <w:t>-96</w:t>
      </w:r>
      <w:r>
        <w:t xml:space="preserve"> (2013) </w:t>
      </w:r>
      <w:r w:rsidR="00867127">
        <w:t>(</w:t>
      </w:r>
      <w:r w:rsidR="007D0899">
        <w:t xml:space="preserve">holding </w:t>
      </w:r>
      <w:r>
        <w:t xml:space="preserve">that an LPFM applicant's status as a valid non-profit organization at the time it files its application is </w:t>
      </w:r>
      <w:r w:rsidR="007D0899">
        <w:t>“</w:t>
      </w:r>
      <w:r>
        <w:t>fundamental to our determination of the applicant's qualifications to hold an LPFM authorization.</w:t>
      </w:r>
      <w:r w:rsidR="004D487C">
        <w:t>”) (</w:t>
      </w:r>
      <w:r w:rsidR="00867127">
        <w:t xml:space="preserve">internal </w:t>
      </w:r>
      <w:r w:rsidR="004D487C">
        <w:t>citations omitted).</w:t>
      </w:r>
    </w:p>
  </w:footnote>
  <w:footnote w:id="54">
    <w:p w:rsidR="00AE3D1F" w:rsidRDefault="00AE3D1F">
      <w:pPr>
        <w:pStyle w:val="FootnoteText"/>
      </w:pPr>
      <w:r>
        <w:rPr>
          <w:rStyle w:val="FootnoteReference"/>
        </w:rPr>
        <w:footnoteRef/>
      </w:r>
      <w:r>
        <w:t xml:space="preserve"> </w:t>
      </w:r>
      <w:r w:rsidRPr="006271C0">
        <w:t xml:space="preserve">47 </w:t>
      </w:r>
      <w:r w:rsidR="0022416F">
        <w:t>CFR</w:t>
      </w:r>
      <w:r w:rsidRPr="006271C0">
        <w:t xml:space="preserve"> § 1.65(a)</w:t>
      </w:r>
      <w:r>
        <w:t>.</w:t>
      </w:r>
    </w:p>
  </w:footnote>
  <w:footnote w:id="55">
    <w:p w:rsidR="003B69CF" w:rsidRPr="006271C0" w:rsidRDefault="003B69CF" w:rsidP="003B69CF">
      <w:pPr>
        <w:pStyle w:val="FootnoteText"/>
        <w:spacing w:before="120"/>
      </w:pPr>
      <w:r w:rsidRPr="006271C0">
        <w:rPr>
          <w:rStyle w:val="FootnoteReference"/>
        </w:rPr>
        <w:footnoteRef/>
      </w:r>
      <w:r w:rsidRPr="006271C0">
        <w:t xml:space="preserve"> </w:t>
      </w:r>
      <w:r w:rsidRPr="006271C0">
        <w:rPr>
          <w:i/>
        </w:rPr>
        <w:t>Id</w:t>
      </w:r>
      <w:r w:rsidRPr="006271C0">
        <w:t xml:space="preserve">. </w:t>
      </w:r>
    </w:p>
  </w:footnote>
  <w:footnote w:id="56">
    <w:p w:rsidR="003B69CF" w:rsidRPr="006271C0" w:rsidRDefault="003B69CF" w:rsidP="003B69CF">
      <w:pPr>
        <w:pStyle w:val="FootnoteText"/>
        <w:spacing w:before="120"/>
      </w:pPr>
      <w:r w:rsidRPr="006271C0">
        <w:rPr>
          <w:rStyle w:val="FootnoteReference"/>
        </w:rPr>
        <w:footnoteRef/>
      </w:r>
      <w:r w:rsidRPr="006271C0">
        <w:t xml:space="preserve"> </w:t>
      </w:r>
      <w:r w:rsidRPr="006271C0">
        <w:rPr>
          <w:i/>
        </w:rPr>
        <w:t>Id</w:t>
      </w:r>
      <w:r w:rsidRPr="006271C0">
        <w:t xml:space="preserve">. </w:t>
      </w:r>
    </w:p>
  </w:footnote>
  <w:footnote w:id="57">
    <w:p w:rsidR="000B35EA" w:rsidRDefault="000B35EA" w:rsidP="000B35EA">
      <w:pPr>
        <w:pStyle w:val="FootnoteText"/>
      </w:pPr>
      <w:r>
        <w:rPr>
          <w:rStyle w:val="FootnoteReference"/>
        </w:rPr>
        <w:footnoteRef/>
      </w:r>
      <w:r w:rsidR="00AE3D1F">
        <w:t xml:space="preserve"> 47 U.S.C. § </w:t>
      </w:r>
      <w:r w:rsidR="001154E0">
        <w:t>310</w:t>
      </w:r>
      <w:r w:rsidR="009210AD">
        <w:t xml:space="preserve">; 47 </w:t>
      </w:r>
      <w:r w:rsidR="0022416F">
        <w:t>CFR</w:t>
      </w:r>
      <w:r w:rsidR="009210AD">
        <w:t xml:space="preserve"> §§ 73.3540, 1.65.</w:t>
      </w:r>
    </w:p>
  </w:footnote>
  <w:footnote w:id="58">
    <w:p w:rsidR="000B35EA" w:rsidRDefault="000B35EA" w:rsidP="000B35EA">
      <w:pPr>
        <w:pStyle w:val="FootnoteText"/>
      </w:pPr>
      <w:r>
        <w:rPr>
          <w:rStyle w:val="FootnoteReference"/>
        </w:rPr>
        <w:footnoteRef/>
      </w:r>
      <w:r>
        <w:t xml:space="preserve"> 47 U.S.C. § 4(i).</w:t>
      </w:r>
    </w:p>
  </w:footnote>
  <w:footnote w:id="59">
    <w:p w:rsidR="000B35EA" w:rsidRDefault="000B35EA" w:rsidP="000B35EA">
      <w:pPr>
        <w:pStyle w:val="FootnoteText"/>
      </w:pPr>
      <w:r>
        <w:rPr>
          <w:rStyle w:val="FootnoteReference"/>
        </w:rPr>
        <w:footnoteRef/>
      </w:r>
      <w:r>
        <w:t xml:space="preserve"> 47 </w:t>
      </w:r>
      <w:r w:rsidR="0022416F">
        <w:t>CFR</w:t>
      </w:r>
      <w:r>
        <w:t xml:space="preserve"> §§ 0.61, 0.283.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59" w:rsidRDefault="00676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6F" w:rsidRDefault="001E1C6F" w:rsidP="00810B6F">
    <w:pPr>
      <w:pStyle w:val="Header"/>
      <w:rPr>
        <w:b w:val="0"/>
      </w:rPr>
    </w:pPr>
    <w:r>
      <w:tab/>
      <w:t>Federal Communications Commission</w:t>
    </w:r>
    <w:r>
      <w:tab/>
    </w:r>
    <w:r w:rsidR="007F72D2">
      <w:t xml:space="preserve">DA </w:t>
    </w:r>
    <w:r w:rsidR="001C39C5">
      <w:rPr>
        <w:spacing w:val="-2"/>
      </w:rPr>
      <w:t>16-272</w:t>
    </w:r>
  </w:p>
  <w:p w:rsidR="001E1C6F" w:rsidRDefault="003E2E4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1CF6C80" wp14:editId="0D821FE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17038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E1C6F" w:rsidRDefault="001E1C6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6F" w:rsidRDefault="003E2E4D" w:rsidP="00810B6F">
    <w:pPr>
      <w:pStyle w:val="Header"/>
      <w:rPr>
        <w:b w:val="0"/>
      </w:rPr>
    </w:pPr>
    <w:r>
      <w:rPr>
        <w:noProof/>
      </w:rPr>
      <mc:AlternateContent>
        <mc:Choice Requires="wps">
          <w:drawing>
            <wp:anchor distT="0" distB="0" distL="114300" distR="114300" simplePos="0" relativeHeight="251658240" behindDoc="1" locked="0" layoutInCell="0" allowOverlap="1" wp14:anchorId="540F8E22" wp14:editId="73CC805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8CE43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1E1C6F">
      <w:tab/>
      <w:t>Federal Communications Commission</w:t>
    </w:r>
    <w:r w:rsidR="001E1C6F">
      <w:tab/>
    </w:r>
    <w:r w:rsidR="007F72D2">
      <w:rPr>
        <w:spacing w:val="-2"/>
      </w:rPr>
      <w:t xml:space="preserve">DA </w:t>
    </w:r>
    <w:r w:rsidR="001C39C5">
      <w:rPr>
        <w:spacing w:val="-2"/>
      </w:rPr>
      <w:t>16-272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FA797C"/>
    <w:multiLevelType w:val="hybridMultilevel"/>
    <w:tmpl w:val="EF402134"/>
    <w:lvl w:ilvl="0" w:tplc="FFFFFFFF">
      <w:start w:val="1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182925"/>
    <w:multiLevelType w:val="singleLevel"/>
    <w:tmpl w:val="45D08C84"/>
    <w:lvl w:ilvl="0">
      <w:start w:val="1"/>
      <w:numFmt w:val="decimal"/>
      <w:pStyle w:val="ParaNum"/>
      <w:lvlText w:val="%1."/>
      <w:lvlJc w:val="left"/>
      <w:pPr>
        <w:tabs>
          <w:tab w:val="num" w:pos="8640"/>
        </w:tabs>
        <w:ind w:left="7560" w:firstLine="720"/>
      </w:pPr>
      <w:rPr>
        <w:b w:val="0"/>
        <w:i w:val="0"/>
      </w:rPr>
    </w:lvl>
  </w:abstractNum>
  <w:abstractNum w:abstractNumId="14">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0"/>
  </w:num>
  <w:num w:numId="5">
    <w:abstractNumId w:val="5"/>
  </w:num>
  <w:num w:numId="6">
    <w:abstractNumId w:val="2"/>
  </w:num>
  <w:num w:numId="7">
    <w:abstractNumId w:val="6"/>
  </w:num>
  <w:num w:numId="8">
    <w:abstractNumId w:val="13"/>
  </w:num>
  <w:num w:numId="9">
    <w:abstractNumId w:val="13"/>
  </w:num>
  <w:num w:numId="10">
    <w:abstractNumId w:val="14"/>
  </w:num>
  <w:num w:numId="11">
    <w:abstractNumId w:val="9"/>
  </w:num>
  <w:num w:numId="12">
    <w:abstractNumId w:val="15"/>
  </w:num>
  <w:num w:numId="13">
    <w:abstractNumId w:val="7"/>
  </w:num>
  <w:num w:numId="14">
    <w:abstractNumId w:val="3"/>
  </w:num>
  <w:num w:numId="15">
    <w:abstractNumId w:val="0"/>
  </w:num>
  <w:num w:numId="16">
    <w:abstractNumId w:val="1"/>
  </w:num>
  <w:num w:numId="17">
    <w:abstractNumId w:val="1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215ED"/>
    <w:rsid w:val="00036039"/>
    <w:rsid w:val="00037F90"/>
    <w:rsid w:val="0005495E"/>
    <w:rsid w:val="00076D13"/>
    <w:rsid w:val="000875BF"/>
    <w:rsid w:val="00087DDD"/>
    <w:rsid w:val="00096D8C"/>
    <w:rsid w:val="000B25FA"/>
    <w:rsid w:val="000B35EA"/>
    <w:rsid w:val="000C0B50"/>
    <w:rsid w:val="000C0B65"/>
    <w:rsid w:val="000D11BE"/>
    <w:rsid w:val="000D2A02"/>
    <w:rsid w:val="000E05FE"/>
    <w:rsid w:val="000E0BE6"/>
    <w:rsid w:val="000E3D42"/>
    <w:rsid w:val="00104F13"/>
    <w:rsid w:val="00113048"/>
    <w:rsid w:val="001134A1"/>
    <w:rsid w:val="001154E0"/>
    <w:rsid w:val="00122BD5"/>
    <w:rsid w:val="00133F79"/>
    <w:rsid w:val="00166905"/>
    <w:rsid w:val="00185C2D"/>
    <w:rsid w:val="00191218"/>
    <w:rsid w:val="00194A66"/>
    <w:rsid w:val="00197678"/>
    <w:rsid w:val="001C02AB"/>
    <w:rsid w:val="001C39C5"/>
    <w:rsid w:val="001C7CF2"/>
    <w:rsid w:val="001D57E2"/>
    <w:rsid w:val="001D6BCF"/>
    <w:rsid w:val="001E01CA"/>
    <w:rsid w:val="001E1C6F"/>
    <w:rsid w:val="00206919"/>
    <w:rsid w:val="002075AA"/>
    <w:rsid w:val="0022416F"/>
    <w:rsid w:val="0023268E"/>
    <w:rsid w:val="0024494B"/>
    <w:rsid w:val="00253EFA"/>
    <w:rsid w:val="00263B01"/>
    <w:rsid w:val="00275CF5"/>
    <w:rsid w:val="0028301F"/>
    <w:rsid w:val="00285017"/>
    <w:rsid w:val="002864F9"/>
    <w:rsid w:val="002A07DA"/>
    <w:rsid w:val="002A0B01"/>
    <w:rsid w:val="002A2D2E"/>
    <w:rsid w:val="002A2E2C"/>
    <w:rsid w:val="002C00E8"/>
    <w:rsid w:val="002D579B"/>
    <w:rsid w:val="00300B3D"/>
    <w:rsid w:val="00311F5C"/>
    <w:rsid w:val="00320030"/>
    <w:rsid w:val="003227D0"/>
    <w:rsid w:val="00323B4A"/>
    <w:rsid w:val="003346B3"/>
    <w:rsid w:val="003350CA"/>
    <w:rsid w:val="00343749"/>
    <w:rsid w:val="00351557"/>
    <w:rsid w:val="003660ED"/>
    <w:rsid w:val="00387EDC"/>
    <w:rsid w:val="0039470F"/>
    <w:rsid w:val="00397C3A"/>
    <w:rsid w:val="003B0550"/>
    <w:rsid w:val="003B5691"/>
    <w:rsid w:val="003B694F"/>
    <w:rsid w:val="003B69CF"/>
    <w:rsid w:val="003D1033"/>
    <w:rsid w:val="003E2A63"/>
    <w:rsid w:val="003E2E4D"/>
    <w:rsid w:val="003E38DE"/>
    <w:rsid w:val="003F171C"/>
    <w:rsid w:val="003F3A3E"/>
    <w:rsid w:val="00412FC5"/>
    <w:rsid w:val="00422276"/>
    <w:rsid w:val="004242F1"/>
    <w:rsid w:val="004261C3"/>
    <w:rsid w:val="00436188"/>
    <w:rsid w:val="00444BE1"/>
    <w:rsid w:val="00445A00"/>
    <w:rsid w:val="004519F8"/>
    <w:rsid w:val="00451B0F"/>
    <w:rsid w:val="004860A4"/>
    <w:rsid w:val="0049032D"/>
    <w:rsid w:val="00492F92"/>
    <w:rsid w:val="00493714"/>
    <w:rsid w:val="00493FCD"/>
    <w:rsid w:val="004B4DAE"/>
    <w:rsid w:val="004C1B2B"/>
    <w:rsid w:val="004C2EE3"/>
    <w:rsid w:val="004C5BA2"/>
    <w:rsid w:val="004D487C"/>
    <w:rsid w:val="004E08CC"/>
    <w:rsid w:val="004E4A22"/>
    <w:rsid w:val="00511968"/>
    <w:rsid w:val="0055614C"/>
    <w:rsid w:val="005563AD"/>
    <w:rsid w:val="00574A73"/>
    <w:rsid w:val="00580FDF"/>
    <w:rsid w:val="005B5DDC"/>
    <w:rsid w:val="005D65BB"/>
    <w:rsid w:val="005E14C2"/>
    <w:rsid w:val="006049D1"/>
    <w:rsid w:val="00607BA5"/>
    <w:rsid w:val="0061180A"/>
    <w:rsid w:val="00626EB6"/>
    <w:rsid w:val="00645215"/>
    <w:rsid w:val="00651282"/>
    <w:rsid w:val="0065343D"/>
    <w:rsid w:val="00655D03"/>
    <w:rsid w:val="00673730"/>
    <w:rsid w:val="00674911"/>
    <w:rsid w:val="00676759"/>
    <w:rsid w:val="00681802"/>
    <w:rsid w:val="00683388"/>
    <w:rsid w:val="00683F84"/>
    <w:rsid w:val="00684A35"/>
    <w:rsid w:val="006A6A81"/>
    <w:rsid w:val="006D7067"/>
    <w:rsid w:val="006E135E"/>
    <w:rsid w:val="006E635D"/>
    <w:rsid w:val="006F5008"/>
    <w:rsid w:val="006F7393"/>
    <w:rsid w:val="00700C0F"/>
    <w:rsid w:val="0070224F"/>
    <w:rsid w:val="007115F7"/>
    <w:rsid w:val="00721661"/>
    <w:rsid w:val="00726F44"/>
    <w:rsid w:val="007347B8"/>
    <w:rsid w:val="007406DE"/>
    <w:rsid w:val="00745EBB"/>
    <w:rsid w:val="00756411"/>
    <w:rsid w:val="0076243E"/>
    <w:rsid w:val="0078259E"/>
    <w:rsid w:val="0078532C"/>
    <w:rsid w:val="00785689"/>
    <w:rsid w:val="0079754B"/>
    <w:rsid w:val="0079789C"/>
    <w:rsid w:val="007A1E6D"/>
    <w:rsid w:val="007A331D"/>
    <w:rsid w:val="007B0EB2"/>
    <w:rsid w:val="007C4098"/>
    <w:rsid w:val="007C46B7"/>
    <w:rsid w:val="007D0899"/>
    <w:rsid w:val="007D32A0"/>
    <w:rsid w:val="007F2BC2"/>
    <w:rsid w:val="007F5256"/>
    <w:rsid w:val="007F72D2"/>
    <w:rsid w:val="00810B6F"/>
    <w:rsid w:val="00822CE0"/>
    <w:rsid w:val="00841AB1"/>
    <w:rsid w:val="0084338D"/>
    <w:rsid w:val="00851438"/>
    <w:rsid w:val="008561DD"/>
    <w:rsid w:val="00856A18"/>
    <w:rsid w:val="00863EAB"/>
    <w:rsid w:val="00867127"/>
    <w:rsid w:val="008704BF"/>
    <w:rsid w:val="00875A65"/>
    <w:rsid w:val="008A3ACA"/>
    <w:rsid w:val="008C0201"/>
    <w:rsid w:val="008C68F1"/>
    <w:rsid w:val="008D305A"/>
    <w:rsid w:val="008D367A"/>
    <w:rsid w:val="009210AD"/>
    <w:rsid w:val="00921803"/>
    <w:rsid w:val="00926503"/>
    <w:rsid w:val="00937974"/>
    <w:rsid w:val="00944387"/>
    <w:rsid w:val="0095022D"/>
    <w:rsid w:val="00962987"/>
    <w:rsid w:val="00963920"/>
    <w:rsid w:val="00967FD2"/>
    <w:rsid w:val="009726D8"/>
    <w:rsid w:val="00974C9A"/>
    <w:rsid w:val="00976F5C"/>
    <w:rsid w:val="0097787B"/>
    <w:rsid w:val="00995BA3"/>
    <w:rsid w:val="009967F4"/>
    <w:rsid w:val="009A10FD"/>
    <w:rsid w:val="009A5AE2"/>
    <w:rsid w:val="009A6887"/>
    <w:rsid w:val="009B539E"/>
    <w:rsid w:val="009C7444"/>
    <w:rsid w:val="009C77D5"/>
    <w:rsid w:val="009F76DB"/>
    <w:rsid w:val="00A23FFB"/>
    <w:rsid w:val="00A246E8"/>
    <w:rsid w:val="00A31F83"/>
    <w:rsid w:val="00A32C3B"/>
    <w:rsid w:val="00A35C1E"/>
    <w:rsid w:val="00A45F4F"/>
    <w:rsid w:val="00A50D69"/>
    <w:rsid w:val="00A600A9"/>
    <w:rsid w:val="00A603BB"/>
    <w:rsid w:val="00A6640A"/>
    <w:rsid w:val="00A84D16"/>
    <w:rsid w:val="00AA55B7"/>
    <w:rsid w:val="00AA5B9E"/>
    <w:rsid w:val="00AB2407"/>
    <w:rsid w:val="00AB53DF"/>
    <w:rsid w:val="00AC0B39"/>
    <w:rsid w:val="00AC23E5"/>
    <w:rsid w:val="00AC31BD"/>
    <w:rsid w:val="00AD6DFD"/>
    <w:rsid w:val="00AE3D1F"/>
    <w:rsid w:val="00AE47F0"/>
    <w:rsid w:val="00AE4EE9"/>
    <w:rsid w:val="00AE7C9D"/>
    <w:rsid w:val="00B07E5C"/>
    <w:rsid w:val="00B21E61"/>
    <w:rsid w:val="00B336B9"/>
    <w:rsid w:val="00B629C4"/>
    <w:rsid w:val="00B64A35"/>
    <w:rsid w:val="00B66FB8"/>
    <w:rsid w:val="00B811F7"/>
    <w:rsid w:val="00B83108"/>
    <w:rsid w:val="00B91F0E"/>
    <w:rsid w:val="00B9792A"/>
    <w:rsid w:val="00BA5DC6"/>
    <w:rsid w:val="00BA6196"/>
    <w:rsid w:val="00BB400D"/>
    <w:rsid w:val="00BB4A22"/>
    <w:rsid w:val="00BC1732"/>
    <w:rsid w:val="00BC6D8C"/>
    <w:rsid w:val="00BD4D9F"/>
    <w:rsid w:val="00C02D23"/>
    <w:rsid w:val="00C250AF"/>
    <w:rsid w:val="00C25AB1"/>
    <w:rsid w:val="00C34006"/>
    <w:rsid w:val="00C3661F"/>
    <w:rsid w:val="00C36BFE"/>
    <w:rsid w:val="00C426B1"/>
    <w:rsid w:val="00C66160"/>
    <w:rsid w:val="00C721AC"/>
    <w:rsid w:val="00C90D6A"/>
    <w:rsid w:val="00C9153B"/>
    <w:rsid w:val="00CA06B6"/>
    <w:rsid w:val="00CA0BDC"/>
    <w:rsid w:val="00CA247E"/>
    <w:rsid w:val="00CB5A46"/>
    <w:rsid w:val="00CC72B6"/>
    <w:rsid w:val="00CD4ACA"/>
    <w:rsid w:val="00CF7F86"/>
    <w:rsid w:val="00D0218D"/>
    <w:rsid w:val="00D02E21"/>
    <w:rsid w:val="00D0590B"/>
    <w:rsid w:val="00D077EB"/>
    <w:rsid w:val="00D10C92"/>
    <w:rsid w:val="00D20BB9"/>
    <w:rsid w:val="00D22819"/>
    <w:rsid w:val="00D25FB5"/>
    <w:rsid w:val="00D26D27"/>
    <w:rsid w:val="00D302A5"/>
    <w:rsid w:val="00D35E46"/>
    <w:rsid w:val="00D44223"/>
    <w:rsid w:val="00D5093E"/>
    <w:rsid w:val="00D65CC7"/>
    <w:rsid w:val="00D674D5"/>
    <w:rsid w:val="00D72769"/>
    <w:rsid w:val="00D8027A"/>
    <w:rsid w:val="00D94BCF"/>
    <w:rsid w:val="00D97A4E"/>
    <w:rsid w:val="00DA2529"/>
    <w:rsid w:val="00DB130A"/>
    <w:rsid w:val="00DB2EBB"/>
    <w:rsid w:val="00DC10A1"/>
    <w:rsid w:val="00DC655F"/>
    <w:rsid w:val="00DD0B59"/>
    <w:rsid w:val="00DD2FD8"/>
    <w:rsid w:val="00DD5360"/>
    <w:rsid w:val="00DD7EBD"/>
    <w:rsid w:val="00DE12CB"/>
    <w:rsid w:val="00DF2675"/>
    <w:rsid w:val="00DF62B6"/>
    <w:rsid w:val="00E05CEB"/>
    <w:rsid w:val="00E07225"/>
    <w:rsid w:val="00E13A9F"/>
    <w:rsid w:val="00E1673B"/>
    <w:rsid w:val="00E332E3"/>
    <w:rsid w:val="00E33BAF"/>
    <w:rsid w:val="00E51795"/>
    <w:rsid w:val="00E5409F"/>
    <w:rsid w:val="00E65F11"/>
    <w:rsid w:val="00E74466"/>
    <w:rsid w:val="00E77607"/>
    <w:rsid w:val="00EC268B"/>
    <w:rsid w:val="00EC6E3C"/>
    <w:rsid w:val="00EE2C33"/>
    <w:rsid w:val="00EE524E"/>
    <w:rsid w:val="00EE6488"/>
    <w:rsid w:val="00F021FA"/>
    <w:rsid w:val="00F02B8E"/>
    <w:rsid w:val="00F0641B"/>
    <w:rsid w:val="00F0660B"/>
    <w:rsid w:val="00F1068E"/>
    <w:rsid w:val="00F36315"/>
    <w:rsid w:val="00F42B4E"/>
    <w:rsid w:val="00F62E97"/>
    <w:rsid w:val="00F64209"/>
    <w:rsid w:val="00F76938"/>
    <w:rsid w:val="00F8258F"/>
    <w:rsid w:val="00F82BE6"/>
    <w:rsid w:val="00F93BF5"/>
    <w:rsid w:val="00F953E8"/>
    <w:rsid w:val="00FA4AF6"/>
    <w:rsid w:val="00FA7F1B"/>
    <w:rsid w:val="00FB4737"/>
    <w:rsid w:val="00FD15A5"/>
    <w:rsid w:val="00FE221B"/>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8640"/>
        <w:tab w:val="num" w:pos="1080"/>
      </w:tabs>
      <w:spacing w:after="120"/>
      <w:ind w:left="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uiPriority w:val="99"/>
    <w:rsid w:val="000E3D42"/>
    <w:pPr>
      <w:spacing w:after="120"/>
    </w:pPr>
  </w:style>
  <w:style w:type="character" w:styleId="FootnoteReference">
    <w:name w:val="footnote reference"/>
    <w:aliases w:val="Style 12,(NECG) Footnote Reference,o,fr,Style 3,Appel note de bas de p,Style 124,Style 13"/>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DF2675"/>
  </w:style>
  <w:style w:type="character" w:customStyle="1" w:styleId="emphi">
    <w:name w:val="emphi"/>
    <w:rsid w:val="004C1B2B"/>
  </w:style>
  <w:style w:type="paragraph" w:styleId="BalloonText">
    <w:name w:val="Balloon Text"/>
    <w:basedOn w:val="Normal"/>
    <w:link w:val="BalloonTextChar"/>
    <w:rsid w:val="004C1B2B"/>
    <w:rPr>
      <w:rFonts w:ascii="Segoe UI" w:hAnsi="Segoe UI" w:cs="Segoe UI"/>
      <w:sz w:val="18"/>
      <w:szCs w:val="18"/>
    </w:rPr>
  </w:style>
  <w:style w:type="character" w:customStyle="1" w:styleId="BalloonTextChar">
    <w:name w:val="Balloon Text Char"/>
    <w:basedOn w:val="DefaultParagraphFont"/>
    <w:link w:val="BalloonText"/>
    <w:rsid w:val="004C1B2B"/>
    <w:rPr>
      <w:rFonts w:ascii="Segoe UI" w:hAnsi="Segoe UI" w:cs="Segoe UI"/>
      <w:snapToGrid w:val="0"/>
      <w:kern w:val="28"/>
      <w:sz w:val="18"/>
      <w:szCs w:val="18"/>
    </w:rPr>
  </w:style>
  <w:style w:type="character" w:customStyle="1" w:styleId="ParaNumChar">
    <w:name w:val="ParaNum Char"/>
    <w:link w:val="ParaNum"/>
    <w:locked/>
    <w:rsid w:val="000B35EA"/>
    <w:rPr>
      <w:snapToGrid w:val="0"/>
      <w:kern w:val="28"/>
      <w:sz w:val="22"/>
    </w:rPr>
  </w:style>
  <w:style w:type="paragraph" w:styleId="BodyText">
    <w:name w:val="Body Text"/>
    <w:basedOn w:val="Normal"/>
    <w:link w:val="BodyTextChar"/>
    <w:rsid w:val="00F8258F"/>
    <w:pPr>
      <w:tabs>
        <w:tab w:val="left" w:pos="720"/>
        <w:tab w:val="left" w:pos="4680"/>
      </w:tabs>
      <w:jc w:val="both"/>
    </w:pPr>
  </w:style>
  <w:style w:type="character" w:customStyle="1" w:styleId="BodyTextChar">
    <w:name w:val="Body Text Char"/>
    <w:basedOn w:val="DefaultParagraphFont"/>
    <w:link w:val="BodyText"/>
    <w:rsid w:val="00F8258F"/>
    <w:rPr>
      <w:snapToGrid w:val="0"/>
      <w:kern w:val="28"/>
      <w:sz w:val="22"/>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F8258F"/>
    <w:rPr>
      <w:sz w:val="20"/>
      <w:szCs w:val="20"/>
    </w:rPr>
  </w:style>
  <w:style w:type="character" w:customStyle="1" w:styleId="documentbody1">
    <w:name w:val="documentbody1"/>
    <w:uiPriority w:val="99"/>
    <w:rsid w:val="00F8258F"/>
    <w:rPr>
      <w:rFonts w:ascii="Verdana" w:hAnsi="Verdana"/>
      <w:sz w:val="19"/>
    </w:rPr>
  </w:style>
  <w:style w:type="paragraph" w:styleId="ListParagraph">
    <w:name w:val="List Paragraph"/>
    <w:basedOn w:val="Normal"/>
    <w:uiPriority w:val="34"/>
    <w:qFormat/>
    <w:rsid w:val="00F8258F"/>
    <w:pPr>
      <w:ind w:left="720"/>
      <w:contextualSpacing/>
    </w:pPr>
  </w:style>
  <w:style w:type="character" w:styleId="CommentReference">
    <w:name w:val="annotation reference"/>
    <w:basedOn w:val="DefaultParagraphFont"/>
    <w:rsid w:val="00F8258F"/>
    <w:rPr>
      <w:sz w:val="16"/>
      <w:szCs w:val="16"/>
    </w:rPr>
  </w:style>
  <w:style w:type="paragraph" w:styleId="CommentText">
    <w:name w:val="annotation text"/>
    <w:basedOn w:val="Normal"/>
    <w:link w:val="CommentTextChar"/>
    <w:rsid w:val="00F8258F"/>
    <w:rPr>
      <w:sz w:val="20"/>
    </w:rPr>
  </w:style>
  <w:style w:type="character" w:customStyle="1" w:styleId="CommentTextChar">
    <w:name w:val="Comment Text Char"/>
    <w:basedOn w:val="DefaultParagraphFont"/>
    <w:link w:val="CommentText"/>
    <w:rsid w:val="00F8258F"/>
    <w:rPr>
      <w:snapToGrid w:val="0"/>
      <w:kern w:val="28"/>
    </w:rPr>
  </w:style>
  <w:style w:type="paragraph" w:styleId="CommentSubject">
    <w:name w:val="annotation subject"/>
    <w:basedOn w:val="CommentText"/>
    <w:next w:val="CommentText"/>
    <w:link w:val="CommentSubjectChar"/>
    <w:rsid w:val="00F8258F"/>
    <w:rPr>
      <w:b/>
      <w:bCs/>
    </w:rPr>
  </w:style>
  <w:style w:type="character" w:customStyle="1" w:styleId="CommentSubjectChar">
    <w:name w:val="Comment Subject Char"/>
    <w:basedOn w:val="CommentTextChar"/>
    <w:link w:val="CommentSubject"/>
    <w:rsid w:val="00F8258F"/>
    <w:rPr>
      <w:b/>
      <w:bCs/>
      <w:snapToGrid w:val="0"/>
      <w:kern w:val="28"/>
    </w:rPr>
  </w:style>
  <w:style w:type="paragraph" w:styleId="PlainText">
    <w:name w:val="Plain Text"/>
    <w:basedOn w:val="Normal"/>
    <w:link w:val="PlainTextChar"/>
    <w:uiPriority w:val="99"/>
    <w:unhideWhenUsed/>
    <w:rsid w:val="00F8258F"/>
    <w:rPr>
      <w:rFonts w:ascii="Calibri" w:eastAsiaTheme="minorHAnsi" w:hAnsi="Calibri" w:cs="Consolas"/>
      <w:szCs w:val="21"/>
    </w:rPr>
  </w:style>
  <w:style w:type="character" w:customStyle="1" w:styleId="PlainTextChar">
    <w:name w:val="Plain Text Char"/>
    <w:basedOn w:val="DefaultParagraphFont"/>
    <w:link w:val="PlainText"/>
    <w:uiPriority w:val="99"/>
    <w:rsid w:val="00F8258F"/>
    <w:rPr>
      <w:rFonts w:ascii="Calibri" w:eastAsiaTheme="minorHAnsi" w:hAnsi="Calibri" w:cs="Consolas"/>
      <w:snapToGrid w:val="0"/>
      <w:kern w:val="28"/>
      <w:sz w:val="22"/>
      <w:szCs w:val="21"/>
    </w:rPr>
  </w:style>
  <w:style w:type="character" w:customStyle="1" w:styleId="Heading2Char">
    <w:name w:val="Heading 2 Char"/>
    <w:basedOn w:val="DefaultParagraphFont"/>
    <w:link w:val="Heading2"/>
    <w:rsid w:val="00F8258F"/>
    <w:rPr>
      <w:b/>
      <w:snapToGrid w:val="0"/>
      <w:kern w:val="28"/>
      <w:sz w:val="22"/>
    </w:rPr>
  </w:style>
  <w:style w:type="character" w:customStyle="1" w:styleId="Heading3Char">
    <w:name w:val="Heading 3 Char"/>
    <w:basedOn w:val="DefaultParagraphFont"/>
    <w:link w:val="Heading3"/>
    <w:rsid w:val="00F8258F"/>
    <w:rPr>
      <w:b/>
      <w:snapToGrid w:val="0"/>
      <w:kern w:val="28"/>
      <w:sz w:val="22"/>
    </w:rPr>
  </w:style>
  <w:style w:type="character" w:customStyle="1" w:styleId="Heading4Char">
    <w:name w:val="Heading 4 Char"/>
    <w:basedOn w:val="DefaultParagraphFont"/>
    <w:link w:val="Heading4"/>
    <w:rsid w:val="00F8258F"/>
    <w:rPr>
      <w:b/>
      <w:snapToGrid w:val="0"/>
      <w:kern w:val="28"/>
      <w:sz w:val="22"/>
    </w:rPr>
  </w:style>
  <w:style w:type="character" w:customStyle="1" w:styleId="Heading5Char">
    <w:name w:val="Heading 5 Char"/>
    <w:basedOn w:val="DefaultParagraphFont"/>
    <w:link w:val="Heading5"/>
    <w:rsid w:val="00F8258F"/>
    <w:rPr>
      <w:b/>
      <w:snapToGrid w:val="0"/>
      <w:kern w:val="28"/>
      <w:sz w:val="22"/>
    </w:rPr>
  </w:style>
  <w:style w:type="character" w:customStyle="1" w:styleId="Heading6Char">
    <w:name w:val="Heading 6 Char"/>
    <w:basedOn w:val="DefaultParagraphFont"/>
    <w:link w:val="Heading6"/>
    <w:rsid w:val="00F8258F"/>
    <w:rPr>
      <w:b/>
      <w:snapToGrid w:val="0"/>
      <w:kern w:val="28"/>
      <w:sz w:val="22"/>
    </w:rPr>
  </w:style>
  <w:style w:type="character" w:customStyle="1" w:styleId="Heading7Char">
    <w:name w:val="Heading 7 Char"/>
    <w:basedOn w:val="DefaultParagraphFont"/>
    <w:link w:val="Heading7"/>
    <w:rsid w:val="00F8258F"/>
    <w:rPr>
      <w:b/>
      <w:snapToGrid w:val="0"/>
      <w:kern w:val="28"/>
      <w:sz w:val="22"/>
    </w:rPr>
  </w:style>
  <w:style w:type="character" w:customStyle="1" w:styleId="Heading8Char">
    <w:name w:val="Heading 8 Char"/>
    <w:basedOn w:val="DefaultParagraphFont"/>
    <w:link w:val="Heading8"/>
    <w:rsid w:val="00F8258F"/>
    <w:rPr>
      <w:b/>
      <w:snapToGrid w:val="0"/>
      <w:kern w:val="28"/>
      <w:sz w:val="22"/>
    </w:rPr>
  </w:style>
  <w:style w:type="character" w:customStyle="1" w:styleId="Heading9Char">
    <w:name w:val="Heading 9 Char"/>
    <w:basedOn w:val="DefaultParagraphFont"/>
    <w:link w:val="Heading9"/>
    <w:rsid w:val="00F8258F"/>
    <w:rPr>
      <w:b/>
      <w:snapToGrid w:val="0"/>
      <w:kern w:val="28"/>
      <w:sz w:val="22"/>
    </w:rPr>
  </w:style>
  <w:style w:type="character" w:customStyle="1" w:styleId="EndnoteTextChar">
    <w:name w:val="Endnote Text Char"/>
    <w:basedOn w:val="DefaultParagraphFont"/>
    <w:link w:val="EndnoteText"/>
    <w:rsid w:val="00F8258F"/>
    <w:rPr>
      <w:snapToGrid w:val="0"/>
      <w:kern w:val="28"/>
    </w:rPr>
  </w:style>
  <w:style w:type="character" w:customStyle="1" w:styleId="Heading1Char">
    <w:name w:val="Heading 1 Char"/>
    <w:basedOn w:val="DefaultParagraphFont"/>
    <w:link w:val="Heading1"/>
    <w:rsid w:val="00F8258F"/>
    <w:rPr>
      <w:rFonts w:ascii="Times New Roman Bold" w:hAnsi="Times New Roman Bold"/>
      <w:b/>
      <w:caps/>
      <w:snapToGrid w:val="0"/>
      <w:kern w:val="28"/>
      <w:sz w:val="22"/>
    </w:rPr>
  </w:style>
  <w:style w:type="character" w:customStyle="1" w:styleId="HeaderChar">
    <w:name w:val="Header Char"/>
    <w:basedOn w:val="DefaultParagraphFont"/>
    <w:link w:val="Header"/>
    <w:rsid w:val="00F8258F"/>
    <w:rPr>
      <w:b/>
      <w:snapToGrid w:val="0"/>
      <w:kern w:val="28"/>
      <w:sz w:val="22"/>
    </w:rPr>
  </w:style>
  <w:style w:type="character" w:customStyle="1" w:styleId="FooterChar">
    <w:name w:val="Footer Char"/>
    <w:basedOn w:val="DefaultParagraphFont"/>
    <w:link w:val="Footer"/>
    <w:rsid w:val="00F8258F"/>
    <w:rPr>
      <w:snapToGrid w:val="0"/>
      <w:kern w:val="28"/>
      <w:sz w:val="22"/>
    </w:rPr>
  </w:style>
  <w:style w:type="paragraph" w:styleId="BodyText2">
    <w:name w:val="Body Text 2"/>
    <w:basedOn w:val="Normal"/>
    <w:link w:val="BodyText2Char"/>
    <w:rsid w:val="00F8258F"/>
    <w:pPr>
      <w:widowControl/>
      <w:spacing w:after="120" w:line="480" w:lineRule="auto"/>
    </w:pPr>
    <w:rPr>
      <w:snapToGrid/>
      <w:kern w:val="0"/>
    </w:rPr>
  </w:style>
  <w:style w:type="character" w:customStyle="1" w:styleId="BodyText2Char">
    <w:name w:val="Body Text 2 Char"/>
    <w:basedOn w:val="DefaultParagraphFont"/>
    <w:link w:val="BodyText2"/>
    <w:rsid w:val="00F8258F"/>
    <w:rPr>
      <w:sz w:val="22"/>
    </w:rPr>
  </w:style>
  <w:style w:type="character" w:customStyle="1" w:styleId="apple-converted-space">
    <w:name w:val="apple-converted-space"/>
    <w:basedOn w:val="DefaultParagraphFont"/>
    <w:rsid w:val="00F8258F"/>
  </w:style>
  <w:style w:type="character" w:customStyle="1" w:styleId="cosearchterm">
    <w:name w:val="co_searchterm"/>
    <w:basedOn w:val="DefaultParagraphFont"/>
    <w:rsid w:val="00F8258F"/>
  </w:style>
  <w:style w:type="character" w:styleId="Emphasis">
    <w:name w:val="Emphasis"/>
    <w:basedOn w:val="DefaultParagraphFont"/>
    <w:uiPriority w:val="20"/>
    <w:qFormat/>
    <w:rsid w:val="00F8258F"/>
    <w:rPr>
      <w:i/>
      <w:iCs/>
    </w:rPr>
  </w:style>
  <w:style w:type="character" w:styleId="FollowedHyperlink">
    <w:name w:val="FollowedHyperlink"/>
    <w:basedOn w:val="DefaultParagraphFont"/>
    <w:rsid w:val="00EC6E3C"/>
    <w:rPr>
      <w:color w:val="954F72" w:themeColor="followedHyperlink"/>
      <w:u w:val="single"/>
    </w:rPr>
  </w:style>
  <w:style w:type="character" w:customStyle="1" w:styleId="cosearchterm7">
    <w:name w:val="co_searchterm7"/>
    <w:basedOn w:val="DefaultParagraphFont"/>
    <w:rsid w:val="008704BF"/>
    <w:rPr>
      <w:b/>
      <w:bCs/>
      <w:color w:val="252525"/>
    </w:rPr>
  </w:style>
  <w:style w:type="character" w:customStyle="1" w:styleId="costarpage">
    <w:name w:val="co_starpage"/>
    <w:basedOn w:val="DefaultParagraphFont"/>
    <w:rsid w:val="00700C0F"/>
  </w:style>
  <w:style w:type="character" w:customStyle="1" w:styleId="displayhltextactive">
    <w:name w:val="display_hl_text_active"/>
    <w:basedOn w:val="DefaultParagraphFont"/>
    <w:rsid w:val="00E33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8640"/>
        <w:tab w:val="num" w:pos="1080"/>
      </w:tabs>
      <w:spacing w:after="120"/>
      <w:ind w:left="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uiPriority w:val="99"/>
    <w:rsid w:val="000E3D42"/>
    <w:pPr>
      <w:spacing w:after="120"/>
    </w:pPr>
  </w:style>
  <w:style w:type="character" w:styleId="FootnoteReference">
    <w:name w:val="footnote reference"/>
    <w:aliases w:val="Style 12,(NECG) Footnote Reference,o,fr,Style 3,Appel note de bas de p,Style 124,Style 13"/>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DF2675"/>
  </w:style>
  <w:style w:type="character" w:customStyle="1" w:styleId="emphi">
    <w:name w:val="emphi"/>
    <w:rsid w:val="004C1B2B"/>
  </w:style>
  <w:style w:type="paragraph" w:styleId="BalloonText">
    <w:name w:val="Balloon Text"/>
    <w:basedOn w:val="Normal"/>
    <w:link w:val="BalloonTextChar"/>
    <w:rsid w:val="004C1B2B"/>
    <w:rPr>
      <w:rFonts w:ascii="Segoe UI" w:hAnsi="Segoe UI" w:cs="Segoe UI"/>
      <w:sz w:val="18"/>
      <w:szCs w:val="18"/>
    </w:rPr>
  </w:style>
  <w:style w:type="character" w:customStyle="1" w:styleId="BalloonTextChar">
    <w:name w:val="Balloon Text Char"/>
    <w:basedOn w:val="DefaultParagraphFont"/>
    <w:link w:val="BalloonText"/>
    <w:rsid w:val="004C1B2B"/>
    <w:rPr>
      <w:rFonts w:ascii="Segoe UI" w:hAnsi="Segoe UI" w:cs="Segoe UI"/>
      <w:snapToGrid w:val="0"/>
      <w:kern w:val="28"/>
      <w:sz w:val="18"/>
      <w:szCs w:val="18"/>
    </w:rPr>
  </w:style>
  <w:style w:type="character" w:customStyle="1" w:styleId="ParaNumChar">
    <w:name w:val="ParaNum Char"/>
    <w:link w:val="ParaNum"/>
    <w:locked/>
    <w:rsid w:val="000B35EA"/>
    <w:rPr>
      <w:snapToGrid w:val="0"/>
      <w:kern w:val="28"/>
      <w:sz w:val="22"/>
    </w:rPr>
  </w:style>
  <w:style w:type="paragraph" w:styleId="BodyText">
    <w:name w:val="Body Text"/>
    <w:basedOn w:val="Normal"/>
    <w:link w:val="BodyTextChar"/>
    <w:rsid w:val="00F8258F"/>
    <w:pPr>
      <w:tabs>
        <w:tab w:val="left" w:pos="720"/>
        <w:tab w:val="left" w:pos="4680"/>
      </w:tabs>
      <w:jc w:val="both"/>
    </w:pPr>
  </w:style>
  <w:style w:type="character" w:customStyle="1" w:styleId="BodyTextChar">
    <w:name w:val="Body Text Char"/>
    <w:basedOn w:val="DefaultParagraphFont"/>
    <w:link w:val="BodyText"/>
    <w:rsid w:val="00F8258F"/>
    <w:rPr>
      <w:snapToGrid w:val="0"/>
      <w:kern w:val="28"/>
      <w:sz w:val="22"/>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F8258F"/>
    <w:rPr>
      <w:sz w:val="20"/>
      <w:szCs w:val="20"/>
    </w:rPr>
  </w:style>
  <w:style w:type="character" w:customStyle="1" w:styleId="documentbody1">
    <w:name w:val="documentbody1"/>
    <w:uiPriority w:val="99"/>
    <w:rsid w:val="00F8258F"/>
    <w:rPr>
      <w:rFonts w:ascii="Verdana" w:hAnsi="Verdana"/>
      <w:sz w:val="19"/>
    </w:rPr>
  </w:style>
  <w:style w:type="paragraph" w:styleId="ListParagraph">
    <w:name w:val="List Paragraph"/>
    <w:basedOn w:val="Normal"/>
    <w:uiPriority w:val="34"/>
    <w:qFormat/>
    <w:rsid w:val="00F8258F"/>
    <w:pPr>
      <w:ind w:left="720"/>
      <w:contextualSpacing/>
    </w:pPr>
  </w:style>
  <w:style w:type="character" w:styleId="CommentReference">
    <w:name w:val="annotation reference"/>
    <w:basedOn w:val="DefaultParagraphFont"/>
    <w:rsid w:val="00F8258F"/>
    <w:rPr>
      <w:sz w:val="16"/>
      <w:szCs w:val="16"/>
    </w:rPr>
  </w:style>
  <w:style w:type="paragraph" w:styleId="CommentText">
    <w:name w:val="annotation text"/>
    <w:basedOn w:val="Normal"/>
    <w:link w:val="CommentTextChar"/>
    <w:rsid w:val="00F8258F"/>
    <w:rPr>
      <w:sz w:val="20"/>
    </w:rPr>
  </w:style>
  <w:style w:type="character" w:customStyle="1" w:styleId="CommentTextChar">
    <w:name w:val="Comment Text Char"/>
    <w:basedOn w:val="DefaultParagraphFont"/>
    <w:link w:val="CommentText"/>
    <w:rsid w:val="00F8258F"/>
    <w:rPr>
      <w:snapToGrid w:val="0"/>
      <w:kern w:val="28"/>
    </w:rPr>
  </w:style>
  <w:style w:type="paragraph" w:styleId="CommentSubject">
    <w:name w:val="annotation subject"/>
    <w:basedOn w:val="CommentText"/>
    <w:next w:val="CommentText"/>
    <w:link w:val="CommentSubjectChar"/>
    <w:rsid w:val="00F8258F"/>
    <w:rPr>
      <w:b/>
      <w:bCs/>
    </w:rPr>
  </w:style>
  <w:style w:type="character" w:customStyle="1" w:styleId="CommentSubjectChar">
    <w:name w:val="Comment Subject Char"/>
    <w:basedOn w:val="CommentTextChar"/>
    <w:link w:val="CommentSubject"/>
    <w:rsid w:val="00F8258F"/>
    <w:rPr>
      <w:b/>
      <w:bCs/>
      <w:snapToGrid w:val="0"/>
      <w:kern w:val="28"/>
    </w:rPr>
  </w:style>
  <w:style w:type="paragraph" w:styleId="PlainText">
    <w:name w:val="Plain Text"/>
    <w:basedOn w:val="Normal"/>
    <w:link w:val="PlainTextChar"/>
    <w:uiPriority w:val="99"/>
    <w:unhideWhenUsed/>
    <w:rsid w:val="00F8258F"/>
    <w:rPr>
      <w:rFonts w:ascii="Calibri" w:eastAsiaTheme="minorHAnsi" w:hAnsi="Calibri" w:cs="Consolas"/>
      <w:szCs w:val="21"/>
    </w:rPr>
  </w:style>
  <w:style w:type="character" w:customStyle="1" w:styleId="PlainTextChar">
    <w:name w:val="Plain Text Char"/>
    <w:basedOn w:val="DefaultParagraphFont"/>
    <w:link w:val="PlainText"/>
    <w:uiPriority w:val="99"/>
    <w:rsid w:val="00F8258F"/>
    <w:rPr>
      <w:rFonts w:ascii="Calibri" w:eastAsiaTheme="minorHAnsi" w:hAnsi="Calibri" w:cs="Consolas"/>
      <w:snapToGrid w:val="0"/>
      <w:kern w:val="28"/>
      <w:sz w:val="22"/>
      <w:szCs w:val="21"/>
    </w:rPr>
  </w:style>
  <w:style w:type="character" w:customStyle="1" w:styleId="Heading2Char">
    <w:name w:val="Heading 2 Char"/>
    <w:basedOn w:val="DefaultParagraphFont"/>
    <w:link w:val="Heading2"/>
    <w:rsid w:val="00F8258F"/>
    <w:rPr>
      <w:b/>
      <w:snapToGrid w:val="0"/>
      <w:kern w:val="28"/>
      <w:sz w:val="22"/>
    </w:rPr>
  </w:style>
  <w:style w:type="character" w:customStyle="1" w:styleId="Heading3Char">
    <w:name w:val="Heading 3 Char"/>
    <w:basedOn w:val="DefaultParagraphFont"/>
    <w:link w:val="Heading3"/>
    <w:rsid w:val="00F8258F"/>
    <w:rPr>
      <w:b/>
      <w:snapToGrid w:val="0"/>
      <w:kern w:val="28"/>
      <w:sz w:val="22"/>
    </w:rPr>
  </w:style>
  <w:style w:type="character" w:customStyle="1" w:styleId="Heading4Char">
    <w:name w:val="Heading 4 Char"/>
    <w:basedOn w:val="DefaultParagraphFont"/>
    <w:link w:val="Heading4"/>
    <w:rsid w:val="00F8258F"/>
    <w:rPr>
      <w:b/>
      <w:snapToGrid w:val="0"/>
      <w:kern w:val="28"/>
      <w:sz w:val="22"/>
    </w:rPr>
  </w:style>
  <w:style w:type="character" w:customStyle="1" w:styleId="Heading5Char">
    <w:name w:val="Heading 5 Char"/>
    <w:basedOn w:val="DefaultParagraphFont"/>
    <w:link w:val="Heading5"/>
    <w:rsid w:val="00F8258F"/>
    <w:rPr>
      <w:b/>
      <w:snapToGrid w:val="0"/>
      <w:kern w:val="28"/>
      <w:sz w:val="22"/>
    </w:rPr>
  </w:style>
  <w:style w:type="character" w:customStyle="1" w:styleId="Heading6Char">
    <w:name w:val="Heading 6 Char"/>
    <w:basedOn w:val="DefaultParagraphFont"/>
    <w:link w:val="Heading6"/>
    <w:rsid w:val="00F8258F"/>
    <w:rPr>
      <w:b/>
      <w:snapToGrid w:val="0"/>
      <w:kern w:val="28"/>
      <w:sz w:val="22"/>
    </w:rPr>
  </w:style>
  <w:style w:type="character" w:customStyle="1" w:styleId="Heading7Char">
    <w:name w:val="Heading 7 Char"/>
    <w:basedOn w:val="DefaultParagraphFont"/>
    <w:link w:val="Heading7"/>
    <w:rsid w:val="00F8258F"/>
    <w:rPr>
      <w:b/>
      <w:snapToGrid w:val="0"/>
      <w:kern w:val="28"/>
      <w:sz w:val="22"/>
    </w:rPr>
  </w:style>
  <w:style w:type="character" w:customStyle="1" w:styleId="Heading8Char">
    <w:name w:val="Heading 8 Char"/>
    <w:basedOn w:val="DefaultParagraphFont"/>
    <w:link w:val="Heading8"/>
    <w:rsid w:val="00F8258F"/>
    <w:rPr>
      <w:b/>
      <w:snapToGrid w:val="0"/>
      <w:kern w:val="28"/>
      <w:sz w:val="22"/>
    </w:rPr>
  </w:style>
  <w:style w:type="character" w:customStyle="1" w:styleId="Heading9Char">
    <w:name w:val="Heading 9 Char"/>
    <w:basedOn w:val="DefaultParagraphFont"/>
    <w:link w:val="Heading9"/>
    <w:rsid w:val="00F8258F"/>
    <w:rPr>
      <w:b/>
      <w:snapToGrid w:val="0"/>
      <w:kern w:val="28"/>
      <w:sz w:val="22"/>
    </w:rPr>
  </w:style>
  <w:style w:type="character" w:customStyle="1" w:styleId="EndnoteTextChar">
    <w:name w:val="Endnote Text Char"/>
    <w:basedOn w:val="DefaultParagraphFont"/>
    <w:link w:val="EndnoteText"/>
    <w:rsid w:val="00F8258F"/>
    <w:rPr>
      <w:snapToGrid w:val="0"/>
      <w:kern w:val="28"/>
    </w:rPr>
  </w:style>
  <w:style w:type="character" w:customStyle="1" w:styleId="Heading1Char">
    <w:name w:val="Heading 1 Char"/>
    <w:basedOn w:val="DefaultParagraphFont"/>
    <w:link w:val="Heading1"/>
    <w:rsid w:val="00F8258F"/>
    <w:rPr>
      <w:rFonts w:ascii="Times New Roman Bold" w:hAnsi="Times New Roman Bold"/>
      <w:b/>
      <w:caps/>
      <w:snapToGrid w:val="0"/>
      <w:kern w:val="28"/>
      <w:sz w:val="22"/>
    </w:rPr>
  </w:style>
  <w:style w:type="character" w:customStyle="1" w:styleId="HeaderChar">
    <w:name w:val="Header Char"/>
    <w:basedOn w:val="DefaultParagraphFont"/>
    <w:link w:val="Header"/>
    <w:rsid w:val="00F8258F"/>
    <w:rPr>
      <w:b/>
      <w:snapToGrid w:val="0"/>
      <w:kern w:val="28"/>
      <w:sz w:val="22"/>
    </w:rPr>
  </w:style>
  <w:style w:type="character" w:customStyle="1" w:styleId="FooterChar">
    <w:name w:val="Footer Char"/>
    <w:basedOn w:val="DefaultParagraphFont"/>
    <w:link w:val="Footer"/>
    <w:rsid w:val="00F8258F"/>
    <w:rPr>
      <w:snapToGrid w:val="0"/>
      <w:kern w:val="28"/>
      <w:sz w:val="22"/>
    </w:rPr>
  </w:style>
  <w:style w:type="paragraph" w:styleId="BodyText2">
    <w:name w:val="Body Text 2"/>
    <w:basedOn w:val="Normal"/>
    <w:link w:val="BodyText2Char"/>
    <w:rsid w:val="00F8258F"/>
    <w:pPr>
      <w:widowControl/>
      <w:spacing w:after="120" w:line="480" w:lineRule="auto"/>
    </w:pPr>
    <w:rPr>
      <w:snapToGrid/>
      <w:kern w:val="0"/>
    </w:rPr>
  </w:style>
  <w:style w:type="character" w:customStyle="1" w:styleId="BodyText2Char">
    <w:name w:val="Body Text 2 Char"/>
    <w:basedOn w:val="DefaultParagraphFont"/>
    <w:link w:val="BodyText2"/>
    <w:rsid w:val="00F8258F"/>
    <w:rPr>
      <w:sz w:val="22"/>
    </w:rPr>
  </w:style>
  <w:style w:type="character" w:customStyle="1" w:styleId="apple-converted-space">
    <w:name w:val="apple-converted-space"/>
    <w:basedOn w:val="DefaultParagraphFont"/>
    <w:rsid w:val="00F8258F"/>
  </w:style>
  <w:style w:type="character" w:customStyle="1" w:styleId="cosearchterm">
    <w:name w:val="co_searchterm"/>
    <w:basedOn w:val="DefaultParagraphFont"/>
    <w:rsid w:val="00F8258F"/>
  </w:style>
  <w:style w:type="character" w:styleId="Emphasis">
    <w:name w:val="Emphasis"/>
    <w:basedOn w:val="DefaultParagraphFont"/>
    <w:uiPriority w:val="20"/>
    <w:qFormat/>
    <w:rsid w:val="00F8258F"/>
    <w:rPr>
      <w:i/>
      <w:iCs/>
    </w:rPr>
  </w:style>
  <w:style w:type="character" w:styleId="FollowedHyperlink">
    <w:name w:val="FollowedHyperlink"/>
    <w:basedOn w:val="DefaultParagraphFont"/>
    <w:rsid w:val="00EC6E3C"/>
    <w:rPr>
      <w:color w:val="954F72" w:themeColor="followedHyperlink"/>
      <w:u w:val="single"/>
    </w:rPr>
  </w:style>
  <w:style w:type="character" w:customStyle="1" w:styleId="cosearchterm7">
    <w:name w:val="co_searchterm7"/>
    <w:basedOn w:val="DefaultParagraphFont"/>
    <w:rsid w:val="008704BF"/>
    <w:rPr>
      <w:b/>
      <w:bCs/>
      <w:color w:val="252525"/>
    </w:rPr>
  </w:style>
  <w:style w:type="character" w:customStyle="1" w:styleId="costarpage">
    <w:name w:val="co_starpage"/>
    <w:basedOn w:val="DefaultParagraphFont"/>
    <w:rsid w:val="00700C0F"/>
  </w:style>
  <w:style w:type="character" w:customStyle="1" w:styleId="displayhltextactive">
    <w:name w:val="display_hl_text_active"/>
    <w:basedOn w:val="DefaultParagraphFont"/>
    <w:rsid w:val="00E3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javascript:top.docjs.prev_hit(3)" TargetMode="External"/><Relationship Id="rId1" Type="http://schemas.openxmlformats.org/officeDocument/2006/relationships/hyperlink" Target="http://telecomlaw.bna.com/terc/display/link_res.adp?fedfid=27792279&amp;fname=fccrcd_6_193&amp;vname=comrgdec" TargetMode="External"/><Relationship Id="rId5" Type="http://schemas.openxmlformats.org/officeDocument/2006/relationships/hyperlink" Target="http://telecomlaw.bna.com/terc/display/link_res.adp?fedfid=27792279&amp;fname=fccrcd_6_193&amp;vname=comrgdec" TargetMode="External"/><Relationship Id="rId4" Type="http://schemas.openxmlformats.org/officeDocument/2006/relationships/hyperlink" Target="javascript:top.docjs.next_hi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5054</Words>
  <Characters>26974</Characters>
  <Application>Microsoft Office Word</Application>
  <DocSecurity>0</DocSecurity>
  <Lines>495</Lines>
  <Paragraphs>122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2016-03-22T20:00:00Z</cp:lastPrinted>
  <dcterms:created xsi:type="dcterms:W3CDTF">2016-03-23T12:16:00Z</dcterms:created>
  <dcterms:modified xsi:type="dcterms:W3CDTF">2016-03-23T12:16:00Z</dcterms:modified>
  <cp:category> </cp:category>
  <cp:contentStatus> </cp:contentStatus>
</cp:coreProperties>
</file>