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9F2F" w14:textId="77777777" w:rsidR="009657EF" w:rsidRDefault="009657EF" w:rsidP="009657EF">
      <w:pPr>
        <w:jc w:val="center"/>
        <w:rPr>
          <w:b/>
        </w:rPr>
      </w:pPr>
      <w:bookmarkStart w:id="0" w:name="_GoBack"/>
      <w:bookmarkEnd w:id="0"/>
      <w:r>
        <w:rPr>
          <w:b/>
        </w:rPr>
        <w:t>Before the</w:t>
      </w:r>
    </w:p>
    <w:p w14:paraId="24A77F27" w14:textId="77777777" w:rsidR="009657EF" w:rsidRDefault="009657EF" w:rsidP="009657EF">
      <w:pPr>
        <w:jc w:val="center"/>
        <w:rPr>
          <w:b/>
        </w:rPr>
      </w:pPr>
      <w:r>
        <w:rPr>
          <w:b/>
        </w:rPr>
        <w:t>Federal Communications Commission</w:t>
      </w:r>
    </w:p>
    <w:p w14:paraId="48C5D408" w14:textId="77777777" w:rsidR="009657EF" w:rsidRDefault="009657EF" w:rsidP="009657EF">
      <w:pPr>
        <w:jc w:val="center"/>
        <w:rPr>
          <w:b/>
        </w:rPr>
      </w:pPr>
      <w:r>
        <w:rPr>
          <w:b/>
        </w:rPr>
        <w:t>Washington, D.C. 20554</w:t>
      </w:r>
    </w:p>
    <w:p w14:paraId="68642114" w14:textId="77777777" w:rsidR="009657EF" w:rsidRDefault="009657EF" w:rsidP="009657EF">
      <w:pPr>
        <w:jc w:val="center"/>
        <w:rPr>
          <w:b/>
        </w:rPr>
      </w:pPr>
    </w:p>
    <w:tbl>
      <w:tblPr>
        <w:tblW w:w="9648" w:type="dxa"/>
        <w:tblLayout w:type="fixed"/>
        <w:tblLook w:val="0000" w:firstRow="0" w:lastRow="0" w:firstColumn="0" w:lastColumn="0" w:noHBand="0" w:noVBand="0"/>
      </w:tblPr>
      <w:tblGrid>
        <w:gridCol w:w="4698"/>
        <w:gridCol w:w="720"/>
        <w:gridCol w:w="4230"/>
      </w:tblGrid>
      <w:tr w:rsidR="009657EF" w:rsidRPr="00F07293" w14:paraId="314D5C86" w14:textId="77777777" w:rsidTr="00BB4925">
        <w:tc>
          <w:tcPr>
            <w:tcW w:w="4698" w:type="dxa"/>
          </w:tcPr>
          <w:p w14:paraId="6455E4DD" w14:textId="77777777" w:rsidR="009657EF" w:rsidRPr="00F07293" w:rsidRDefault="009657EF" w:rsidP="00BB4925">
            <w:pPr>
              <w:snapToGrid w:val="0"/>
              <w:ind w:right="-18"/>
            </w:pPr>
            <w:r w:rsidRPr="00F07293">
              <w:t>In the Matter of</w:t>
            </w:r>
          </w:p>
          <w:p w14:paraId="4E39E201" w14:textId="77777777" w:rsidR="009657EF" w:rsidRDefault="009657EF" w:rsidP="00BB4925">
            <w:pPr>
              <w:ind w:right="-18"/>
            </w:pPr>
          </w:p>
          <w:p w14:paraId="1DA01389" w14:textId="77777777" w:rsidR="009657EF" w:rsidRDefault="009657EF" w:rsidP="00BB4925">
            <w:pPr>
              <w:ind w:right="-18"/>
            </w:pPr>
            <w:r w:rsidRPr="00F07293">
              <w:t>Expanding Consumers’ Video Navigation Choices</w:t>
            </w:r>
          </w:p>
          <w:p w14:paraId="211A3A13" w14:textId="77777777" w:rsidR="009657EF" w:rsidRDefault="009657EF" w:rsidP="00BB4925">
            <w:pPr>
              <w:ind w:right="-18"/>
            </w:pPr>
          </w:p>
          <w:p w14:paraId="0632B370" w14:textId="77777777" w:rsidR="009657EF" w:rsidRPr="00F07293" w:rsidRDefault="009657EF" w:rsidP="00BB4925">
            <w:pPr>
              <w:ind w:right="-18"/>
            </w:pPr>
            <w:r>
              <w:t>Commercial Availability of Navigation Devices</w:t>
            </w:r>
          </w:p>
        </w:tc>
        <w:tc>
          <w:tcPr>
            <w:tcW w:w="720" w:type="dxa"/>
          </w:tcPr>
          <w:p w14:paraId="621A7C91" w14:textId="77777777" w:rsidR="009657EF" w:rsidRPr="00F07293" w:rsidRDefault="009657EF" w:rsidP="00BB4925">
            <w:pPr>
              <w:snapToGrid w:val="0"/>
              <w:rPr>
                <w:b/>
              </w:rPr>
            </w:pPr>
            <w:r w:rsidRPr="00F07293">
              <w:rPr>
                <w:b/>
              </w:rPr>
              <w:t>)</w:t>
            </w:r>
          </w:p>
          <w:p w14:paraId="2D29BF50" w14:textId="77777777" w:rsidR="009657EF" w:rsidRPr="00F07293" w:rsidRDefault="009657EF" w:rsidP="00BB4925">
            <w:pPr>
              <w:rPr>
                <w:b/>
              </w:rPr>
            </w:pPr>
            <w:r w:rsidRPr="00F07293">
              <w:rPr>
                <w:b/>
              </w:rPr>
              <w:t>)</w:t>
            </w:r>
          </w:p>
          <w:p w14:paraId="359D2479" w14:textId="77777777" w:rsidR="009657EF" w:rsidRDefault="009657EF" w:rsidP="00BB4925">
            <w:pPr>
              <w:rPr>
                <w:b/>
              </w:rPr>
            </w:pPr>
            <w:r w:rsidRPr="00F07293">
              <w:rPr>
                <w:b/>
              </w:rPr>
              <w:t>)</w:t>
            </w:r>
          </w:p>
          <w:p w14:paraId="688D0993" w14:textId="77777777" w:rsidR="009657EF" w:rsidRDefault="009657EF" w:rsidP="00BB4925">
            <w:pPr>
              <w:rPr>
                <w:b/>
              </w:rPr>
            </w:pPr>
            <w:r>
              <w:rPr>
                <w:b/>
              </w:rPr>
              <w:t>)</w:t>
            </w:r>
          </w:p>
          <w:p w14:paraId="05B54185" w14:textId="77777777" w:rsidR="009657EF" w:rsidRPr="00F07293" w:rsidRDefault="009657EF" w:rsidP="00BB4925">
            <w:pPr>
              <w:rPr>
                <w:b/>
              </w:rPr>
            </w:pPr>
            <w:r>
              <w:rPr>
                <w:b/>
              </w:rPr>
              <w:t>)</w:t>
            </w:r>
          </w:p>
        </w:tc>
        <w:tc>
          <w:tcPr>
            <w:tcW w:w="4230" w:type="dxa"/>
          </w:tcPr>
          <w:p w14:paraId="159F3B20" w14:textId="77777777" w:rsidR="009657EF" w:rsidRPr="00F07293" w:rsidRDefault="009657EF" w:rsidP="00BB4925">
            <w:pPr>
              <w:snapToGrid w:val="0"/>
            </w:pPr>
          </w:p>
          <w:p w14:paraId="18ABE9C2" w14:textId="77777777" w:rsidR="009657EF" w:rsidRDefault="009657EF" w:rsidP="00BB4925"/>
          <w:p w14:paraId="1633749F" w14:textId="77777777" w:rsidR="009657EF" w:rsidRDefault="009657EF" w:rsidP="00BB4925">
            <w:r w:rsidRPr="00F07293">
              <w:t>MB Docket No. 1</w:t>
            </w:r>
            <w:r>
              <w:t>6</w:t>
            </w:r>
            <w:r w:rsidRPr="00F07293">
              <w:t>-</w:t>
            </w:r>
            <w:r>
              <w:t>42</w:t>
            </w:r>
          </w:p>
          <w:p w14:paraId="4F0DB3A1" w14:textId="77777777" w:rsidR="009657EF" w:rsidRDefault="009657EF" w:rsidP="00BB4925"/>
          <w:p w14:paraId="5BB10659" w14:textId="77777777" w:rsidR="009657EF" w:rsidRPr="00F07293" w:rsidRDefault="009657EF" w:rsidP="00BB4925">
            <w:r>
              <w:t>CS Docket No. 97-80</w:t>
            </w:r>
          </w:p>
        </w:tc>
      </w:tr>
    </w:tbl>
    <w:p w14:paraId="7FE3527F" w14:textId="77777777" w:rsidR="009657EF" w:rsidRDefault="009657EF" w:rsidP="009657EF">
      <w:pPr>
        <w:tabs>
          <w:tab w:val="center" w:pos="4680"/>
        </w:tabs>
        <w:suppressAutoHyphens/>
        <w:rPr>
          <w:b/>
          <w:spacing w:val="-2"/>
          <w:szCs w:val="22"/>
        </w:rPr>
      </w:pPr>
      <w:r>
        <w:rPr>
          <w:b/>
          <w:spacing w:val="-2"/>
          <w:szCs w:val="22"/>
        </w:rPr>
        <w:tab/>
      </w:r>
    </w:p>
    <w:p w14:paraId="4EE0DFD3" w14:textId="77777777" w:rsidR="009657EF" w:rsidRDefault="009657EF" w:rsidP="009657EF">
      <w:pPr>
        <w:pStyle w:val="StyleBoldCentered"/>
        <w:rPr>
          <w:rFonts w:ascii="Times New Roman" w:hAnsi="Times New Roman"/>
        </w:rPr>
      </w:pPr>
      <w:r>
        <w:rPr>
          <w:rFonts w:ascii="Times New Roman" w:hAnsi="Times New Roman"/>
        </w:rPr>
        <w:t>order</w:t>
      </w:r>
    </w:p>
    <w:p w14:paraId="23F78E13" w14:textId="77777777" w:rsidR="009657EF" w:rsidRDefault="009657EF" w:rsidP="009657EF">
      <w:pPr>
        <w:pStyle w:val="StyleBoldCentered"/>
        <w:rPr>
          <w:rFonts w:ascii="Times New Roman" w:hAnsi="Times New Roman"/>
        </w:rPr>
      </w:pPr>
    </w:p>
    <w:p w14:paraId="6B12425F" w14:textId="77777777" w:rsidR="009657EF" w:rsidRDefault="009657EF" w:rsidP="009657EF">
      <w:pPr>
        <w:tabs>
          <w:tab w:val="left" w:pos="720"/>
          <w:tab w:val="left" w:pos="5760"/>
        </w:tabs>
        <w:suppressAutoHyphens/>
        <w:spacing w:line="227" w:lineRule="auto"/>
        <w:rPr>
          <w:spacing w:val="-2"/>
          <w:szCs w:val="22"/>
        </w:rPr>
      </w:pPr>
      <w:r>
        <w:rPr>
          <w:b/>
          <w:spacing w:val="-2"/>
          <w:szCs w:val="22"/>
        </w:rPr>
        <w:t>Adopted:  March 17, 2016</w:t>
      </w:r>
      <w:r>
        <w:rPr>
          <w:b/>
          <w:spacing w:val="-2"/>
          <w:szCs w:val="22"/>
        </w:rPr>
        <w:tab/>
      </w:r>
      <w:r>
        <w:rPr>
          <w:b/>
          <w:spacing w:val="-2"/>
          <w:szCs w:val="22"/>
        </w:rPr>
        <w:tab/>
        <w:t xml:space="preserve">  Released:  March 17, 2016</w:t>
      </w:r>
    </w:p>
    <w:p w14:paraId="36891DB0" w14:textId="77777777" w:rsidR="009657EF" w:rsidRDefault="009657EF" w:rsidP="009657EF">
      <w:pPr>
        <w:rPr>
          <w:szCs w:val="22"/>
        </w:rPr>
      </w:pPr>
    </w:p>
    <w:p w14:paraId="4544C76C" w14:textId="77777777" w:rsidR="009657EF" w:rsidRDefault="009657EF" w:rsidP="009657EF">
      <w:pPr>
        <w:autoSpaceDE w:val="0"/>
        <w:autoSpaceDN w:val="0"/>
        <w:adjustRightInd w:val="0"/>
        <w:jc w:val="both"/>
        <w:rPr>
          <w:color w:val="000000"/>
          <w:szCs w:val="22"/>
        </w:rPr>
      </w:pPr>
      <w:r>
        <w:rPr>
          <w:b/>
          <w:color w:val="000000"/>
          <w:szCs w:val="22"/>
        </w:rPr>
        <w:t>Extended Comment Filing Deadline:</w:t>
      </w:r>
      <w:r>
        <w:rPr>
          <w:color w:val="000000"/>
          <w:szCs w:val="22"/>
        </w:rPr>
        <w:t xml:space="preserve">  April 22, 2016</w:t>
      </w:r>
    </w:p>
    <w:p w14:paraId="7AA355F1" w14:textId="77777777" w:rsidR="009657EF" w:rsidRDefault="009657EF" w:rsidP="009657EF">
      <w:pPr>
        <w:autoSpaceDE w:val="0"/>
        <w:autoSpaceDN w:val="0"/>
        <w:adjustRightInd w:val="0"/>
        <w:jc w:val="both"/>
        <w:rPr>
          <w:color w:val="000000"/>
          <w:szCs w:val="22"/>
        </w:rPr>
      </w:pPr>
      <w:r>
        <w:rPr>
          <w:b/>
          <w:color w:val="000000"/>
          <w:szCs w:val="22"/>
        </w:rPr>
        <w:t>Extended Reply Comment Filing Deadline:</w:t>
      </w:r>
      <w:r>
        <w:rPr>
          <w:color w:val="000000"/>
          <w:szCs w:val="22"/>
        </w:rPr>
        <w:t xml:space="preserve">  May 23, 2016</w:t>
      </w:r>
    </w:p>
    <w:p w14:paraId="67250B57" w14:textId="77777777" w:rsidR="009657EF" w:rsidRDefault="009657EF" w:rsidP="009657EF">
      <w:pPr>
        <w:autoSpaceDE w:val="0"/>
        <w:autoSpaceDN w:val="0"/>
        <w:adjustRightInd w:val="0"/>
        <w:jc w:val="both"/>
        <w:rPr>
          <w:color w:val="000000"/>
          <w:szCs w:val="22"/>
        </w:rPr>
      </w:pPr>
    </w:p>
    <w:p w14:paraId="1330EE23" w14:textId="77777777" w:rsidR="009657EF" w:rsidRDefault="009657EF" w:rsidP="009657EF">
      <w:pPr>
        <w:autoSpaceDE w:val="0"/>
        <w:autoSpaceDN w:val="0"/>
        <w:adjustRightInd w:val="0"/>
        <w:jc w:val="both"/>
        <w:rPr>
          <w:color w:val="000000"/>
          <w:szCs w:val="22"/>
        </w:rPr>
      </w:pPr>
      <w:r>
        <w:rPr>
          <w:color w:val="000000"/>
          <w:szCs w:val="22"/>
        </w:rPr>
        <w:t>By the Chief</w:t>
      </w:r>
      <w:r>
        <w:rPr>
          <w:spacing w:val="-2"/>
          <w:szCs w:val="22"/>
        </w:rPr>
        <w:t xml:space="preserve">, </w:t>
      </w:r>
      <w:r>
        <w:rPr>
          <w:color w:val="000000"/>
          <w:szCs w:val="22"/>
        </w:rPr>
        <w:t>Media Bureau:</w:t>
      </w:r>
    </w:p>
    <w:p w14:paraId="572C6CE9" w14:textId="77777777" w:rsidR="009657EF" w:rsidRDefault="009657EF" w:rsidP="009657EF">
      <w:pPr>
        <w:autoSpaceDE w:val="0"/>
        <w:autoSpaceDN w:val="0"/>
        <w:adjustRightInd w:val="0"/>
        <w:rPr>
          <w:color w:val="000000"/>
          <w:szCs w:val="22"/>
        </w:rPr>
      </w:pPr>
    </w:p>
    <w:p w14:paraId="5E5B0953" w14:textId="77777777" w:rsidR="009657EF" w:rsidRDefault="009657EF" w:rsidP="009657EF">
      <w:pPr>
        <w:pStyle w:val="ParaNum"/>
        <w:numPr>
          <w:ilvl w:val="0"/>
          <w:numId w:val="1"/>
        </w:numPr>
        <w:tabs>
          <w:tab w:val="clear" w:pos="1080"/>
          <w:tab w:val="num" w:pos="1440"/>
        </w:tabs>
        <w:spacing w:after="120"/>
        <w:jc w:val="left"/>
        <w:rPr>
          <w:szCs w:val="22"/>
        </w:rPr>
      </w:pPr>
      <w:r>
        <w:rPr>
          <w:szCs w:val="22"/>
        </w:rPr>
        <w:t>On February 18, 2016, the Federal Communications Commission adopted a Notice of Proposed Rulemaking and Memorandum Opinion and Order in which the Commission sought comment and reply comment on proposals to implement Section 629 of the Communications Act.</w:t>
      </w:r>
      <w:r>
        <w:rPr>
          <w:rStyle w:val="FootnoteReference"/>
          <w:szCs w:val="22"/>
        </w:rPr>
        <w:footnoteReference w:id="1"/>
      </w:r>
      <w:r>
        <w:rPr>
          <w:szCs w:val="22"/>
        </w:rPr>
        <w:t xml:space="preserve">  The </w:t>
      </w:r>
      <w:r w:rsidRPr="00240813">
        <w:rPr>
          <w:i/>
          <w:szCs w:val="22"/>
        </w:rPr>
        <w:t>Navigation Choice NPRM</w:t>
      </w:r>
      <w:r>
        <w:rPr>
          <w:szCs w:val="22"/>
        </w:rPr>
        <w:t xml:space="preserve"> set the deadline for filing comments at 30 days after its publication in the Federal Register and reply comments at 60 days after its publication in the Federal Register.</w:t>
      </w:r>
      <w:r>
        <w:rPr>
          <w:rStyle w:val="FootnoteReference"/>
          <w:szCs w:val="22"/>
        </w:rPr>
        <w:footnoteReference w:id="2"/>
      </w:r>
      <w:r>
        <w:rPr>
          <w:szCs w:val="22"/>
        </w:rPr>
        <w:t xml:space="preserve">  On </w:t>
      </w:r>
      <w:r>
        <w:rPr>
          <w:color w:val="000000"/>
          <w:szCs w:val="22"/>
        </w:rPr>
        <w:t>March 16, 2016</w:t>
      </w:r>
      <w:r>
        <w:rPr>
          <w:szCs w:val="22"/>
        </w:rPr>
        <w:t xml:space="preserve">, the </w:t>
      </w:r>
      <w:r w:rsidRPr="00240813">
        <w:rPr>
          <w:i/>
          <w:szCs w:val="22"/>
        </w:rPr>
        <w:t>Navigation Choice NPRM</w:t>
      </w:r>
      <w:r>
        <w:rPr>
          <w:szCs w:val="22"/>
        </w:rPr>
        <w:t xml:space="preserve"> was published in the Federal Register, which established the deadline for filing comments as April 15, 2016, and the deadline for filing reply comments as May 16, 2016.</w:t>
      </w:r>
      <w:r>
        <w:rPr>
          <w:rStyle w:val="FootnoteReference"/>
          <w:szCs w:val="22"/>
        </w:rPr>
        <w:footnoteReference w:id="3"/>
      </w:r>
    </w:p>
    <w:p w14:paraId="65819775" w14:textId="77777777" w:rsidR="009657EF" w:rsidRDefault="009657EF" w:rsidP="009657EF">
      <w:pPr>
        <w:pStyle w:val="ParaNum"/>
        <w:numPr>
          <w:ilvl w:val="0"/>
          <w:numId w:val="1"/>
        </w:numPr>
        <w:tabs>
          <w:tab w:val="clear" w:pos="1080"/>
          <w:tab w:val="num" w:pos="1440"/>
        </w:tabs>
        <w:spacing w:after="120"/>
        <w:jc w:val="left"/>
      </w:pPr>
      <w:r w:rsidRPr="004E239B">
        <w:t xml:space="preserve">On March 16, </w:t>
      </w:r>
      <w:r>
        <w:t xml:space="preserve">2016, </w:t>
      </w:r>
      <w:r w:rsidRPr="004E239B">
        <w:t>the American Cable Association (ACA) filed a motion to extend the established comment and reply comment deadlines by 30 days.</w:t>
      </w:r>
      <w:r>
        <w:rPr>
          <w:rStyle w:val="FootnoteReference"/>
          <w:color w:val="000000"/>
          <w:szCs w:val="22"/>
        </w:rPr>
        <w:footnoteReference w:id="4"/>
      </w:r>
      <w:r w:rsidRPr="004E239B">
        <w:t xml:space="preserve">  ACA argues a 30-day extension is in the public interest because it </w:t>
      </w:r>
      <w:r>
        <w:t xml:space="preserve">and its members </w:t>
      </w:r>
      <w:r w:rsidRPr="004E239B">
        <w:t xml:space="preserve">need more time to fully evaluate and respond to </w:t>
      </w:r>
      <w:r>
        <w:t xml:space="preserve">the “complex technical questions” presented in the </w:t>
      </w:r>
      <w:r w:rsidRPr="00A16D84">
        <w:rPr>
          <w:i/>
        </w:rPr>
        <w:t>Navigation Choice NPRM</w:t>
      </w:r>
      <w:r w:rsidRPr="004E239B">
        <w:t>.</w:t>
      </w:r>
      <w:r>
        <w:rPr>
          <w:rStyle w:val="FootnoteReference"/>
          <w:color w:val="000000"/>
          <w:szCs w:val="22"/>
        </w:rPr>
        <w:footnoteReference w:id="5"/>
      </w:r>
      <w:r>
        <w:t xml:space="preserve">  ACA suggests that this is particularly true for small cable operators because “</w:t>
      </w:r>
      <w:r w:rsidRPr="00A16D84">
        <w:rPr>
          <w:color w:val="000000"/>
          <w:szCs w:val="22"/>
        </w:rPr>
        <w:t>industry vendors that could aid in understanding key aspects of the proposal likely will prioritize their assistance during this short comment window to their larger</w:t>
      </w:r>
      <w:r>
        <w:rPr>
          <w:color w:val="000000"/>
          <w:szCs w:val="22"/>
        </w:rPr>
        <w:t xml:space="preserve"> </w:t>
      </w:r>
      <w:r w:rsidRPr="00A16D84">
        <w:rPr>
          <w:color w:val="000000"/>
          <w:szCs w:val="22"/>
        </w:rPr>
        <w:t>customers</w:t>
      </w:r>
      <w:r>
        <w:t>.”</w:t>
      </w:r>
      <w:r>
        <w:rPr>
          <w:rStyle w:val="FootnoteReference"/>
        </w:rPr>
        <w:footnoteReference w:id="6"/>
      </w:r>
      <w:r>
        <w:t xml:space="preserve">  ACA also notes that in two other instances where the Commission sought comment on the implementation of Section 629, it afforded more time for comment.</w:t>
      </w:r>
      <w:r>
        <w:rPr>
          <w:rStyle w:val="FootnoteReference"/>
        </w:rPr>
        <w:footnoteReference w:id="7"/>
      </w:r>
    </w:p>
    <w:p w14:paraId="379C4955" w14:textId="77777777" w:rsidR="009657EF" w:rsidRDefault="009657EF" w:rsidP="009657EF">
      <w:pPr>
        <w:pStyle w:val="ParaNumChar1"/>
        <w:jc w:val="left"/>
        <w:rPr>
          <w:szCs w:val="22"/>
        </w:rPr>
      </w:pPr>
      <w:r>
        <w:rPr>
          <w:szCs w:val="22"/>
        </w:rPr>
        <w:lastRenderedPageBreak/>
        <w:t>The Commission does not routinely grant extensions of time.</w:t>
      </w:r>
      <w:r>
        <w:rPr>
          <w:rStyle w:val="FootnoteReference"/>
          <w:szCs w:val="22"/>
        </w:rPr>
        <w:footnoteReference w:id="8"/>
      </w:r>
      <w:r>
        <w:rPr>
          <w:szCs w:val="22"/>
        </w:rPr>
        <w:t xml:space="preserve">  In this case, however, t</w:t>
      </w:r>
      <w:r w:rsidRPr="004E239B">
        <w:rPr>
          <w:snapToGrid/>
          <w:kern w:val="0"/>
          <w:szCs w:val="22"/>
        </w:rPr>
        <w:t>o ensure that parties hav</w:t>
      </w:r>
      <w:r>
        <w:rPr>
          <w:snapToGrid/>
          <w:kern w:val="0"/>
          <w:szCs w:val="22"/>
        </w:rPr>
        <w:t xml:space="preserve">e enough time to file comments, </w:t>
      </w:r>
      <w:r w:rsidRPr="004E239B">
        <w:rPr>
          <w:snapToGrid/>
          <w:kern w:val="0"/>
          <w:szCs w:val="22"/>
        </w:rPr>
        <w:t>and recognizing that many interested parties will be participating in the annual cable show in mid-May</w:t>
      </w:r>
      <w:r>
        <w:rPr>
          <w:snapToGrid/>
          <w:kern w:val="0"/>
          <w:szCs w:val="22"/>
        </w:rPr>
        <w:t>,</w:t>
      </w:r>
      <w:r>
        <w:rPr>
          <w:rStyle w:val="FootnoteReference"/>
          <w:snapToGrid/>
          <w:kern w:val="0"/>
          <w:szCs w:val="22"/>
        </w:rPr>
        <w:footnoteReference w:id="9"/>
      </w:r>
      <w:r>
        <w:rPr>
          <w:snapToGrid/>
          <w:kern w:val="0"/>
          <w:szCs w:val="22"/>
        </w:rPr>
        <w:t xml:space="preserve"> </w:t>
      </w:r>
      <w:r>
        <w:rPr>
          <w:szCs w:val="22"/>
        </w:rPr>
        <w:t xml:space="preserve">we find that granting a 7-day extension to the comment filing deadline and the reply comment filing deadline is appropriate.  Though we recognize that ACA requested a 30-day extension of the comment deadline, we are committed to resolving the issues raised in the </w:t>
      </w:r>
      <w:r w:rsidRPr="004E239B">
        <w:rPr>
          <w:i/>
          <w:szCs w:val="22"/>
        </w:rPr>
        <w:t xml:space="preserve">Navigation Choice NPRM </w:t>
      </w:r>
      <w:r>
        <w:rPr>
          <w:szCs w:val="22"/>
        </w:rPr>
        <w:t xml:space="preserve">in a timely manner and do not believe that a 30-day extension is necessary to give interested parties sufficient opportunity to submit their views.  </w:t>
      </w:r>
    </w:p>
    <w:p w14:paraId="01B615F4" w14:textId="77777777" w:rsidR="009657EF" w:rsidRDefault="009657EF" w:rsidP="009657EF">
      <w:pPr>
        <w:pStyle w:val="ParaNum"/>
        <w:numPr>
          <w:ilvl w:val="0"/>
          <w:numId w:val="1"/>
        </w:numPr>
        <w:tabs>
          <w:tab w:val="clear" w:pos="1080"/>
          <w:tab w:val="num" w:pos="1440"/>
        </w:tabs>
        <w:spacing w:after="120"/>
        <w:jc w:val="left"/>
      </w:pPr>
      <w:r>
        <w:rPr>
          <w:szCs w:val="22"/>
        </w:rPr>
        <w:t>Accordingly, IT IS ORDERED that, pursuant to Section 4(i) and 4(j) of the Communications Act of 1934, as amended, 47 U.S.C. §§ 154(i) and 154(j), and Sections 0.61, 0.283, 1.46, and 1.415 of the Commission’s Rules, 47 C.F.R. §§ 0.91, 0.291, 1.46, and 1.415, the motion of the American Cable Association IS GRANTED to the extent indicated herein and the deadlines to file comments in this proceeding are extended to April 22, 2016, and reply comments to May 23, 2016.</w:t>
      </w:r>
    </w:p>
    <w:p w14:paraId="4174DD79" w14:textId="77777777" w:rsidR="009657EF" w:rsidRDefault="009657EF" w:rsidP="009657EF">
      <w:pPr>
        <w:rPr>
          <w:color w:val="FF0000"/>
          <w:szCs w:val="22"/>
        </w:rPr>
      </w:pPr>
    </w:p>
    <w:p w14:paraId="3B614EC4" w14:textId="77777777" w:rsidR="009657EF" w:rsidRDefault="009657EF" w:rsidP="009657EF">
      <w:pPr>
        <w:ind w:left="3600" w:firstLine="720"/>
        <w:rPr>
          <w:szCs w:val="22"/>
        </w:rPr>
      </w:pPr>
      <w:r>
        <w:rPr>
          <w:szCs w:val="22"/>
        </w:rPr>
        <w:t>FEDERAL COMMUNICATIONS COMMISSION</w:t>
      </w:r>
    </w:p>
    <w:p w14:paraId="1F177D96" w14:textId="77777777" w:rsidR="009657EF" w:rsidRDefault="009657EF" w:rsidP="009657EF">
      <w:pPr>
        <w:rPr>
          <w:szCs w:val="22"/>
        </w:rPr>
      </w:pPr>
    </w:p>
    <w:p w14:paraId="6339A8CD" w14:textId="77777777" w:rsidR="009657EF" w:rsidRDefault="009657EF" w:rsidP="009657EF">
      <w:pPr>
        <w:rPr>
          <w:szCs w:val="22"/>
        </w:rPr>
      </w:pPr>
    </w:p>
    <w:p w14:paraId="360D9AFD" w14:textId="77777777" w:rsidR="009657EF" w:rsidRDefault="009657EF" w:rsidP="009657EF">
      <w:pPr>
        <w:rPr>
          <w:szCs w:val="22"/>
        </w:rPr>
      </w:pPr>
    </w:p>
    <w:p w14:paraId="42FF9F92" w14:textId="77777777" w:rsidR="009657EF" w:rsidRDefault="009657EF" w:rsidP="009657EF">
      <w:pPr>
        <w:rPr>
          <w:szCs w:val="22"/>
        </w:rPr>
      </w:pPr>
    </w:p>
    <w:p w14:paraId="63997EB3" w14:textId="77777777" w:rsidR="009657EF" w:rsidRDefault="009657EF" w:rsidP="009657EF">
      <w:pPr>
        <w:ind w:left="3600" w:firstLine="720"/>
        <w:rPr>
          <w:szCs w:val="22"/>
        </w:rPr>
      </w:pPr>
      <w:r>
        <w:rPr>
          <w:szCs w:val="22"/>
        </w:rPr>
        <w:t>William T. Lake</w:t>
      </w:r>
    </w:p>
    <w:p w14:paraId="129E90FE" w14:textId="77777777" w:rsidR="009657EF" w:rsidRDefault="009657EF" w:rsidP="009657EF">
      <w:pPr>
        <w:ind w:left="3600" w:firstLine="720"/>
        <w:rPr>
          <w:szCs w:val="22"/>
        </w:rPr>
      </w:pPr>
      <w:r>
        <w:rPr>
          <w:szCs w:val="22"/>
        </w:rPr>
        <w:t>Chief</w:t>
      </w:r>
    </w:p>
    <w:p w14:paraId="682D0C54" w14:textId="77777777" w:rsidR="009657EF" w:rsidRDefault="009657EF" w:rsidP="009657EF">
      <w:pPr>
        <w:ind w:left="3600" w:firstLine="720"/>
        <w:rPr>
          <w:szCs w:val="22"/>
        </w:rPr>
      </w:pPr>
      <w:r>
        <w:rPr>
          <w:szCs w:val="22"/>
        </w:rPr>
        <w:t>Media Bureau</w:t>
      </w:r>
    </w:p>
    <w:p w14:paraId="233EEB3A" w14:textId="77777777" w:rsidR="00F72607" w:rsidRDefault="00F72607"/>
    <w:sectPr w:rsidR="00F726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491D" w14:textId="77777777" w:rsidR="009657EF" w:rsidRDefault="009657EF" w:rsidP="009657EF">
      <w:r>
        <w:separator/>
      </w:r>
    </w:p>
  </w:endnote>
  <w:endnote w:type="continuationSeparator" w:id="0">
    <w:p w14:paraId="7EA2354A" w14:textId="77777777" w:rsidR="009657EF" w:rsidRDefault="009657EF" w:rsidP="0096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6C7D" w14:textId="77777777" w:rsidR="00D13BD2" w:rsidRDefault="00D13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F1D1" w14:textId="77777777" w:rsidR="006A3AFF" w:rsidRDefault="009657EF">
    <w:pPr>
      <w:pStyle w:val="Footer"/>
      <w:jc w:val="center"/>
    </w:pPr>
    <w:r>
      <w:rPr>
        <w:rStyle w:val="PageNumber"/>
      </w:rPr>
      <w:fldChar w:fldCharType="begin"/>
    </w:r>
    <w:r>
      <w:rPr>
        <w:rStyle w:val="PageNumber"/>
      </w:rPr>
      <w:instrText xml:space="preserve"> PAGE </w:instrText>
    </w:r>
    <w:r>
      <w:rPr>
        <w:rStyle w:val="PageNumber"/>
      </w:rPr>
      <w:fldChar w:fldCharType="separate"/>
    </w:r>
    <w:r w:rsidR="0051017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52C3" w14:textId="77777777" w:rsidR="00D13BD2" w:rsidRDefault="00D1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FBD2" w14:textId="77777777" w:rsidR="009657EF" w:rsidRDefault="009657EF" w:rsidP="009657EF">
      <w:r>
        <w:separator/>
      </w:r>
    </w:p>
  </w:footnote>
  <w:footnote w:type="continuationSeparator" w:id="0">
    <w:p w14:paraId="5234082D" w14:textId="77777777" w:rsidR="009657EF" w:rsidRDefault="009657EF" w:rsidP="009657EF">
      <w:r>
        <w:continuationSeparator/>
      </w:r>
    </w:p>
  </w:footnote>
  <w:footnote w:id="1">
    <w:p w14:paraId="069D2993" w14:textId="77777777" w:rsidR="009657EF" w:rsidRDefault="009657EF" w:rsidP="009657EF">
      <w:pPr>
        <w:pStyle w:val="FootnoteText"/>
        <w:jc w:val="left"/>
      </w:pPr>
      <w:r>
        <w:rPr>
          <w:rStyle w:val="FootnoteReference"/>
        </w:rPr>
        <w:footnoteRef/>
      </w:r>
      <w:r>
        <w:t xml:space="preserve"> </w:t>
      </w:r>
      <w:r>
        <w:rPr>
          <w:i/>
        </w:rPr>
        <w:t>See</w:t>
      </w:r>
      <w:r>
        <w:t xml:space="preserve"> </w:t>
      </w:r>
      <w:r>
        <w:rPr>
          <w:i/>
        </w:rPr>
        <w:t>Expanding Consumers’ Video Navigation Choices; Commercial Availability of Navigation Devices</w:t>
      </w:r>
      <w:r>
        <w:t>, MB Docket No. 16-42, CS Docket No. 97-80, Notice of Proposed Rulemaking and Memorandum Opinion and Order, FCC 16-18 (rel. Feb. 18, 2016) (</w:t>
      </w:r>
      <w:r>
        <w:rPr>
          <w:i/>
        </w:rPr>
        <w:t>Navigation Choice NPRM</w:t>
      </w:r>
      <w:r>
        <w:t>).</w:t>
      </w:r>
    </w:p>
  </w:footnote>
  <w:footnote w:id="2">
    <w:p w14:paraId="565091F1" w14:textId="77777777" w:rsidR="009657EF" w:rsidRDefault="009657EF" w:rsidP="009657EF">
      <w:pPr>
        <w:pStyle w:val="FootnoteText"/>
        <w:jc w:val="left"/>
        <w:rPr>
          <w:i/>
        </w:rPr>
      </w:pPr>
      <w:r>
        <w:rPr>
          <w:rStyle w:val="FootnoteReference"/>
        </w:rPr>
        <w:footnoteRef/>
      </w:r>
      <w:r>
        <w:t xml:space="preserve"> </w:t>
      </w:r>
      <w:r>
        <w:rPr>
          <w:i/>
        </w:rPr>
        <w:t>Id.</w:t>
      </w:r>
    </w:p>
  </w:footnote>
  <w:footnote w:id="3">
    <w:p w14:paraId="6BFBA476" w14:textId="71939716" w:rsidR="009657EF" w:rsidRDefault="009657EF" w:rsidP="009657EF">
      <w:pPr>
        <w:pStyle w:val="FootnoteText"/>
      </w:pPr>
      <w:r>
        <w:rPr>
          <w:rStyle w:val="FootnoteReference"/>
        </w:rPr>
        <w:footnoteRef/>
      </w:r>
      <w:r>
        <w:t xml:space="preserve"> Expanding Consumers’</w:t>
      </w:r>
      <w:r w:rsidRPr="001B4980">
        <w:t xml:space="preserve"> Video Navigation Choices; Commercial Availability of Navigation Devices</w:t>
      </w:r>
      <w:r>
        <w:t xml:space="preserve">, 81 Fed. Reg. 14033 (March 16, 2016), </w:t>
      </w:r>
      <w:hyperlink r:id="rId1" w:history="1">
        <w:r w:rsidRPr="000461B6">
          <w:rPr>
            <w:rStyle w:val="Hyperlink"/>
          </w:rPr>
          <w:t>https://federalregister.gov/a/2016-05763</w:t>
        </w:r>
      </w:hyperlink>
      <w:r>
        <w:t>.</w:t>
      </w:r>
    </w:p>
  </w:footnote>
  <w:footnote w:id="4">
    <w:p w14:paraId="2FE141DF" w14:textId="77777777" w:rsidR="009657EF" w:rsidRDefault="009657EF" w:rsidP="009657EF">
      <w:pPr>
        <w:pStyle w:val="FootnoteText"/>
        <w:jc w:val="left"/>
      </w:pPr>
      <w:r>
        <w:rPr>
          <w:rStyle w:val="FootnoteReference"/>
        </w:rPr>
        <w:footnoteRef/>
      </w:r>
      <w:r>
        <w:t xml:space="preserve"> American Cable Association’s Motion for Extension of Time, MB Docket No. 16-42, CS Docket No. 97-80 (filed March 16, 2016).</w:t>
      </w:r>
    </w:p>
  </w:footnote>
  <w:footnote w:id="5">
    <w:p w14:paraId="6FA8DD5A" w14:textId="77777777" w:rsidR="009657EF" w:rsidRDefault="009657EF" w:rsidP="009657EF">
      <w:pPr>
        <w:pStyle w:val="FootnoteText"/>
        <w:jc w:val="left"/>
      </w:pPr>
      <w:r>
        <w:rPr>
          <w:rStyle w:val="FootnoteReference"/>
        </w:rPr>
        <w:footnoteRef/>
      </w:r>
      <w:r>
        <w:t xml:space="preserve"> </w:t>
      </w:r>
      <w:r>
        <w:rPr>
          <w:i/>
        </w:rPr>
        <w:t>Id.</w:t>
      </w:r>
      <w:r>
        <w:t xml:space="preserve"> at 3.</w:t>
      </w:r>
    </w:p>
  </w:footnote>
  <w:footnote w:id="6">
    <w:p w14:paraId="3C40C1A1" w14:textId="77777777" w:rsidR="009657EF" w:rsidRDefault="009657EF" w:rsidP="009657EF">
      <w:pPr>
        <w:pStyle w:val="FootnoteText"/>
      </w:pPr>
      <w:r>
        <w:rPr>
          <w:rStyle w:val="FootnoteReference"/>
        </w:rPr>
        <w:footnoteRef/>
      </w:r>
      <w:r>
        <w:t xml:space="preserve"> </w:t>
      </w:r>
      <w:r w:rsidRPr="00A16D84">
        <w:rPr>
          <w:i/>
        </w:rPr>
        <w:t>Id</w:t>
      </w:r>
      <w:r>
        <w:t>. at 4.</w:t>
      </w:r>
    </w:p>
  </w:footnote>
  <w:footnote w:id="7">
    <w:p w14:paraId="1B5101C0" w14:textId="77777777" w:rsidR="009657EF" w:rsidRPr="00C43535" w:rsidRDefault="009657EF" w:rsidP="009657EF">
      <w:pPr>
        <w:pStyle w:val="FootnoteText"/>
        <w:jc w:val="left"/>
      </w:pPr>
      <w:r>
        <w:rPr>
          <w:rStyle w:val="FootnoteReference"/>
        </w:rPr>
        <w:footnoteRef/>
      </w:r>
      <w:r>
        <w:t xml:space="preserve"> </w:t>
      </w:r>
      <w:r w:rsidRPr="006B53E2">
        <w:rPr>
          <w:i/>
        </w:rPr>
        <w:t>Id</w:t>
      </w:r>
      <w:r>
        <w:t xml:space="preserve">. at 4-5 (citing </w:t>
      </w:r>
      <w:r w:rsidRPr="006B53E2">
        <w:rPr>
          <w:i/>
        </w:rPr>
        <w:t>Video Device Competition; Implementation of Section 304 of the Telecommunications Act of 1996; Commercial Availability of Navigation Devices; Compatibility Between Cable Systems and Consumer Electronics Equipment</w:t>
      </w:r>
      <w:r>
        <w:t xml:space="preserve">, Notice of Inquiry, 25 FCC Rcd 4275 (2010) (83 days for comments from date of release); </w:t>
      </w:r>
      <w:r w:rsidRPr="00C43535">
        <w:rPr>
          <w:i/>
        </w:rPr>
        <w:t>Implementation of Section 304 of the Telecommunications Act of 1996 Commercial Availability of Navigation Devices</w:t>
      </w:r>
      <w:r>
        <w:t xml:space="preserve">, Notice of Proposed Rulemaking, 12 FCC Rcd 5639 (1997) (85 days for comments from date of release).).  </w:t>
      </w:r>
      <w:r w:rsidRPr="00C43535">
        <w:rPr>
          <w:i/>
        </w:rPr>
        <w:t>But see</w:t>
      </w:r>
      <w:r>
        <w:t xml:space="preserve"> </w:t>
      </w:r>
      <w:r w:rsidRPr="00C43535">
        <w:rPr>
          <w:i/>
        </w:rPr>
        <w:t>Media Bureau Announces Comment and Reply Comment Dates for the Fourth Further Notice of Proposed Rulemaking in the CableCARD Proceeding</w:t>
      </w:r>
      <w:r>
        <w:t xml:space="preserve">, Public Notice, 25 FCC Rcd 5433 (2010) (54 days for comments from date of release). </w:t>
      </w:r>
    </w:p>
  </w:footnote>
  <w:footnote w:id="8">
    <w:p w14:paraId="0DBCE870" w14:textId="77777777" w:rsidR="009657EF" w:rsidRDefault="009657EF" w:rsidP="009657EF">
      <w:pPr>
        <w:pStyle w:val="FootnoteText"/>
        <w:jc w:val="left"/>
      </w:pPr>
      <w:r>
        <w:rPr>
          <w:rStyle w:val="FootnoteReference"/>
        </w:rPr>
        <w:footnoteRef/>
      </w:r>
      <w:r>
        <w:t xml:space="preserve"> 47 C.F.R. § 1.46(a).</w:t>
      </w:r>
    </w:p>
  </w:footnote>
  <w:footnote w:id="9">
    <w:p w14:paraId="232DC151" w14:textId="5B7D6149" w:rsidR="009657EF" w:rsidRDefault="009657EF" w:rsidP="009657EF">
      <w:pPr>
        <w:pStyle w:val="FootnoteText"/>
      </w:pPr>
      <w:r>
        <w:rPr>
          <w:rStyle w:val="FootnoteReference"/>
        </w:rPr>
        <w:footnoteRef/>
      </w:r>
      <w:r>
        <w:t xml:space="preserve"> </w:t>
      </w:r>
      <w:r w:rsidRPr="00D14F58">
        <w:rPr>
          <w:i/>
        </w:rPr>
        <w:t>See</w:t>
      </w:r>
      <w:r>
        <w:t xml:space="preserve"> INTX 2016, NCTA’s Annual Conference and Expo, </w:t>
      </w:r>
      <w:hyperlink r:id="rId2" w:history="1">
        <w:r w:rsidRPr="000461B6">
          <w:rPr>
            <w:rStyle w:val="Hyperlink"/>
          </w:rPr>
          <w:t>https://www.intxshow.com/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D9CD" w14:textId="77777777" w:rsidR="00D13BD2" w:rsidRDefault="00D13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54995" w14:textId="6BA60C8A" w:rsidR="006A3AFF" w:rsidRDefault="009657EF">
    <w:pPr>
      <w:pStyle w:val="Header"/>
      <w:tabs>
        <w:tab w:val="clear" w:pos="4320"/>
        <w:tab w:val="clear" w:pos="8640"/>
        <w:tab w:val="center" w:pos="4680"/>
        <w:tab w:val="right" w:pos="9360"/>
      </w:tabs>
      <w:rPr>
        <w:b/>
      </w:rPr>
    </w:pPr>
    <w:r>
      <w:rPr>
        <w:b/>
      </w:rPr>
      <w:tab/>
      <w:t>Federal Communications Commission</w:t>
    </w:r>
    <w:r>
      <w:rPr>
        <w:b/>
      </w:rPr>
      <w:tab/>
      <w:t>DA 1</w:t>
    </w:r>
    <w:r w:rsidR="00BA3525">
      <w:rPr>
        <w:b/>
      </w:rPr>
      <w:t>6-289</w:t>
    </w:r>
  </w:p>
  <w:p w14:paraId="6BA4B5BD" w14:textId="77777777" w:rsidR="006A3AFF" w:rsidRDefault="009657EF">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244EF207" wp14:editId="03A7B15E">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6C45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14:paraId="28DD00FB" w14:textId="77777777" w:rsidR="006A3AFF" w:rsidRDefault="00510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C058" w14:textId="2A690C9E" w:rsidR="006A3AFF" w:rsidRDefault="009657EF">
    <w:pPr>
      <w:pStyle w:val="Header"/>
      <w:tabs>
        <w:tab w:val="clear" w:pos="4320"/>
        <w:tab w:val="clear" w:pos="8640"/>
        <w:tab w:val="center" w:pos="4680"/>
        <w:tab w:val="right" w:pos="9360"/>
      </w:tabs>
      <w:rPr>
        <w:b/>
      </w:rPr>
    </w:pPr>
    <w:r>
      <w:rPr>
        <w:b/>
      </w:rPr>
      <w:tab/>
      <w:t>Federal Communications Commission</w:t>
    </w:r>
    <w:r>
      <w:rPr>
        <w:b/>
      </w:rPr>
      <w:tab/>
      <w:t>DA 16-</w:t>
    </w:r>
    <w:r w:rsidR="00BA3525">
      <w:rPr>
        <w:b/>
      </w:rPr>
      <w:t>289</w:t>
    </w:r>
  </w:p>
  <w:p w14:paraId="6BCA9F8C" w14:textId="77777777" w:rsidR="006A3AFF" w:rsidRDefault="009657EF">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534C06D0" wp14:editId="26AE4516">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079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Char1"/>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EF"/>
    <w:rsid w:val="003D15D2"/>
    <w:rsid w:val="00510173"/>
    <w:rsid w:val="00511FDD"/>
    <w:rsid w:val="009657EF"/>
    <w:rsid w:val="00BA3525"/>
    <w:rsid w:val="00D13BD2"/>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0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E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657EF"/>
    <w:pPr>
      <w:widowControl w:val="0"/>
      <w:tabs>
        <w:tab w:val="num" w:pos="1080"/>
        <w:tab w:val="left" w:pos="1440"/>
      </w:tabs>
      <w:spacing w:after="220"/>
      <w:ind w:firstLine="7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
    <w:basedOn w:val="Normal"/>
    <w:link w:val="FootnoteTextChar3"/>
    <w:semiHidden/>
    <w:rsid w:val="009657EF"/>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9657EF"/>
    <w:rPr>
      <w:rFonts w:ascii="Times New Roman" w:eastAsia="Times New Roman" w:hAnsi="Times New Roman" w:cs="Times New Roman"/>
      <w:sz w:val="20"/>
      <w:szCs w:val="20"/>
    </w:rPr>
  </w:style>
  <w:style w:type="character" w:styleId="FootnoteReference">
    <w:name w:val="footnote reference"/>
    <w:semiHidden/>
    <w:rsid w:val="009657EF"/>
    <w:rPr>
      <w:vertAlign w:val="superscript"/>
    </w:rPr>
  </w:style>
  <w:style w:type="paragraph" w:styleId="Header">
    <w:name w:val="header"/>
    <w:basedOn w:val="Normal"/>
    <w:link w:val="HeaderChar"/>
    <w:rsid w:val="009657EF"/>
    <w:pPr>
      <w:tabs>
        <w:tab w:val="center" w:pos="4320"/>
        <w:tab w:val="right" w:pos="8640"/>
      </w:tabs>
    </w:pPr>
  </w:style>
  <w:style w:type="character" w:customStyle="1" w:styleId="HeaderChar">
    <w:name w:val="Header Char"/>
    <w:basedOn w:val="DefaultParagraphFont"/>
    <w:link w:val="Header"/>
    <w:rsid w:val="009657EF"/>
    <w:rPr>
      <w:rFonts w:ascii="Times New Roman" w:eastAsia="Times New Roman" w:hAnsi="Times New Roman" w:cs="Times New Roman"/>
      <w:szCs w:val="20"/>
    </w:rPr>
  </w:style>
  <w:style w:type="paragraph" w:styleId="Footer">
    <w:name w:val="footer"/>
    <w:basedOn w:val="Normal"/>
    <w:link w:val="FooterChar"/>
    <w:rsid w:val="009657EF"/>
    <w:pPr>
      <w:tabs>
        <w:tab w:val="center" w:pos="4320"/>
        <w:tab w:val="right" w:pos="8640"/>
      </w:tabs>
    </w:pPr>
  </w:style>
  <w:style w:type="character" w:customStyle="1" w:styleId="FooterChar">
    <w:name w:val="Footer Char"/>
    <w:basedOn w:val="DefaultParagraphFont"/>
    <w:link w:val="Footer"/>
    <w:rsid w:val="009657EF"/>
    <w:rPr>
      <w:rFonts w:ascii="Times New Roman" w:eastAsia="Times New Roman" w:hAnsi="Times New Roman" w:cs="Times New Roman"/>
      <w:szCs w:val="20"/>
    </w:rPr>
  </w:style>
  <w:style w:type="character" w:styleId="PageNumber">
    <w:name w:val="page number"/>
    <w:basedOn w:val="DefaultParagraphFont"/>
    <w:rsid w:val="009657EF"/>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
    <w:link w:val="FootnoteText"/>
    <w:semiHidden/>
    <w:rsid w:val="009657EF"/>
    <w:rPr>
      <w:rFonts w:ascii="Times New Roman" w:eastAsia="Times New Roman" w:hAnsi="Times New Roman" w:cs="Times New Roman"/>
      <w:sz w:val="20"/>
      <w:szCs w:val="20"/>
    </w:rPr>
  </w:style>
  <w:style w:type="paragraph" w:customStyle="1" w:styleId="ParaNumChar1">
    <w:name w:val="ParaNum Char1"/>
    <w:basedOn w:val="Normal"/>
    <w:rsid w:val="009657EF"/>
    <w:pPr>
      <w:widowControl w:val="0"/>
      <w:numPr>
        <w:numId w:val="1"/>
      </w:numPr>
      <w:spacing w:after="220"/>
      <w:jc w:val="both"/>
    </w:pPr>
    <w:rPr>
      <w:snapToGrid w:val="0"/>
      <w:kern w:val="28"/>
    </w:rPr>
  </w:style>
  <w:style w:type="paragraph" w:customStyle="1" w:styleId="StyleBoldCentered">
    <w:name w:val="Style Bold Centered"/>
    <w:basedOn w:val="Normal"/>
    <w:rsid w:val="009657EF"/>
    <w:pPr>
      <w:widowControl w:val="0"/>
      <w:jc w:val="center"/>
    </w:pPr>
    <w:rPr>
      <w:rFonts w:ascii="Times New Roman Bold" w:hAnsi="Times New Roman Bold"/>
      <w:b/>
      <w:bCs/>
      <w:caps/>
      <w:snapToGrid w:val="0"/>
      <w:kern w:val="28"/>
      <w:szCs w:val="22"/>
    </w:rPr>
  </w:style>
  <w:style w:type="character" w:styleId="Hyperlink">
    <w:name w:val="Hyperlink"/>
    <w:rsid w:val="009657EF"/>
    <w:rPr>
      <w:color w:val="0563C1"/>
      <w:u w:val="single"/>
    </w:rPr>
  </w:style>
  <w:style w:type="paragraph" w:styleId="BalloonText">
    <w:name w:val="Balloon Text"/>
    <w:basedOn w:val="Normal"/>
    <w:link w:val="BalloonTextChar"/>
    <w:uiPriority w:val="99"/>
    <w:semiHidden/>
    <w:unhideWhenUsed/>
    <w:rsid w:val="00965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E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E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657EF"/>
    <w:pPr>
      <w:widowControl w:val="0"/>
      <w:tabs>
        <w:tab w:val="num" w:pos="1080"/>
        <w:tab w:val="left" w:pos="1440"/>
      </w:tabs>
      <w:spacing w:after="220"/>
      <w:ind w:firstLine="7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
    <w:basedOn w:val="Normal"/>
    <w:link w:val="FootnoteTextChar3"/>
    <w:semiHidden/>
    <w:rsid w:val="009657EF"/>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9657EF"/>
    <w:rPr>
      <w:rFonts w:ascii="Times New Roman" w:eastAsia="Times New Roman" w:hAnsi="Times New Roman" w:cs="Times New Roman"/>
      <w:sz w:val="20"/>
      <w:szCs w:val="20"/>
    </w:rPr>
  </w:style>
  <w:style w:type="character" w:styleId="FootnoteReference">
    <w:name w:val="footnote reference"/>
    <w:semiHidden/>
    <w:rsid w:val="009657EF"/>
    <w:rPr>
      <w:vertAlign w:val="superscript"/>
    </w:rPr>
  </w:style>
  <w:style w:type="paragraph" w:styleId="Header">
    <w:name w:val="header"/>
    <w:basedOn w:val="Normal"/>
    <w:link w:val="HeaderChar"/>
    <w:rsid w:val="009657EF"/>
    <w:pPr>
      <w:tabs>
        <w:tab w:val="center" w:pos="4320"/>
        <w:tab w:val="right" w:pos="8640"/>
      </w:tabs>
    </w:pPr>
  </w:style>
  <w:style w:type="character" w:customStyle="1" w:styleId="HeaderChar">
    <w:name w:val="Header Char"/>
    <w:basedOn w:val="DefaultParagraphFont"/>
    <w:link w:val="Header"/>
    <w:rsid w:val="009657EF"/>
    <w:rPr>
      <w:rFonts w:ascii="Times New Roman" w:eastAsia="Times New Roman" w:hAnsi="Times New Roman" w:cs="Times New Roman"/>
      <w:szCs w:val="20"/>
    </w:rPr>
  </w:style>
  <w:style w:type="paragraph" w:styleId="Footer">
    <w:name w:val="footer"/>
    <w:basedOn w:val="Normal"/>
    <w:link w:val="FooterChar"/>
    <w:rsid w:val="009657EF"/>
    <w:pPr>
      <w:tabs>
        <w:tab w:val="center" w:pos="4320"/>
        <w:tab w:val="right" w:pos="8640"/>
      </w:tabs>
    </w:pPr>
  </w:style>
  <w:style w:type="character" w:customStyle="1" w:styleId="FooterChar">
    <w:name w:val="Footer Char"/>
    <w:basedOn w:val="DefaultParagraphFont"/>
    <w:link w:val="Footer"/>
    <w:rsid w:val="009657EF"/>
    <w:rPr>
      <w:rFonts w:ascii="Times New Roman" w:eastAsia="Times New Roman" w:hAnsi="Times New Roman" w:cs="Times New Roman"/>
      <w:szCs w:val="20"/>
    </w:rPr>
  </w:style>
  <w:style w:type="character" w:styleId="PageNumber">
    <w:name w:val="page number"/>
    <w:basedOn w:val="DefaultParagraphFont"/>
    <w:rsid w:val="009657EF"/>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
    <w:link w:val="FootnoteText"/>
    <w:semiHidden/>
    <w:rsid w:val="009657EF"/>
    <w:rPr>
      <w:rFonts w:ascii="Times New Roman" w:eastAsia="Times New Roman" w:hAnsi="Times New Roman" w:cs="Times New Roman"/>
      <w:sz w:val="20"/>
      <w:szCs w:val="20"/>
    </w:rPr>
  </w:style>
  <w:style w:type="paragraph" w:customStyle="1" w:styleId="ParaNumChar1">
    <w:name w:val="ParaNum Char1"/>
    <w:basedOn w:val="Normal"/>
    <w:rsid w:val="009657EF"/>
    <w:pPr>
      <w:widowControl w:val="0"/>
      <w:numPr>
        <w:numId w:val="1"/>
      </w:numPr>
      <w:spacing w:after="220"/>
      <w:jc w:val="both"/>
    </w:pPr>
    <w:rPr>
      <w:snapToGrid w:val="0"/>
      <w:kern w:val="28"/>
    </w:rPr>
  </w:style>
  <w:style w:type="paragraph" w:customStyle="1" w:styleId="StyleBoldCentered">
    <w:name w:val="Style Bold Centered"/>
    <w:basedOn w:val="Normal"/>
    <w:rsid w:val="009657EF"/>
    <w:pPr>
      <w:widowControl w:val="0"/>
      <w:jc w:val="center"/>
    </w:pPr>
    <w:rPr>
      <w:rFonts w:ascii="Times New Roman Bold" w:hAnsi="Times New Roman Bold"/>
      <w:b/>
      <w:bCs/>
      <w:caps/>
      <w:snapToGrid w:val="0"/>
      <w:kern w:val="28"/>
      <w:szCs w:val="22"/>
    </w:rPr>
  </w:style>
  <w:style w:type="character" w:styleId="Hyperlink">
    <w:name w:val="Hyperlink"/>
    <w:rsid w:val="009657EF"/>
    <w:rPr>
      <w:color w:val="0563C1"/>
      <w:u w:val="single"/>
    </w:rPr>
  </w:style>
  <w:style w:type="paragraph" w:styleId="BalloonText">
    <w:name w:val="Balloon Text"/>
    <w:basedOn w:val="Normal"/>
    <w:link w:val="BalloonTextChar"/>
    <w:uiPriority w:val="99"/>
    <w:semiHidden/>
    <w:unhideWhenUsed/>
    <w:rsid w:val="00965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txshow.com/" TargetMode="External"/><Relationship Id="rId1" Type="http://schemas.openxmlformats.org/officeDocument/2006/relationships/hyperlink" Target="https://federalregister.gov/a/2016-05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2582</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2016-03-17T18:36:00Z</cp:lastPrinted>
  <dcterms:created xsi:type="dcterms:W3CDTF">2016-03-17T19:23:00Z</dcterms:created>
  <dcterms:modified xsi:type="dcterms:W3CDTF">2016-03-17T19:23:00Z</dcterms:modified>
  <cp:category> </cp:category>
  <cp:contentStatus> </cp:contentStatus>
</cp:coreProperties>
</file>