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8E366" w14:textId="77777777" w:rsidR="00F84BCA" w:rsidRPr="00ED5746" w:rsidRDefault="00F84BCA" w:rsidP="00F84BCA">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3EA8B1DF" w14:textId="77777777" w:rsidR="00F84BCA" w:rsidRPr="00ED5746" w:rsidRDefault="00F84BCA" w:rsidP="00F84BCA">
      <w:pPr>
        <w:pStyle w:val="StyleBoldCentered"/>
      </w:pPr>
      <w:r w:rsidRPr="00ED5746">
        <w:t>F</w:t>
      </w:r>
      <w:r w:rsidRPr="00ED5746">
        <w:rPr>
          <w:caps w:val="0"/>
        </w:rPr>
        <w:t>ederal Communications Commission</w:t>
      </w:r>
    </w:p>
    <w:p w14:paraId="68BC8E7A" w14:textId="77777777" w:rsidR="00F84BCA" w:rsidRPr="00ED5746" w:rsidRDefault="00F84BCA" w:rsidP="00F84BCA">
      <w:pPr>
        <w:pStyle w:val="StyleBoldCentered"/>
      </w:pPr>
      <w:r w:rsidRPr="00ED5746">
        <w:rPr>
          <w:caps w:val="0"/>
        </w:rPr>
        <w:t>Washington, DC 20554</w:t>
      </w:r>
    </w:p>
    <w:p w14:paraId="24B2CFB0" w14:textId="77777777" w:rsidR="00F84BCA" w:rsidRPr="00ED5746" w:rsidRDefault="00F84BCA" w:rsidP="00F84BCA"/>
    <w:tbl>
      <w:tblPr>
        <w:tblW w:w="9576" w:type="dxa"/>
        <w:tblInd w:w="-108" w:type="dxa"/>
        <w:tblLayout w:type="fixed"/>
        <w:tblLook w:val="0000" w:firstRow="0" w:lastRow="0" w:firstColumn="0" w:lastColumn="0" w:noHBand="0" w:noVBand="0"/>
      </w:tblPr>
      <w:tblGrid>
        <w:gridCol w:w="4698"/>
        <w:gridCol w:w="630"/>
        <w:gridCol w:w="4248"/>
      </w:tblGrid>
      <w:tr w:rsidR="00ED5746" w:rsidRPr="00D84548" w14:paraId="5753C2A8" w14:textId="77777777" w:rsidTr="00BE2B30">
        <w:tc>
          <w:tcPr>
            <w:tcW w:w="4698" w:type="dxa"/>
          </w:tcPr>
          <w:p w14:paraId="7AD665F4" w14:textId="77777777" w:rsidR="00ED5746" w:rsidRPr="00D84548" w:rsidRDefault="00ED5746" w:rsidP="00BE2B30">
            <w:pPr>
              <w:tabs>
                <w:tab w:val="center" w:pos="4680"/>
              </w:tabs>
              <w:suppressAutoHyphens/>
              <w:rPr>
                <w:spacing w:val="-2"/>
              </w:rPr>
            </w:pPr>
            <w:r w:rsidRPr="00ED5746">
              <w:rPr>
                <w:spacing w:val="-2"/>
              </w:rPr>
              <w:t>In the Matter of</w:t>
            </w:r>
          </w:p>
          <w:p w14:paraId="0E124BBD" w14:textId="77777777" w:rsidR="00ED5746" w:rsidRPr="00D23E19" w:rsidRDefault="00ED5746" w:rsidP="00CF6B78">
            <w:pPr>
              <w:tabs>
                <w:tab w:val="left" w:pos="360"/>
                <w:tab w:val="center" w:pos="4680"/>
                <w:tab w:val="right" w:leader="dot" w:pos="9360"/>
              </w:tabs>
              <w:suppressAutoHyphens/>
              <w:ind w:left="360" w:right="720" w:hanging="360"/>
              <w:rPr>
                <w:spacing w:val="-2"/>
              </w:rPr>
            </w:pPr>
          </w:p>
          <w:p w14:paraId="6EF03C24" w14:textId="733D9A9E" w:rsidR="00ED5746" w:rsidRDefault="00004A77" w:rsidP="00AA4B16">
            <w:pPr>
              <w:autoSpaceDE w:val="0"/>
              <w:autoSpaceDN w:val="0"/>
              <w:adjustRightInd w:val="0"/>
              <w:rPr>
                <w:szCs w:val="22"/>
              </w:rPr>
            </w:pPr>
            <w:r>
              <w:rPr>
                <w:szCs w:val="22"/>
              </w:rPr>
              <w:t xml:space="preserve">The </w:t>
            </w:r>
            <w:r w:rsidR="00C53EA3">
              <w:rPr>
                <w:szCs w:val="22"/>
              </w:rPr>
              <w:t>Supply Room, Inc</w:t>
            </w:r>
            <w:r w:rsidR="00DC1B7A">
              <w:rPr>
                <w:szCs w:val="22"/>
              </w:rPr>
              <w:t>.</w:t>
            </w:r>
          </w:p>
          <w:p w14:paraId="114030E9" w14:textId="3A20ECAF" w:rsidR="00B675F9" w:rsidRPr="00D84548" w:rsidRDefault="00C53EA3" w:rsidP="00C53EA3">
            <w:pPr>
              <w:autoSpaceDE w:val="0"/>
              <w:autoSpaceDN w:val="0"/>
              <w:adjustRightInd w:val="0"/>
            </w:pPr>
            <w:r>
              <w:rPr>
                <w:szCs w:val="22"/>
              </w:rPr>
              <w:t>Oxford</w:t>
            </w:r>
            <w:r w:rsidR="00B675F9">
              <w:rPr>
                <w:szCs w:val="22"/>
              </w:rPr>
              <w:t xml:space="preserve">, </w:t>
            </w:r>
            <w:r>
              <w:rPr>
                <w:szCs w:val="22"/>
              </w:rPr>
              <w:t>Alabama</w:t>
            </w:r>
          </w:p>
        </w:tc>
        <w:tc>
          <w:tcPr>
            <w:tcW w:w="630" w:type="dxa"/>
          </w:tcPr>
          <w:p w14:paraId="66A1099F" w14:textId="77777777" w:rsidR="00ED5746" w:rsidRPr="00D84548" w:rsidRDefault="00ED5746" w:rsidP="00CF6B78">
            <w:pPr>
              <w:tabs>
                <w:tab w:val="center" w:pos="4680"/>
              </w:tabs>
              <w:suppressAutoHyphens/>
              <w:rPr>
                <w:b/>
                <w:spacing w:val="-2"/>
              </w:rPr>
            </w:pPr>
            <w:r w:rsidRPr="00D84548">
              <w:rPr>
                <w:b/>
                <w:spacing w:val="-2"/>
              </w:rPr>
              <w:t>)</w:t>
            </w:r>
          </w:p>
          <w:p w14:paraId="4AFB14B1" w14:textId="77777777" w:rsidR="00ED5746" w:rsidRPr="00D23E19" w:rsidRDefault="00ED5746" w:rsidP="00CF6B78">
            <w:pPr>
              <w:tabs>
                <w:tab w:val="center" w:pos="4680"/>
              </w:tabs>
              <w:suppressAutoHyphens/>
              <w:rPr>
                <w:b/>
                <w:spacing w:val="-2"/>
              </w:rPr>
            </w:pPr>
            <w:r w:rsidRPr="00D84548">
              <w:rPr>
                <w:b/>
                <w:spacing w:val="-2"/>
              </w:rPr>
              <w:t>)</w:t>
            </w:r>
          </w:p>
          <w:p w14:paraId="1D55B4C7" w14:textId="77777777" w:rsidR="00ED5746" w:rsidRPr="00D23E19" w:rsidRDefault="00ED5746" w:rsidP="00CF6B78">
            <w:pPr>
              <w:tabs>
                <w:tab w:val="center" w:pos="4680"/>
              </w:tabs>
              <w:suppressAutoHyphens/>
              <w:rPr>
                <w:b/>
                <w:spacing w:val="-2"/>
              </w:rPr>
            </w:pPr>
            <w:r w:rsidRPr="00D84548">
              <w:rPr>
                <w:b/>
                <w:spacing w:val="-2"/>
              </w:rPr>
              <w:t>)</w:t>
            </w:r>
          </w:p>
          <w:p w14:paraId="7C04EE09" w14:textId="77777777" w:rsidR="00ED5746" w:rsidRPr="00D23E19" w:rsidRDefault="00ED5746" w:rsidP="00CF6B78">
            <w:pPr>
              <w:tabs>
                <w:tab w:val="center" w:pos="4680"/>
              </w:tabs>
              <w:suppressAutoHyphens/>
              <w:rPr>
                <w:b/>
                <w:spacing w:val="-2"/>
              </w:rPr>
            </w:pPr>
            <w:r w:rsidRPr="00D84548">
              <w:rPr>
                <w:b/>
                <w:spacing w:val="-2"/>
              </w:rPr>
              <w:t>)</w:t>
            </w:r>
          </w:p>
          <w:p w14:paraId="642CD4DD" w14:textId="77777777" w:rsidR="00ED5746" w:rsidRPr="00D23E19" w:rsidRDefault="00ED5746" w:rsidP="00CF6B78">
            <w:pPr>
              <w:tabs>
                <w:tab w:val="center" w:pos="4680"/>
              </w:tabs>
              <w:suppressAutoHyphens/>
              <w:rPr>
                <w:b/>
                <w:spacing w:val="-2"/>
              </w:rPr>
            </w:pPr>
            <w:r w:rsidRPr="00D84548">
              <w:rPr>
                <w:b/>
                <w:spacing w:val="-2"/>
              </w:rPr>
              <w:t>)</w:t>
            </w:r>
          </w:p>
          <w:p w14:paraId="26EF1D65" w14:textId="77777777" w:rsidR="00ED5746" w:rsidRPr="00D23E19" w:rsidRDefault="00ED5746" w:rsidP="00CF6B78">
            <w:pPr>
              <w:tabs>
                <w:tab w:val="center" w:pos="4680"/>
              </w:tabs>
              <w:suppressAutoHyphens/>
              <w:rPr>
                <w:b/>
                <w:spacing w:val="-2"/>
              </w:rPr>
            </w:pPr>
            <w:r w:rsidRPr="00D84548">
              <w:rPr>
                <w:b/>
                <w:spacing w:val="-2"/>
              </w:rPr>
              <w:t>)</w:t>
            </w:r>
          </w:p>
          <w:p w14:paraId="3E476FE0" w14:textId="77777777" w:rsidR="00ED5746" w:rsidRPr="00D23E19" w:rsidRDefault="00ED5746" w:rsidP="00CF6B78">
            <w:pPr>
              <w:tabs>
                <w:tab w:val="center" w:pos="4680"/>
              </w:tabs>
              <w:suppressAutoHyphens/>
              <w:rPr>
                <w:b/>
                <w:spacing w:val="-2"/>
              </w:rPr>
            </w:pPr>
            <w:r w:rsidRPr="00D84548">
              <w:rPr>
                <w:b/>
                <w:spacing w:val="-2"/>
              </w:rPr>
              <w:t>)</w:t>
            </w:r>
          </w:p>
          <w:p w14:paraId="559BC974" w14:textId="77777777" w:rsidR="00ED5746" w:rsidRPr="00D23E19" w:rsidRDefault="00ED5746" w:rsidP="003B739D">
            <w:pPr>
              <w:tabs>
                <w:tab w:val="center" w:pos="4680"/>
              </w:tabs>
              <w:suppressAutoHyphens/>
              <w:rPr>
                <w:b/>
                <w:spacing w:val="-2"/>
              </w:rPr>
            </w:pPr>
          </w:p>
        </w:tc>
        <w:tc>
          <w:tcPr>
            <w:tcW w:w="4248" w:type="dxa"/>
          </w:tcPr>
          <w:p w14:paraId="548C4241" w14:textId="77777777" w:rsidR="00E44AC6" w:rsidRDefault="00E44AC6" w:rsidP="00CF6B78">
            <w:pPr>
              <w:tabs>
                <w:tab w:val="center" w:pos="4680"/>
              </w:tabs>
              <w:suppressAutoHyphens/>
              <w:ind w:left="432"/>
              <w:rPr>
                <w:spacing w:val="-2"/>
                <w:szCs w:val="22"/>
              </w:rPr>
            </w:pPr>
          </w:p>
          <w:p w14:paraId="23D68CA9" w14:textId="77777777" w:rsidR="00E44AC6" w:rsidRDefault="00E44AC6" w:rsidP="00CF6B78">
            <w:pPr>
              <w:tabs>
                <w:tab w:val="center" w:pos="4680"/>
              </w:tabs>
              <w:suppressAutoHyphens/>
              <w:ind w:left="432"/>
              <w:rPr>
                <w:spacing w:val="-2"/>
                <w:szCs w:val="22"/>
              </w:rPr>
            </w:pPr>
          </w:p>
          <w:p w14:paraId="78DEE916" w14:textId="4A83AF33" w:rsidR="00C46AEB" w:rsidRPr="007C0B39" w:rsidRDefault="00C46AEB" w:rsidP="00C46AEB">
            <w:pPr>
              <w:tabs>
                <w:tab w:val="center" w:pos="4680"/>
              </w:tabs>
              <w:suppressAutoHyphens/>
              <w:ind w:left="432"/>
              <w:rPr>
                <w:spacing w:val="-2"/>
                <w:szCs w:val="22"/>
              </w:rPr>
            </w:pPr>
            <w:r w:rsidRPr="007C0B39">
              <w:rPr>
                <w:spacing w:val="-2"/>
                <w:szCs w:val="22"/>
              </w:rPr>
              <w:t>File No.:</w:t>
            </w:r>
            <w:r>
              <w:rPr>
                <w:spacing w:val="-2"/>
                <w:szCs w:val="22"/>
              </w:rPr>
              <w:t xml:space="preserve">  EB-FIELDSCR-</w:t>
            </w:r>
            <w:r w:rsidR="00C53EA3">
              <w:rPr>
                <w:spacing w:val="-2"/>
                <w:szCs w:val="22"/>
              </w:rPr>
              <w:t>12-00002402</w:t>
            </w:r>
          </w:p>
          <w:p w14:paraId="1AA0EBF4" w14:textId="54E7AA54" w:rsidR="00C46AEB" w:rsidRPr="007C0B39" w:rsidRDefault="00C46AEB" w:rsidP="00C46AEB">
            <w:pPr>
              <w:ind w:left="432"/>
              <w:rPr>
                <w:spacing w:val="-2"/>
                <w:szCs w:val="22"/>
              </w:rPr>
            </w:pPr>
            <w:r>
              <w:rPr>
                <w:spacing w:val="-2"/>
                <w:szCs w:val="22"/>
              </w:rPr>
              <w:t>NAL/</w:t>
            </w:r>
            <w:r w:rsidRPr="007C0B39">
              <w:rPr>
                <w:spacing w:val="-2"/>
                <w:szCs w:val="22"/>
              </w:rPr>
              <w:t xml:space="preserve">Acct. No.:  </w:t>
            </w:r>
            <w:r w:rsidR="00C53EA3">
              <w:rPr>
                <w:spacing w:val="-2"/>
                <w:szCs w:val="22"/>
              </w:rPr>
              <w:t>201232480005</w:t>
            </w:r>
          </w:p>
          <w:p w14:paraId="2A88A5F7" w14:textId="42012D5A" w:rsidR="00ED5746" w:rsidRPr="00D84548" w:rsidRDefault="00C46AEB" w:rsidP="00C53EA3">
            <w:pPr>
              <w:tabs>
                <w:tab w:val="center" w:pos="4680"/>
              </w:tabs>
              <w:suppressAutoHyphens/>
              <w:ind w:left="432"/>
              <w:rPr>
                <w:snapToGrid/>
                <w:spacing w:val="-2"/>
              </w:rPr>
            </w:pPr>
            <w:r w:rsidRPr="007C0B39">
              <w:rPr>
                <w:szCs w:val="22"/>
              </w:rPr>
              <w:t xml:space="preserve">FRN:  </w:t>
            </w:r>
            <w:r w:rsidR="00C53EA3">
              <w:rPr>
                <w:szCs w:val="22"/>
              </w:rPr>
              <w:t>0022599070</w:t>
            </w:r>
          </w:p>
        </w:tc>
      </w:tr>
    </w:tbl>
    <w:p w14:paraId="435F7D46" w14:textId="77777777" w:rsidR="00F84BCA" w:rsidRPr="00D84548" w:rsidRDefault="00F84BCA" w:rsidP="00AA4B16">
      <w:pPr>
        <w:jc w:val="center"/>
        <w:outlineLvl w:val="0"/>
        <w:rPr>
          <w:b/>
          <w:szCs w:val="22"/>
        </w:rPr>
      </w:pPr>
      <w:r w:rsidRPr="00D84548">
        <w:rPr>
          <w:b/>
          <w:szCs w:val="22"/>
        </w:rPr>
        <w:t>ORDER</w:t>
      </w:r>
    </w:p>
    <w:p w14:paraId="4155C2E4" w14:textId="77777777" w:rsidR="00F84BCA" w:rsidRPr="00D84548" w:rsidRDefault="00F84BCA" w:rsidP="00AA4B16">
      <w:pPr>
        <w:tabs>
          <w:tab w:val="left" w:pos="-720"/>
        </w:tabs>
        <w:suppressAutoHyphens/>
        <w:spacing w:line="227" w:lineRule="auto"/>
        <w:rPr>
          <w:spacing w:val="-2"/>
        </w:rPr>
      </w:pPr>
    </w:p>
    <w:p w14:paraId="12228437" w14:textId="04E0F622" w:rsidR="00F84BCA" w:rsidRPr="00D84548" w:rsidRDefault="00F84BCA" w:rsidP="00F84BCA">
      <w:pPr>
        <w:tabs>
          <w:tab w:val="left" w:pos="720"/>
          <w:tab w:val="right" w:pos="9360"/>
        </w:tabs>
        <w:suppressAutoHyphens/>
        <w:spacing w:line="227" w:lineRule="auto"/>
        <w:rPr>
          <w:spacing w:val="-2"/>
        </w:rPr>
      </w:pPr>
      <w:r w:rsidRPr="00D84548">
        <w:rPr>
          <w:b/>
          <w:spacing w:val="-2"/>
        </w:rPr>
        <w:t xml:space="preserve">Adopted:  </w:t>
      </w:r>
      <w:r w:rsidR="00F664AB">
        <w:rPr>
          <w:b/>
          <w:spacing w:val="-2"/>
        </w:rPr>
        <w:t>March 29</w:t>
      </w:r>
      <w:r w:rsidR="00CF77B7" w:rsidRPr="00D84548">
        <w:rPr>
          <w:b/>
          <w:spacing w:val="-2"/>
        </w:rPr>
        <w:t>, 20</w:t>
      </w:r>
      <w:r w:rsidR="00CD04E2">
        <w:rPr>
          <w:b/>
          <w:spacing w:val="-2"/>
        </w:rPr>
        <w:t>16</w:t>
      </w:r>
      <w:r w:rsidRPr="00D84548">
        <w:rPr>
          <w:b/>
          <w:spacing w:val="-2"/>
        </w:rPr>
        <w:tab/>
        <w:t xml:space="preserve">Released:  </w:t>
      </w:r>
      <w:r w:rsidR="00F664AB">
        <w:rPr>
          <w:b/>
          <w:spacing w:val="-2"/>
        </w:rPr>
        <w:t>March 29</w:t>
      </w:r>
      <w:r w:rsidR="00CF77B7" w:rsidRPr="00D84548">
        <w:rPr>
          <w:b/>
          <w:spacing w:val="-2"/>
        </w:rPr>
        <w:t xml:space="preserve">, </w:t>
      </w:r>
      <w:r w:rsidRPr="00D84548">
        <w:rPr>
          <w:b/>
          <w:spacing w:val="-2"/>
        </w:rPr>
        <w:t>20</w:t>
      </w:r>
      <w:r w:rsidR="00CD04E2">
        <w:rPr>
          <w:b/>
          <w:spacing w:val="-2"/>
        </w:rPr>
        <w:t>16</w:t>
      </w:r>
    </w:p>
    <w:p w14:paraId="5136EE39" w14:textId="77777777" w:rsidR="00F84BCA" w:rsidRPr="00D84548" w:rsidRDefault="00F84BCA" w:rsidP="00F84BCA"/>
    <w:p w14:paraId="435DDC0B" w14:textId="77777777" w:rsidR="00F84BCA" w:rsidRPr="00D84548" w:rsidRDefault="00D42D5D" w:rsidP="00F84BCA">
      <w:pPr>
        <w:rPr>
          <w:spacing w:val="-2"/>
        </w:rPr>
      </w:pPr>
      <w:r w:rsidRPr="00D84548">
        <w:rPr>
          <w:spacing w:val="-2"/>
          <w:szCs w:val="22"/>
        </w:rPr>
        <w:t xml:space="preserve">By the </w:t>
      </w:r>
      <w:r w:rsidR="00F84BCA" w:rsidRPr="00D84548">
        <w:rPr>
          <w:spacing w:val="-2"/>
          <w:szCs w:val="22"/>
        </w:rPr>
        <w:t>Chief, Enforcement Bureau:</w:t>
      </w:r>
    </w:p>
    <w:p w14:paraId="02CF7BF3" w14:textId="77777777" w:rsidR="00F84BCA" w:rsidRPr="00D84548" w:rsidRDefault="00F84BCA" w:rsidP="00F84BCA"/>
    <w:p w14:paraId="6CD2C69B" w14:textId="0F2FE99F" w:rsidR="00B84FFD" w:rsidRPr="00585F6E" w:rsidRDefault="00B277A4" w:rsidP="00AA4B16">
      <w:pPr>
        <w:pStyle w:val="ParaNum0"/>
        <w:numPr>
          <w:ilvl w:val="0"/>
          <w:numId w:val="46"/>
        </w:numPr>
        <w:tabs>
          <w:tab w:val="clear" w:pos="1080"/>
        </w:tabs>
        <w:rPr>
          <w:color w:val="000000"/>
          <w:szCs w:val="22"/>
        </w:rPr>
      </w:pPr>
      <w:r w:rsidRPr="00D84548">
        <w:rPr>
          <w:szCs w:val="22"/>
        </w:rPr>
        <w:t>T</w:t>
      </w:r>
      <w:r w:rsidR="00F84BCA" w:rsidRPr="00D84548">
        <w:rPr>
          <w:szCs w:val="22"/>
        </w:rPr>
        <w:t xml:space="preserve">he Enforcement Bureau (Bureau) </w:t>
      </w:r>
      <w:r w:rsidRPr="00D84548">
        <w:rPr>
          <w:szCs w:val="22"/>
        </w:rPr>
        <w:t xml:space="preserve">of the Federal Communications Commission has entered into a Consent Decree to resolve its investigation into </w:t>
      </w:r>
      <w:r w:rsidR="00004A77">
        <w:rPr>
          <w:szCs w:val="22"/>
        </w:rPr>
        <w:t xml:space="preserve">The </w:t>
      </w:r>
      <w:r w:rsidR="00133C4F">
        <w:rPr>
          <w:szCs w:val="22"/>
        </w:rPr>
        <w:t>Supply Room, Inc</w:t>
      </w:r>
      <w:r w:rsidR="00995258">
        <w:rPr>
          <w:szCs w:val="22"/>
        </w:rPr>
        <w:t>.</w:t>
      </w:r>
      <w:r w:rsidR="00C46AEB">
        <w:rPr>
          <w:szCs w:val="22"/>
        </w:rPr>
        <w:t xml:space="preserve">’s </w:t>
      </w:r>
      <w:r w:rsidR="00E87831" w:rsidRPr="00D84548">
        <w:rPr>
          <w:szCs w:val="22"/>
        </w:rPr>
        <w:t>(</w:t>
      </w:r>
      <w:r w:rsidR="00004A77">
        <w:rPr>
          <w:szCs w:val="22"/>
        </w:rPr>
        <w:t xml:space="preserve">The </w:t>
      </w:r>
      <w:r w:rsidR="00133C4F">
        <w:rPr>
          <w:szCs w:val="22"/>
        </w:rPr>
        <w:t>Supply Room</w:t>
      </w:r>
      <w:r w:rsidR="00FF2840">
        <w:rPr>
          <w:szCs w:val="22"/>
        </w:rPr>
        <w:t xml:space="preserve">) </w:t>
      </w:r>
      <w:r w:rsidR="00C46AEB">
        <w:rPr>
          <w:szCs w:val="22"/>
        </w:rPr>
        <w:t>operation of a cellular phone jamm</w:t>
      </w:r>
      <w:r w:rsidR="00B84FFD">
        <w:rPr>
          <w:szCs w:val="22"/>
        </w:rPr>
        <w:t>ing device</w:t>
      </w:r>
      <w:r w:rsidR="00C46AEB">
        <w:rPr>
          <w:szCs w:val="22"/>
        </w:rPr>
        <w:t xml:space="preserve"> in its </w:t>
      </w:r>
      <w:r w:rsidR="00133C4F">
        <w:rPr>
          <w:szCs w:val="22"/>
        </w:rPr>
        <w:t>Oxford, Alabama warehouse in</w:t>
      </w:r>
      <w:r w:rsidR="00B84FFD">
        <w:rPr>
          <w:szCs w:val="22"/>
        </w:rPr>
        <w:t xml:space="preserve"> 2013</w:t>
      </w:r>
      <w:r w:rsidR="00FF2840">
        <w:rPr>
          <w:szCs w:val="22"/>
        </w:rPr>
        <w:t xml:space="preserve">.  Signal jamming devices overpower, jam, or interfere with authorized </w:t>
      </w:r>
      <w:r w:rsidR="00B84FFD">
        <w:rPr>
          <w:szCs w:val="22"/>
        </w:rPr>
        <w:t xml:space="preserve">wireless </w:t>
      </w:r>
      <w:r w:rsidR="00FF2840">
        <w:rPr>
          <w:szCs w:val="22"/>
        </w:rPr>
        <w:t xml:space="preserve">communications.  In order to protect the public and preserve unfettered access to emergency and other communications services, </w:t>
      </w:r>
      <w:r w:rsidR="00B84FFD">
        <w:rPr>
          <w:szCs w:val="22"/>
        </w:rPr>
        <w:t xml:space="preserve">the Communications Act and </w:t>
      </w:r>
      <w:r w:rsidR="009F185B">
        <w:rPr>
          <w:szCs w:val="22"/>
        </w:rPr>
        <w:t xml:space="preserve">Commission </w:t>
      </w:r>
      <w:r w:rsidR="00E972C0">
        <w:rPr>
          <w:szCs w:val="22"/>
        </w:rPr>
        <w:t xml:space="preserve">regulations </w:t>
      </w:r>
      <w:r w:rsidR="00FF2840">
        <w:rPr>
          <w:szCs w:val="22"/>
        </w:rPr>
        <w:t>broadly prohibit the importation, use, marketing, manufacture, and sale of jamm</w:t>
      </w:r>
      <w:r w:rsidR="00B84FFD">
        <w:rPr>
          <w:szCs w:val="22"/>
        </w:rPr>
        <w:t>ing devices</w:t>
      </w:r>
      <w:r w:rsidR="00FF2840">
        <w:rPr>
          <w:szCs w:val="22"/>
        </w:rPr>
        <w:t xml:space="preserve">. </w:t>
      </w:r>
    </w:p>
    <w:p w14:paraId="6D1A2464" w14:textId="5892CA85" w:rsidR="00F84BCA" w:rsidRPr="00D84548" w:rsidRDefault="003F2AB3" w:rsidP="75240F8D">
      <w:pPr>
        <w:pStyle w:val="ParaNum0"/>
        <w:numPr>
          <w:ilvl w:val="0"/>
          <w:numId w:val="46"/>
        </w:numPr>
        <w:tabs>
          <w:tab w:val="clear" w:pos="1080"/>
        </w:tabs>
        <w:rPr>
          <w:color w:val="000000"/>
        </w:rPr>
      </w:pPr>
      <w:r w:rsidRPr="75240F8D">
        <w:t>In its response to the Commission’s Notice of Apparent Liability for Forfeiture (</w:t>
      </w:r>
      <w:r w:rsidRPr="3ECB88CE">
        <w:rPr>
          <w:i/>
          <w:iCs/>
        </w:rPr>
        <w:t>NAL</w:t>
      </w:r>
      <w:r w:rsidRPr="3ECB88CE">
        <w:t>),</w:t>
      </w:r>
      <w:r w:rsidRPr="75240F8D">
        <w:rPr>
          <w:rStyle w:val="FootnoteReference"/>
        </w:rPr>
        <w:footnoteReference w:id="2"/>
      </w:r>
      <w:r w:rsidR="00302487" w:rsidRPr="3ECB88CE">
        <w:t xml:space="preserve"> </w:t>
      </w:r>
      <w:r w:rsidR="00137B97" w:rsidRPr="75240F8D">
        <w:t xml:space="preserve">The </w:t>
      </w:r>
      <w:r w:rsidR="00302487" w:rsidRPr="75240F8D">
        <w:t>Supply Room</w:t>
      </w:r>
      <w:r w:rsidRPr="75240F8D">
        <w:t xml:space="preserve"> provided the Bureau with </w:t>
      </w:r>
      <w:r w:rsidR="00480F37" w:rsidRPr="75240F8D">
        <w:t>a sworn affidavit from the company’s I</w:t>
      </w:r>
      <w:r w:rsidR="005A054D" w:rsidRPr="75240F8D">
        <w:t xml:space="preserve">nformation </w:t>
      </w:r>
      <w:r w:rsidR="00480F37" w:rsidRPr="75240F8D">
        <w:t>T</w:t>
      </w:r>
      <w:r w:rsidR="005A054D" w:rsidRPr="75240F8D">
        <w:t>echnology</w:t>
      </w:r>
      <w:r w:rsidR="00480F37" w:rsidRPr="75240F8D">
        <w:t xml:space="preserve"> Manager providing </w:t>
      </w:r>
      <w:r w:rsidRPr="75240F8D">
        <w:t>detailed information</w:t>
      </w:r>
      <w:r w:rsidR="00C46AEB" w:rsidRPr="00C33726">
        <w:t xml:space="preserve"> about its use of the jamm</w:t>
      </w:r>
      <w:r>
        <w:t>ing device</w:t>
      </w:r>
      <w:r w:rsidR="009E58AC">
        <w:t xml:space="preserve"> at issue</w:t>
      </w:r>
      <w:r w:rsidR="00C46AEB" w:rsidRPr="3ECB88CE">
        <w:t>.</w:t>
      </w:r>
      <w:r w:rsidR="00080F39">
        <w:rPr>
          <w:rStyle w:val="FootnoteReference"/>
        </w:rPr>
        <w:footnoteReference w:id="3"/>
      </w:r>
      <w:r w:rsidR="00C46AEB" w:rsidRPr="3ECB88CE">
        <w:t xml:space="preserve"> </w:t>
      </w:r>
      <w:r w:rsidR="00302487" w:rsidRPr="3ECB88CE">
        <w:t xml:space="preserve"> </w:t>
      </w:r>
      <w:r w:rsidR="00480F37">
        <w:t xml:space="preserve">Specifically, </w:t>
      </w:r>
      <w:r w:rsidR="00A95A03">
        <w:t xml:space="preserve">The </w:t>
      </w:r>
      <w:r w:rsidR="00302487">
        <w:t>Supply Room</w:t>
      </w:r>
      <w:r w:rsidR="000B0992" w:rsidRPr="3ECB88CE">
        <w:t xml:space="preserve"> </w:t>
      </w:r>
      <w:r w:rsidR="00302487">
        <w:t xml:space="preserve">admitted to purchasing five jammers and mounting four of them for operation in the company’s warehouse, but </w:t>
      </w:r>
      <w:r w:rsidR="00480F37">
        <w:t>explained</w:t>
      </w:r>
      <w:r w:rsidR="00302487">
        <w:t xml:space="preserve"> that the jammers were used for seven months (not two years, as stated in the </w:t>
      </w:r>
      <w:r w:rsidR="00302487" w:rsidRPr="3ECB88CE">
        <w:rPr>
          <w:i/>
          <w:iCs/>
        </w:rPr>
        <w:t>NAL</w:t>
      </w:r>
      <w:r w:rsidR="00302487">
        <w:t>) and that, at the time of the FCC’s agent’s inspection in April 2012, only one of the jammers was in use.</w:t>
      </w:r>
      <w:r w:rsidR="00302487">
        <w:rPr>
          <w:rStyle w:val="FootnoteReference"/>
        </w:rPr>
        <w:footnoteReference w:id="4"/>
      </w:r>
      <w:r w:rsidR="00302487" w:rsidRPr="3ECB88CE">
        <w:t xml:space="preserve">  </w:t>
      </w:r>
      <w:r w:rsidR="009F7021">
        <w:t xml:space="preserve">The </w:t>
      </w:r>
      <w:r w:rsidR="00480F37">
        <w:t>Supply Room</w:t>
      </w:r>
      <w:r w:rsidR="000B0992" w:rsidRPr="3ECB88CE">
        <w:t xml:space="preserve"> </w:t>
      </w:r>
      <w:r w:rsidR="00480F37">
        <w:t xml:space="preserve">immediately surrendered the devices and </w:t>
      </w:r>
      <w:r w:rsidR="000B0992" w:rsidRPr="00A203DA">
        <w:t>is a small compa</w:t>
      </w:r>
      <w:r w:rsidR="000B0992">
        <w:t xml:space="preserve">ny </w:t>
      </w:r>
      <w:r>
        <w:t>that had not previously violated any communications laws</w:t>
      </w:r>
      <w:r w:rsidR="000B0992" w:rsidRPr="3ECB88CE">
        <w:t>.</w:t>
      </w:r>
      <w:r w:rsidR="005A054D" w:rsidRPr="3ECB88CE">
        <w:t xml:space="preserve">  </w:t>
      </w:r>
      <w:r>
        <w:t xml:space="preserve">To settle this matter, </w:t>
      </w:r>
      <w:r w:rsidR="005A054D">
        <w:t xml:space="preserve">The </w:t>
      </w:r>
      <w:r w:rsidR="00480F37">
        <w:t>Supply Room</w:t>
      </w:r>
      <w:r w:rsidR="00C46AEB" w:rsidRPr="3ECB88CE">
        <w:t xml:space="preserve"> </w:t>
      </w:r>
      <w:r w:rsidR="00FF2840" w:rsidRPr="75240F8D">
        <w:t xml:space="preserve">admits that </w:t>
      </w:r>
      <w:r w:rsidR="00C46AEB" w:rsidRPr="75240F8D">
        <w:t>it</w:t>
      </w:r>
      <w:r w:rsidR="00FF2840" w:rsidRPr="75240F8D">
        <w:t xml:space="preserve"> violated the </w:t>
      </w:r>
      <w:r w:rsidRPr="75240F8D">
        <w:t xml:space="preserve">laws and </w:t>
      </w:r>
      <w:r w:rsidR="009F185B" w:rsidRPr="75240F8D">
        <w:t>regulations that prohibit the use of signal jamm</w:t>
      </w:r>
      <w:r w:rsidRPr="75240F8D">
        <w:t>ing devices</w:t>
      </w:r>
      <w:r w:rsidR="00FF2840" w:rsidRPr="75240F8D">
        <w:t xml:space="preserve">, will </w:t>
      </w:r>
      <w:r w:rsidR="009F185B" w:rsidRPr="75240F8D">
        <w:t>comply with these</w:t>
      </w:r>
      <w:r w:rsidR="00FF2840" w:rsidRPr="75240F8D">
        <w:t xml:space="preserve"> rules in the future</w:t>
      </w:r>
      <w:r w:rsidR="00202B90" w:rsidRPr="3ECB88CE">
        <w:t>,</w:t>
      </w:r>
      <w:r w:rsidR="00FF2840" w:rsidRPr="75240F8D">
        <w:t xml:space="preserve"> and will pay $</w:t>
      </w:r>
      <w:r w:rsidR="00480F37" w:rsidRPr="75240F8D">
        <w:t>20,500</w:t>
      </w:r>
      <w:r w:rsidR="00FF2840" w:rsidRPr="75240F8D">
        <w:t xml:space="preserve"> in civil penalties.  </w:t>
      </w:r>
      <w:r w:rsidR="00D31FDB" w:rsidRPr="3ECB88CE">
        <w:t xml:space="preserve"> </w:t>
      </w:r>
    </w:p>
    <w:p w14:paraId="1EF2F974" w14:textId="3F820CD3" w:rsidR="00B277A4" w:rsidRPr="00D84548" w:rsidRDefault="00F84BCA" w:rsidP="00AA4B16">
      <w:pPr>
        <w:pStyle w:val="ParaNum0"/>
        <w:numPr>
          <w:ilvl w:val="0"/>
          <w:numId w:val="46"/>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w:t>
      </w:r>
      <w:r w:rsidR="00520DE0">
        <w:rPr>
          <w:szCs w:val="22"/>
        </w:rPr>
        <w:t xml:space="preserve"> the Consent Decree and resolving the </w:t>
      </w:r>
      <w:r w:rsidR="00520DE0" w:rsidRPr="009E58AC">
        <w:rPr>
          <w:i/>
          <w:szCs w:val="22"/>
        </w:rPr>
        <w:t>NAL</w:t>
      </w:r>
      <w:r w:rsidR="00520DE0">
        <w:rPr>
          <w:szCs w:val="22"/>
        </w:rPr>
        <w:t xml:space="preserve"> against </w:t>
      </w:r>
      <w:r w:rsidR="005A054D">
        <w:rPr>
          <w:szCs w:val="22"/>
        </w:rPr>
        <w:t xml:space="preserve">The </w:t>
      </w:r>
      <w:r w:rsidR="00480F37">
        <w:rPr>
          <w:szCs w:val="22"/>
        </w:rPr>
        <w:t>Supply Room</w:t>
      </w:r>
      <w:r w:rsidR="00520DE0">
        <w:rPr>
          <w:szCs w:val="22"/>
        </w:rPr>
        <w:t xml:space="preserve"> regarding </w:t>
      </w:r>
      <w:r w:rsidR="00C46AEB">
        <w:rPr>
          <w:szCs w:val="22"/>
        </w:rPr>
        <w:t>its</w:t>
      </w:r>
      <w:r w:rsidR="00520DE0">
        <w:rPr>
          <w:szCs w:val="22"/>
        </w:rPr>
        <w:t xml:space="preserve"> use of a signal jamm</w:t>
      </w:r>
      <w:r w:rsidR="003F2AB3">
        <w:rPr>
          <w:szCs w:val="22"/>
        </w:rPr>
        <w:t>ing device</w:t>
      </w:r>
      <w:r w:rsidR="00520DE0">
        <w:rPr>
          <w:szCs w:val="22"/>
        </w:rPr>
        <w:t xml:space="preserve"> as prohibited by the </w:t>
      </w:r>
      <w:r w:rsidR="00EC1426">
        <w:rPr>
          <w:szCs w:val="22"/>
        </w:rPr>
        <w:t>Communications Act of 1934, as amended, (</w:t>
      </w:r>
      <w:r w:rsidR="00520DE0">
        <w:rPr>
          <w:szCs w:val="22"/>
        </w:rPr>
        <w:t>Act</w:t>
      </w:r>
      <w:r w:rsidR="00EC1426">
        <w:rPr>
          <w:szCs w:val="22"/>
        </w:rPr>
        <w:t>)</w:t>
      </w:r>
      <w:r w:rsidR="00B277A4" w:rsidRPr="00D84548">
        <w:rPr>
          <w:rStyle w:val="FootnoteReference"/>
          <w:szCs w:val="22"/>
        </w:rPr>
        <w:footnoteReference w:id="5"/>
      </w:r>
      <w:r w:rsidR="00B277A4" w:rsidRPr="00D84548">
        <w:rPr>
          <w:szCs w:val="22"/>
        </w:rPr>
        <w:t xml:space="preserve"> and </w:t>
      </w:r>
      <w:r w:rsidR="00520DE0">
        <w:rPr>
          <w:szCs w:val="22"/>
        </w:rPr>
        <w:t>the Commission’s rules</w:t>
      </w:r>
      <w:r w:rsidR="00EC1426">
        <w:rPr>
          <w:szCs w:val="22"/>
        </w:rPr>
        <w:t xml:space="preserve"> (Rules)</w:t>
      </w:r>
      <w:r w:rsidR="00B277A4" w:rsidRPr="00D84548">
        <w:rPr>
          <w:szCs w:val="22"/>
        </w:rPr>
        <w:t>.</w:t>
      </w:r>
      <w:r w:rsidR="00B277A4" w:rsidRPr="00D84548">
        <w:rPr>
          <w:rStyle w:val="FootnoteReference"/>
          <w:szCs w:val="22"/>
        </w:rPr>
        <w:footnoteReference w:id="6"/>
      </w:r>
    </w:p>
    <w:p w14:paraId="10D61C84" w14:textId="40589E6E" w:rsidR="00D7067F" w:rsidRPr="00CB3173" w:rsidRDefault="00357044" w:rsidP="00CB3173">
      <w:pPr>
        <w:pStyle w:val="ParaNum0"/>
        <w:widowControl/>
        <w:numPr>
          <w:ilvl w:val="0"/>
          <w:numId w:val="46"/>
        </w:numPr>
        <w:tabs>
          <w:tab w:val="clear" w:pos="1080"/>
          <w:tab w:val="left" w:pos="1440"/>
        </w:tabs>
        <w:rPr>
          <w:szCs w:val="22"/>
        </w:rPr>
      </w:pPr>
      <w:r>
        <w:rPr>
          <w:szCs w:val="22"/>
        </w:rPr>
        <w:lastRenderedPageBreak/>
        <w:t>In the absence of material new evidence relating to this matter, we do not s</w:t>
      </w:r>
      <w:r w:rsidR="00EC1426">
        <w:rPr>
          <w:szCs w:val="22"/>
        </w:rPr>
        <w:t xml:space="preserve">et for hearing the question of </w:t>
      </w:r>
      <w:r w:rsidR="00226D33">
        <w:rPr>
          <w:szCs w:val="22"/>
        </w:rPr>
        <w:t xml:space="preserve">The </w:t>
      </w:r>
      <w:r w:rsidR="00480F37">
        <w:rPr>
          <w:szCs w:val="22"/>
        </w:rPr>
        <w:t>Supply Room’s</w:t>
      </w:r>
      <w:r>
        <w:rPr>
          <w:szCs w:val="22"/>
        </w:rPr>
        <w:t xml:space="preserve"> basic qualifications to hold or obtain an</w:t>
      </w:r>
      <w:r w:rsidR="00F74D07">
        <w:rPr>
          <w:szCs w:val="22"/>
        </w:rPr>
        <w:t>y</w:t>
      </w:r>
      <w:r>
        <w:rPr>
          <w:szCs w:val="22"/>
        </w:rPr>
        <w:t xml:space="preserve"> Commission license or authorization.</w:t>
      </w:r>
      <w:r>
        <w:rPr>
          <w:rStyle w:val="FootnoteReference"/>
          <w:szCs w:val="22"/>
        </w:rPr>
        <w:footnoteReference w:id="7"/>
      </w:r>
    </w:p>
    <w:p w14:paraId="66A46933" w14:textId="77777777" w:rsidR="00F84BCA" w:rsidRDefault="00F84BCA" w:rsidP="00AA4B16">
      <w:pPr>
        <w:pStyle w:val="ParaNum0"/>
        <w:numPr>
          <w:ilvl w:val="0"/>
          <w:numId w:val="46"/>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Sections</w:t>
      </w:r>
      <w:r w:rsidR="00B75912" w:rsidRPr="00D84548">
        <w:rPr>
          <w:szCs w:val="22"/>
        </w:rPr>
        <w:t xml:space="preserve"> 4(i)</w:t>
      </w:r>
      <w:r w:rsidR="003A0A67" w:rsidRPr="00D84548">
        <w:rPr>
          <w:szCs w:val="22"/>
        </w:rPr>
        <w:t xml:space="preserve">, </w:t>
      </w:r>
      <w:r w:rsidRPr="00D84548">
        <w:rPr>
          <w:szCs w:val="22"/>
        </w:rPr>
        <w:t>and 503(b)</w:t>
      </w:r>
      <w:r w:rsidR="00782791" w:rsidRPr="00D84548">
        <w:rPr>
          <w:szCs w:val="22"/>
        </w:rPr>
        <w:t xml:space="preserve"> </w:t>
      </w:r>
      <w:r w:rsidR="009632A6" w:rsidRPr="00D84548">
        <w:rPr>
          <w:szCs w:val="22"/>
        </w:rPr>
        <w:t>of the Act</w:t>
      </w:r>
      <w:r w:rsidR="009632A6" w:rsidRPr="00D84548">
        <w:rPr>
          <w:rStyle w:val="FootnoteReference"/>
          <w:szCs w:val="22"/>
        </w:rPr>
        <w:footnoteReference w:id="8"/>
      </w:r>
      <w:r w:rsidRPr="00D84548">
        <w:rPr>
          <w:szCs w:val="22"/>
        </w:rPr>
        <w:t xml:space="preserve"> and the authority delegated by Sections 0.1</w:t>
      </w:r>
      <w:r w:rsidR="0051080A" w:rsidRPr="00D84548">
        <w:rPr>
          <w:szCs w:val="22"/>
        </w:rPr>
        <w:t>11 and 0.311 of the R</w:t>
      </w:r>
      <w:r w:rsidR="009632A6" w:rsidRPr="00D84548">
        <w:rPr>
          <w:szCs w:val="22"/>
        </w:rPr>
        <w:t>ules,</w:t>
      </w:r>
      <w:r w:rsidR="009632A6" w:rsidRPr="00D84548">
        <w:rPr>
          <w:rStyle w:val="FootnoteReference"/>
          <w:szCs w:val="22"/>
        </w:rPr>
        <w:footnoteReference w:id="9"/>
      </w:r>
      <w:r w:rsidRPr="00D84548">
        <w:rPr>
          <w:szCs w:val="22"/>
        </w:rPr>
        <w:t xml:space="preserve"> the attached Consent Decree </w:t>
      </w:r>
      <w:r w:rsidRPr="00D84548">
        <w:rPr>
          <w:b/>
          <w:szCs w:val="22"/>
        </w:rPr>
        <w:t>IS ADOPTED</w:t>
      </w:r>
      <w:r w:rsidR="00B87679" w:rsidRPr="00D84548">
        <w:rPr>
          <w:b/>
          <w:szCs w:val="22"/>
        </w:rPr>
        <w:t xml:space="preserve"> </w:t>
      </w:r>
      <w:r w:rsidR="00B87679" w:rsidRPr="00D84548">
        <w:rPr>
          <w:szCs w:val="22"/>
        </w:rPr>
        <w:t xml:space="preserve">and </w:t>
      </w:r>
      <w:r w:rsidR="00433E5E" w:rsidRPr="00D84548">
        <w:rPr>
          <w:szCs w:val="22"/>
        </w:rPr>
        <w:t>its terms incorporated by</w:t>
      </w:r>
      <w:r w:rsidR="00B87679" w:rsidRPr="00D84548">
        <w:rPr>
          <w:szCs w:val="22"/>
        </w:rPr>
        <w:t xml:space="preserve"> reference</w:t>
      </w:r>
      <w:r w:rsidRPr="00D84548">
        <w:rPr>
          <w:szCs w:val="22"/>
        </w:rPr>
        <w:t>.</w:t>
      </w:r>
    </w:p>
    <w:p w14:paraId="348E7B19" w14:textId="77777777" w:rsidR="00F84BCA" w:rsidRPr="00D84548" w:rsidRDefault="00F84BCA" w:rsidP="00AA4B16">
      <w:pPr>
        <w:pStyle w:val="ParaNum0"/>
        <w:numPr>
          <w:ilvl w:val="0"/>
          <w:numId w:val="46"/>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00782791" w:rsidRPr="00D84548">
        <w:rPr>
          <w:b/>
        </w:rPr>
        <w:t xml:space="preserve"> </w:t>
      </w:r>
      <w:r w:rsidR="00782791" w:rsidRPr="00D84548">
        <w:t xml:space="preserve">and the </w:t>
      </w:r>
      <w:r w:rsidR="00782791" w:rsidRPr="00234EA2">
        <w:rPr>
          <w:i/>
        </w:rPr>
        <w:t>NAL</w:t>
      </w:r>
      <w:r w:rsidR="00782791" w:rsidRPr="00D84548">
        <w:t xml:space="preserve"> </w:t>
      </w:r>
      <w:r w:rsidR="009632A6" w:rsidRPr="00D84548">
        <w:rPr>
          <w:b/>
        </w:rPr>
        <w:t>IS CANCE</w:t>
      </w:r>
      <w:r w:rsidR="00782791" w:rsidRPr="00D84548">
        <w:rPr>
          <w:b/>
        </w:rPr>
        <w:t>LED</w:t>
      </w:r>
      <w:r w:rsidRPr="00D84548">
        <w:t>.</w:t>
      </w:r>
    </w:p>
    <w:p w14:paraId="591538DC" w14:textId="071FBD36" w:rsidR="00F84BCA" w:rsidRPr="00D84548" w:rsidRDefault="00F84BCA" w:rsidP="00AA4B16">
      <w:pPr>
        <w:pStyle w:val="ParaNum0"/>
        <w:numPr>
          <w:ilvl w:val="0"/>
          <w:numId w:val="46"/>
        </w:numPr>
        <w:tabs>
          <w:tab w:val="clear" w:pos="1080"/>
          <w:tab w:val="left" w:pos="1440"/>
        </w:tabs>
        <w:rPr>
          <w:szCs w:val="22"/>
        </w:rPr>
      </w:pPr>
      <w:r w:rsidRPr="00D84548">
        <w:rPr>
          <w:b/>
        </w:rPr>
        <w:t>IT IS FURTHER ORDERED</w:t>
      </w:r>
      <w:r w:rsidRPr="00D84548">
        <w:t xml:space="preserve"> that a copy of this Order and Consent Decree </w:t>
      </w:r>
      <w:r w:rsidR="00D84548" w:rsidRPr="00981F23">
        <w:rPr>
          <w:color w:val="000000" w:themeColor="text1"/>
          <w:szCs w:val="22"/>
        </w:rPr>
        <w:t xml:space="preserve">shall be sent by first class mail and certified mail, return receipt requested, to </w:t>
      </w:r>
      <w:r w:rsidR="00D87527">
        <w:rPr>
          <w:color w:val="000000" w:themeColor="text1"/>
          <w:szCs w:val="22"/>
        </w:rPr>
        <w:t>Mr. Arthur U. Hathorn, Chief Executive Officer, The Supply Room, Inc., 230 Supply Room Road, Oxford, Alabama 36203, and its counsel, Tony Mastando, Esq., Mastando &amp; Artrip, LLC, 301 Washington St., NW #302, Huntsville, Alabama 35801.</w:t>
      </w:r>
    </w:p>
    <w:p w14:paraId="1E333467" w14:textId="77777777" w:rsidR="00F84BCA" w:rsidRDefault="00F84BCA" w:rsidP="00F84BCA">
      <w:pPr>
        <w:pStyle w:val="ParaNum0"/>
        <w:numPr>
          <w:ilvl w:val="0"/>
          <w:numId w:val="0"/>
        </w:numPr>
        <w:tabs>
          <w:tab w:val="left" w:pos="1440"/>
        </w:tabs>
        <w:spacing w:after="240"/>
        <w:ind w:left="720"/>
        <w:rPr>
          <w:b/>
        </w:rPr>
      </w:pPr>
    </w:p>
    <w:p w14:paraId="2D6E1D26" w14:textId="522A5896" w:rsidR="00F84BCA" w:rsidRPr="00EF505E" w:rsidRDefault="00F84BCA" w:rsidP="00F84BC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00887E04">
        <w:rPr>
          <w:szCs w:val="22"/>
          <w:lang w:val="fr-FR"/>
        </w:rPr>
        <w:tab/>
      </w:r>
      <w:r w:rsidRPr="00EF505E">
        <w:rPr>
          <w:szCs w:val="22"/>
          <w:lang w:val="fr-FR"/>
        </w:rPr>
        <w:t>FEDERAL COMMUNICATIONS COMMISSION</w:t>
      </w:r>
    </w:p>
    <w:p w14:paraId="74610A73" w14:textId="77777777" w:rsidR="00F84BCA" w:rsidRPr="00EF505E" w:rsidRDefault="00F84BCA" w:rsidP="00F84BCA">
      <w:pPr>
        <w:rPr>
          <w:szCs w:val="22"/>
          <w:lang w:val="fr-FR"/>
        </w:rPr>
      </w:pPr>
    </w:p>
    <w:p w14:paraId="49DAE134" w14:textId="77777777" w:rsidR="00F84BCA" w:rsidRPr="00EF505E" w:rsidRDefault="00F84BCA" w:rsidP="00F84BCA">
      <w:pPr>
        <w:rPr>
          <w:szCs w:val="22"/>
          <w:lang w:val="fr-FR"/>
        </w:rPr>
      </w:pPr>
    </w:p>
    <w:p w14:paraId="6CFE5271" w14:textId="77777777" w:rsidR="00F84BCA" w:rsidRPr="00EF505E" w:rsidRDefault="00F84BCA" w:rsidP="00F84BCA">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73ADAEFC" w14:textId="77777777" w:rsidR="00F84BCA" w:rsidRPr="00EF505E" w:rsidRDefault="00F84BCA" w:rsidP="00F84BCA">
      <w:pPr>
        <w:outlineLvl w:val="0"/>
        <w:rPr>
          <w:szCs w:val="22"/>
          <w:lang w:val="fr-FR"/>
        </w:rPr>
      </w:pPr>
    </w:p>
    <w:p w14:paraId="691EF627" w14:textId="3D9544D7" w:rsidR="00F84BCA" w:rsidRDefault="00F84BCA" w:rsidP="00F84BCA">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sidR="00887E04">
        <w:rPr>
          <w:szCs w:val="22"/>
          <w:lang w:val="fr-FR"/>
        </w:rPr>
        <w:tab/>
      </w:r>
      <w:r>
        <w:rPr>
          <w:szCs w:val="22"/>
          <w:lang w:val="fr-FR"/>
        </w:rPr>
        <w:t>Travis LeBlanc</w:t>
      </w:r>
    </w:p>
    <w:p w14:paraId="63D612B4" w14:textId="227EB77C" w:rsidR="00D84548" w:rsidRDefault="006811F1" w:rsidP="00F84BC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00887E04">
        <w:rPr>
          <w:szCs w:val="22"/>
          <w:lang w:val="fr-FR"/>
        </w:rPr>
        <w:tab/>
      </w:r>
      <w:r w:rsidR="00F84BCA" w:rsidRPr="00A15CBD">
        <w:rPr>
          <w:szCs w:val="22"/>
        </w:rPr>
        <w:t>C</w:t>
      </w:r>
      <w:r w:rsidR="00F84BCA">
        <w:rPr>
          <w:szCs w:val="22"/>
        </w:rPr>
        <w:t>hief</w:t>
      </w:r>
      <w:r w:rsidR="00B331F5">
        <w:rPr>
          <w:szCs w:val="22"/>
        </w:rPr>
        <w:t xml:space="preserve"> </w:t>
      </w:r>
    </w:p>
    <w:p w14:paraId="269869BF" w14:textId="77777777" w:rsidR="00F84BCA" w:rsidRDefault="00F84BCA" w:rsidP="00887E04">
      <w:pPr>
        <w:ind w:left="3600" w:firstLine="720"/>
        <w:outlineLvl w:val="0"/>
        <w:rPr>
          <w:szCs w:val="22"/>
        </w:rPr>
      </w:pPr>
      <w:r>
        <w:rPr>
          <w:szCs w:val="22"/>
        </w:rPr>
        <w:t>Enforcement Bureau</w:t>
      </w:r>
    </w:p>
    <w:p w14:paraId="401D7C82" w14:textId="6D0743F8" w:rsidR="00C8161C" w:rsidRDefault="00C8161C">
      <w:pPr>
        <w:widowControl/>
        <w:rPr>
          <w:szCs w:val="22"/>
        </w:rPr>
      </w:pPr>
      <w:r>
        <w:rPr>
          <w:szCs w:val="22"/>
        </w:rPr>
        <w:br w:type="page"/>
      </w:r>
    </w:p>
    <w:p w14:paraId="5FA195D8" w14:textId="77777777" w:rsidR="00C8161C" w:rsidRPr="00843A5F" w:rsidRDefault="00C8161C" w:rsidP="00C8161C">
      <w:pPr>
        <w:jc w:val="center"/>
        <w:rPr>
          <w:b/>
        </w:rPr>
      </w:pPr>
      <w:r w:rsidRPr="00843A5F">
        <w:rPr>
          <w:rFonts w:ascii="Times New Roman Bold" w:hAnsi="Times New Roman Bold"/>
          <w:b/>
          <w:kern w:val="0"/>
          <w:szCs w:val="22"/>
        </w:rPr>
        <w:lastRenderedPageBreak/>
        <w:t>Before</w:t>
      </w:r>
      <w:r w:rsidRPr="00843A5F">
        <w:rPr>
          <w:b/>
        </w:rPr>
        <w:t xml:space="preserve"> the</w:t>
      </w:r>
    </w:p>
    <w:p w14:paraId="54FE6D9D" w14:textId="77777777" w:rsidR="00C8161C" w:rsidRPr="00843A5F" w:rsidRDefault="00C8161C" w:rsidP="00C8161C">
      <w:pPr>
        <w:pStyle w:val="StyleBoldCentered"/>
      </w:pPr>
      <w:r w:rsidRPr="00843A5F">
        <w:t>F</w:t>
      </w:r>
      <w:r w:rsidRPr="00843A5F">
        <w:rPr>
          <w:caps w:val="0"/>
        </w:rPr>
        <w:t>ederal Communications Commission</w:t>
      </w:r>
    </w:p>
    <w:p w14:paraId="3FBFFA53" w14:textId="77777777" w:rsidR="00C8161C" w:rsidRPr="00843A5F" w:rsidRDefault="00C8161C" w:rsidP="00C8161C">
      <w:pPr>
        <w:pStyle w:val="StyleBoldCentered"/>
      </w:pPr>
      <w:r w:rsidRPr="00843A5F">
        <w:rPr>
          <w:caps w:val="0"/>
        </w:rPr>
        <w:t>Washington, DC 20554</w:t>
      </w:r>
    </w:p>
    <w:p w14:paraId="42F31745" w14:textId="77777777" w:rsidR="00C8161C" w:rsidRPr="00843A5F" w:rsidRDefault="00C8161C" w:rsidP="00C8161C"/>
    <w:tbl>
      <w:tblPr>
        <w:tblW w:w="9576" w:type="dxa"/>
        <w:tblLayout w:type="fixed"/>
        <w:tblLook w:val="0000" w:firstRow="0" w:lastRow="0" w:firstColumn="0" w:lastColumn="0" w:noHBand="0" w:noVBand="0"/>
      </w:tblPr>
      <w:tblGrid>
        <w:gridCol w:w="4698"/>
        <w:gridCol w:w="630"/>
        <w:gridCol w:w="4248"/>
      </w:tblGrid>
      <w:tr w:rsidR="00C8161C" w:rsidRPr="007C0B39" w14:paraId="0B5EB23F" w14:textId="77777777" w:rsidTr="00B95436">
        <w:trPr>
          <w:trHeight w:val="2043"/>
        </w:trPr>
        <w:tc>
          <w:tcPr>
            <w:tcW w:w="4698" w:type="dxa"/>
          </w:tcPr>
          <w:p w14:paraId="02D09919" w14:textId="77777777" w:rsidR="00C8161C" w:rsidRPr="00843A5F" w:rsidRDefault="00C8161C" w:rsidP="00B95436">
            <w:pPr>
              <w:tabs>
                <w:tab w:val="center" w:pos="4680"/>
              </w:tabs>
              <w:suppressAutoHyphens/>
              <w:ind w:left="-108"/>
              <w:rPr>
                <w:spacing w:val="-2"/>
              </w:rPr>
            </w:pPr>
            <w:r w:rsidRPr="00843A5F">
              <w:rPr>
                <w:spacing w:val="-2"/>
              </w:rPr>
              <w:t>In the Matter of</w:t>
            </w:r>
          </w:p>
          <w:p w14:paraId="178DFE32" w14:textId="77777777" w:rsidR="00C8161C" w:rsidRPr="00843A5F" w:rsidRDefault="00C8161C" w:rsidP="00B95436">
            <w:pPr>
              <w:tabs>
                <w:tab w:val="center" w:pos="4680"/>
              </w:tabs>
              <w:suppressAutoHyphens/>
              <w:ind w:left="-108"/>
              <w:rPr>
                <w:spacing w:val="-2"/>
              </w:rPr>
            </w:pPr>
          </w:p>
          <w:p w14:paraId="3D5D7ACA" w14:textId="77777777" w:rsidR="00C8161C" w:rsidRDefault="00C8161C" w:rsidP="00B95436">
            <w:pPr>
              <w:tabs>
                <w:tab w:val="center" w:pos="4680"/>
              </w:tabs>
              <w:suppressAutoHyphens/>
              <w:ind w:left="-108"/>
              <w:rPr>
                <w:spacing w:val="-2"/>
              </w:rPr>
            </w:pPr>
            <w:r>
              <w:rPr>
                <w:spacing w:val="-2"/>
              </w:rPr>
              <w:t>The Supply Room, Inc.</w:t>
            </w:r>
          </w:p>
          <w:p w14:paraId="463C71D2" w14:textId="77777777" w:rsidR="00C8161C" w:rsidRDefault="00C8161C" w:rsidP="00B95436">
            <w:pPr>
              <w:tabs>
                <w:tab w:val="center" w:pos="4680"/>
              </w:tabs>
              <w:suppressAutoHyphens/>
              <w:ind w:left="-108"/>
              <w:rPr>
                <w:spacing w:val="-2"/>
              </w:rPr>
            </w:pPr>
            <w:r>
              <w:rPr>
                <w:spacing w:val="-2"/>
              </w:rPr>
              <w:t>Oxford, Alabama</w:t>
            </w:r>
          </w:p>
          <w:p w14:paraId="17E76859" w14:textId="77777777" w:rsidR="00C8161C" w:rsidRDefault="00C8161C" w:rsidP="00B95436"/>
          <w:p w14:paraId="239AD6C1" w14:textId="77777777" w:rsidR="00C8161C" w:rsidRPr="003136F6" w:rsidRDefault="00C8161C" w:rsidP="00B95436"/>
        </w:tc>
        <w:tc>
          <w:tcPr>
            <w:tcW w:w="630" w:type="dxa"/>
          </w:tcPr>
          <w:p w14:paraId="062D7B57" w14:textId="77777777" w:rsidR="00C8161C" w:rsidRPr="007C0B39" w:rsidRDefault="00C8161C" w:rsidP="00B95436">
            <w:pPr>
              <w:tabs>
                <w:tab w:val="center" w:pos="4680"/>
              </w:tabs>
              <w:suppressAutoHyphens/>
              <w:rPr>
                <w:b/>
                <w:spacing w:val="-2"/>
              </w:rPr>
            </w:pPr>
            <w:r w:rsidRPr="007C0B39">
              <w:rPr>
                <w:b/>
                <w:spacing w:val="-2"/>
              </w:rPr>
              <w:t>)</w:t>
            </w:r>
          </w:p>
          <w:p w14:paraId="19E16830" w14:textId="77777777" w:rsidR="00C8161C" w:rsidRPr="007C0B39" w:rsidRDefault="00C8161C" w:rsidP="00B95436">
            <w:pPr>
              <w:tabs>
                <w:tab w:val="center" w:pos="4680"/>
              </w:tabs>
              <w:suppressAutoHyphens/>
              <w:rPr>
                <w:b/>
                <w:spacing w:val="-2"/>
              </w:rPr>
            </w:pPr>
            <w:r w:rsidRPr="007C0B39">
              <w:rPr>
                <w:b/>
                <w:spacing w:val="-2"/>
              </w:rPr>
              <w:t>)</w:t>
            </w:r>
          </w:p>
          <w:p w14:paraId="7766BA06" w14:textId="77777777" w:rsidR="00C8161C" w:rsidRPr="007C0B39" w:rsidRDefault="00C8161C" w:rsidP="00B95436">
            <w:pPr>
              <w:tabs>
                <w:tab w:val="center" w:pos="4680"/>
              </w:tabs>
              <w:suppressAutoHyphens/>
              <w:rPr>
                <w:b/>
                <w:spacing w:val="-2"/>
              </w:rPr>
            </w:pPr>
            <w:r w:rsidRPr="007C0B39">
              <w:rPr>
                <w:b/>
                <w:spacing w:val="-2"/>
              </w:rPr>
              <w:t>)</w:t>
            </w:r>
          </w:p>
          <w:p w14:paraId="3AFB680C" w14:textId="77777777" w:rsidR="00C8161C" w:rsidRPr="007C0B39" w:rsidRDefault="00C8161C" w:rsidP="00B95436">
            <w:pPr>
              <w:tabs>
                <w:tab w:val="center" w:pos="4680"/>
              </w:tabs>
              <w:suppressAutoHyphens/>
              <w:rPr>
                <w:b/>
                <w:spacing w:val="-2"/>
              </w:rPr>
            </w:pPr>
            <w:r w:rsidRPr="007C0B39">
              <w:rPr>
                <w:b/>
                <w:spacing w:val="-2"/>
              </w:rPr>
              <w:t>)</w:t>
            </w:r>
          </w:p>
          <w:p w14:paraId="59D3758A" w14:textId="77777777" w:rsidR="00C8161C" w:rsidRPr="007C0B39" w:rsidRDefault="00C8161C" w:rsidP="00B95436">
            <w:pPr>
              <w:tabs>
                <w:tab w:val="center" w:pos="4680"/>
              </w:tabs>
              <w:suppressAutoHyphens/>
              <w:rPr>
                <w:b/>
                <w:spacing w:val="-2"/>
              </w:rPr>
            </w:pPr>
            <w:r w:rsidRPr="007C0B39">
              <w:rPr>
                <w:b/>
                <w:spacing w:val="-2"/>
              </w:rPr>
              <w:t>)</w:t>
            </w:r>
          </w:p>
          <w:p w14:paraId="20511F87" w14:textId="77777777" w:rsidR="00C8161C" w:rsidRPr="007C0B39" w:rsidRDefault="00C8161C" w:rsidP="00B95436">
            <w:pPr>
              <w:tabs>
                <w:tab w:val="center" w:pos="4680"/>
              </w:tabs>
              <w:suppressAutoHyphens/>
              <w:rPr>
                <w:b/>
                <w:spacing w:val="-2"/>
              </w:rPr>
            </w:pPr>
            <w:r w:rsidRPr="007C0B39">
              <w:rPr>
                <w:b/>
                <w:spacing w:val="-2"/>
              </w:rPr>
              <w:t>)</w:t>
            </w:r>
          </w:p>
          <w:p w14:paraId="63334333" w14:textId="77777777" w:rsidR="00C8161C" w:rsidRPr="007C0B39" w:rsidRDefault="00C8161C" w:rsidP="00B95436">
            <w:pPr>
              <w:tabs>
                <w:tab w:val="center" w:pos="4680"/>
              </w:tabs>
              <w:suppressAutoHyphens/>
              <w:rPr>
                <w:b/>
                <w:spacing w:val="-2"/>
              </w:rPr>
            </w:pPr>
            <w:r w:rsidRPr="007C0B39">
              <w:rPr>
                <w:b/>
                <w:spacing w:val="-2"/>
              </w:rPr>
              <w:t>)</w:t>
            </w:r>
          </w:p>
          <w:p w14:paraId="40A5EE78" w14:textId="77777777" w:rsidR="00C8161C" w:rsidRPr="007C0B39" w:rsidRDefault="00C8161C" w:rsidP="00B95436">
            <w:pPr>
              <w:tabs>
                <w:tab w:val="center" w:pos="4680"/>
              </w:tabs>
              <w:suppressAutoHyphens/>
              <w:rPr>
                <w:spacing w:val="-2"/>
              </w:rPr>
            </w:pPr>
          </w:p>
        </w:tc>
        <w:tc>
          <w:tcPr>
            <w:tcW w:w="4248" w:type="dxa"/>
          </w:tcPr>
          <w:p w14:paraId="38BA3D7F" w14:textId="77777777" w:rsidR="00C8161C" w:rsidRDefault="00C8161C" w:rsidP="00B95436">
            <w:pPr>
              <w:tabs>
                <w:tab w:val="center" w:pos="4680"/>
              </w:tabs>
              <w:suppressAutoHyphens/>
              <w:ind w:left="432"/>
              <w:rPr>
                <w:spacing w:val="-2"/>
                <w:szCs w:val="22"/>
              </w:rPr>
            </w:pPr>
          </w:p>
          <w:p w14:paraId="5BD60B0D" w14:textId="77777777" w:rsidR="00C8161C" w:rsidRDefault="00C8161C" w:rsidP="00B95436">
            <w:pPr>
              <w:tabs>
                <w:tab w:val="center" w:pos="4680"/>
              </w:tabs>
              <w:suppressAutoHyphens/>
              <w:ind w:left="432"/>
              <w:rPr>
                <w:spacing w:val="-2"/>
                <w:szCs w:val="22"/>
              </w:rPr>
            </w:pPr>
          </w:p>
          <w:p w14:paraId="3D72CA5D" w14:textId="77777777" w:rsidR="00C8161C" w:rsidRPr="007C0B39" w:rsidRDefault="00C8161C" w:rsidP="00B95436">
            <w:pPr>
              <w:tabs>
                <w:tab w:val="center" w:pos="4680"/>
              </w:tabs>
              <w:suppressAutoHyphens/>
              <w:ind w:left="432"/>
              <w:rPr>
                <w:spacing w:val="-2"/>
                <w:szCs w:val="22"/>
              </w:rPr>
            </w:pPr>
            <w:r w:rsidRPr="007C0B39">
              <w:rPr>
                <w:spacing w:val="-2"/>
                <w:szCs w:val="22"/>
              </w:rPr>
              <w:t xml:space="preserve">File No.:  </w:t>
            </w:r>
            <w:r>
              <w:rPr>
                <w:spacing w:val="-2"/>
                <w:szCs w:val="22"/>
              </w:rPr>
              <w:t>EB-FIELDSCR-12-00002402</w:t>
            </w:r>
          </w:p>
          <w:p w14:paraId="77CA270D" w14:textId="77777777" w:rsidR="00C8161C" w:rsidRPr="007C0B39" w:rsidRDefault="00C8161C" w:rsidP="00B95436">
            <w:pPr>
              <w:ind w:left="432"/>
              <w:rPr>
                <w:spacing w:val="-2"/>
                <w:szCs w:val="22"/>
              </w:rPr>
            </w:pPr>
            <w:r w:rsidRPr="007C0B39">
              <w:rPr>
                <w:spacing w:val="-2"/>
                <w:szCs w:val="22"/>
              </w:rPr>
              <w:t xml:space="preserve">Acct. No.:  </w:t>
            </w:r>
            <w:r>
              <w:rPr>
                <w:spacing w:val="-2"/>
                <w:szCs w:val="22"/>
              </w:rPr>
              <w:t>201232480005</w:t>
            </w:r>
          </w:p>
          <w:p w14:paraId="214912B0" w14:textId="77777777" w:rsidR="00C8161C" w:rsidRPr="007C0B39" w:rsidRDefault="00C8161C" w:rsidP="00B95436">
            <w:pPr>
              <w:tabs>
                <w:tab w:val="center" w:pos="4680"/>
              </w:tabs>
              <w:suppressAutoHyphens/>
              <w:ind w:left="432"/>
              <w:rPr>
                <w:spacing w:val="-2"/>
              </w:rPr>
            </w:pPr>
            <w:r w:rsidRPr="007C0B39">
              <w:rPr>
                <w:szCs w:val="22"/>
              </w:rPr>
              <w:t xml:space="preserve">FRN:  </w:t>
            </w:r>
            <w:r>
              <w:rPr>
                <w:spacing w:val="-2"/>
                <w:szCs w:val="22"/>
              </w:rPr>
              <w:t>0022599070</w:t>
            </w:r>
          </w:p>
        </w:tc>
      </w:tr>
    </w:tbl>
    <w:p w14:paraId="4AE8D93A" w14:textId="77777777" w:rsidR="00C8161C" w:rsidRPr="007C0B39" w:rsidRDefault="00C8161C" w:rsidP="00C8161C">
      <w:pPr>
        <w:pStyle w:val="StyleBoldCentered"/>
      </w:pPr>
      <w:r w:rsidRPr="007C0B39">
        <w:t>CONSENT DECREE</w:t>
      </w:r>
    </w:p>
    <w:p w14:paraId="61E264B4" w14:textId="77777777" w:rsidR="00C8161C" w:rsidRPr="007C0B39" w:rsidRDefault="00C8161C" w:rsidP="00C8161C">
      <w:pPr>
        <w:pStyle w:val="StyleBoldCentered"/>
      </w:pPr>
    </w:p>
    <w:p w14:paraId="453E370A" w14:textId="77777777" w:rsidR="00C8161C" w:rsidRPr="007C0B39" w:rsidRDefault="00C8161C" w:rsidP="00C8161C">
      <w:pPr>
        <w:pStyle w:val="ParaNum0"/>
      </w:pPr>
      <w:r w:rsidRPr="007C0B39">
        <w:t>The Enforcement Bureau of the Federal Communications Commission and</w:t>
      </w:r>
      <w:r>
        <w:t xml:space="preserve"> The Supply Room, Inc. (The Supply Room)</w:t>
      </w:r>
      <w:r w:rsidRPr="007C0B39">
        <w:t xml:space="preserve">, by their authorized representatives, hereby enter into this Consent Decree for the purpose of terminating the Enforcement Bureau’s investigation into whether </w:t>
      </w:r>
      <w:r>
        <w:t>The Supply Room</w:t>
      </w:r>
      <w:r w:rsidRPr="007C0B39">
        <w:t xml:space="preserve"> violated </w:t>
      </w:r>
      <w:r>
        <w:t>Sections 301, 302(b), and 333 of the Communications Act of 1934, as amended (Act)</w:t>
      </w:r>
      <w:r>
        <w:rPr>
          <w:rStyle w:val="FootnoteReference"/>
        </w:rPr>
        <w:footnoteReference w:id="10"/>
      </w:r>
      <w:r>
        <w:t xml:space="preserve"> and Sections 2.805(a) and 15.1(c) of the Commission’s rules,</w:t>
      </w:r>
      <w:r>
        <w:rPr>
          <w:rStyle w:val="FootnoteReference"/>
        </w:rPr>
        <w:footnoteReference w:id="11"/>
      </w:r>
      <w:r>
        <w:t xml:space="preserve"> </w:t>
      </w:r>
      <w:r w:rsidRPr="007C0B39">
        <w:rPr>
          <w:szCs w:val="22"/>
        </w:rPr>
        <w:t xml:space="preserve">in connection with </w:t>
      </w:r>
      <w:r>
        <w:rPr>
          <w:szCs w:val="22"/>
        </w:rPr>
        <w:t>its use of multiple cellular phone jamming devices at its factory in Oxford, Alabama</w:t>
      </w:r>
      <w:r w:rsidRPr="007C0B39">
        <w:t>.</w:t>
      </w:r>
    </w:p>
    <w:p w14:paraId="7ED258D0" w14:textId="77777777" w:rsidR="00C8161C" w:rsidRPr="007C0B39" w:rsidRDefault="00C8161C" w:rsidP="00C8161C">
      <w:pPr>
        <w:pStyle w:val="Heading1"/>
      </w:pPr>
      <w:r w:rsidRPr="007C0B39">
        <w:t>DEFINITIONS</w:t>
      </w:r>
    </w:p>
    <w:p w14:paraId="66A63020" w14:textId="77777777" w:rsidR="00C8161C" w:rsidRPr="007C0B39" w:rsidRDefault="00C8161C" w:rsidP="00C8161C">
      <w:pPr>
        <w:pStyle w:val="ParaNum0"/>
      </w:pPr>
      <w:r w:rsidRPr="007C0B39">
        <w:t>For the purposes of this Consent Decree, the following definitions shall apply:</w:t>
      </w:r>
    </w:p>
    <w:p w14:paraId="1091328A" w14:textId="77777777" w:rsidR="00C8161C" w:rsidRPr="007C0B39" w:rsidRDefault="00C8161C" w:rsidP="00C8161C">
      <w:pPr>
        <w:numPr>
          <w:ilvl w:val="0"/>
          <w:numId w:val="48"/>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12"/>
      </w:r>
    </w:p>
    <w:p w14:paraId="2D4C95BA" w14:textId="77777777" w:rsidR="00C8161C" w:rsidRPr="007C0B39" w:rsidRDefault="00C8161C" w:rsidP="00C8161C">
      <w:pPr>
        <w:numPr>
          <w:ilvl w:val="0"/>
          <w:numId w:val="48"/>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14:paraId="6E18BFE2" w14:textId="77777777" w:rsidR="00C8161C" w:rsidRPr="007C0B39" w:rsidRDefault="00C8161C" w:rsidP="00C8161C">
      <w:pPr>
        <w:numPr>
          <w:ilvl w:val="0"/>
          <w:numId w:val="48"/>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14:paraId="46862D99" w14:textId="77777777" w:rsidR="00C8161C" w:rsidRPr="007C0B39" w:rsidRDefault="00C8161C" w:rsidP="00C8161C">
      <w:pPr>
        <w:numPr>
          <w:ilvl w:val="0"/>
          <w:numId w:val="48"/>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14:paraId="24902106" w14:textId="77777777" w:rsidR="00C8161C" w:rsidRPr="007C0B39" w:rsidRDefault="00C8161C" w:rsidP="00C8161C">
      <w:pPr>
        <w:numPr>
          <w:ilvl w:val="0"/>
          <w:numId w:val="48"/>
        </w:numPr>
        <w:tabs>
          <w:tab w:val="clear" w:pos="1224"/>
        </w:tabs>
        <w:spacing w:after="120"/>
        <w:ind w:left="1800" w:hanging="36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 xml:space="preserve">The Supply Room </w:t>
      </w:r>
      <w:r w:rsidRPr="007C0B39">
        <w:rPr>
          <w:szCs w:val="22"/>
        </w:rPr>
        <w:t>is subject by virtue of its business activities.</w:t>
      </w:r>
    </w:p>
    <w:p w14:paraId="484F9FDF" w14:textId="77777777" w:rsidR="00C8161C" w:rsidRPr="007C0B39" w:rsidRDefault="00C8161C" w:rsidP="00C8161C">
      <w:pPr>
        <w:numPr>
          <w:ilvl w:val="0"/>
          <w:numId w:val="48"/>
        </w:numPr>
        <w:tabs>
          <w:tab w:val="clear" w:pos="1224"/>
        </w:tabs>
        <w:spacing w:after="120"/>
        <w:ind w:left="1890"/>
        <w:rPr>
          <w:szCs w:val="22"/>
        </w:rPr>
      </w:pPr>
      <w:r w:rsidRPr="007C0B39">
        <w:rPr>
          <w:szCs w:val="22"/>
        </w:rPr>
        <w:t>“</w:t>
      </w:r>
      <w:r w:rsidRPr="007C0B39">
        <w:t>Compliance</w:t>
      </w:r>
      <w:r>
        <w:rPr>
          <w:szCs w:val="22"/>
        </w:rPr>
        <w:t xml:space="preserve"> Commitment</w:t>
      </w:r>
      <w:r w:rsidRPr="007C0B39">
        <w:rPr>
          <w:szCs w:val="22"/>
        </w:rPr>
        <w:t xml:space="preserve">” means the compliance obligations described in this Consent Decree at paragraph </w:t>
      </w:r>
      <w:r>
        <w:rPr>
          <w:szCs w:val="22"/>
        </w:rPr>
        <w:t>11</w:t>
      </w:r>
      <w:r w:rsidRPr="007C0B39">
        <w:rPr>
          <w:szCs w:val="22"/>
        </w:rPr>
        <w:t>.</w:t>
      </w:r>
    </w:p>
    <w:p w14:paraId="31B50CCC" w14:textId="77777777" w:rsidR="00C8161C" w:rsidRPr="007C0B39" w:rsidRDefault="00C8161C" w:rsidP="00C8161C">
      <w:pPr>
        <w:numPr>
          <w:ilvl w:val="0"/>
          <w:numId w:val="48"/>
        </w:numPr>
        <w:tabs>
          <w:tab w:val="clear" w:pos="1224"/>
        </w:tabs>
        <w:spacing w:after="120"/>
        <w:ind w:left="1800" w:hanging="346"/>
        <w:rPr>
          <w:szCs w:val="22"/>
        </w:rPr>
      </w:pPr>
      <w:r>
        <w:rPr>
          <w:szCs w:val="22"/>
        </w:rPr>
        <w:t xml:space="preserve">“The Supply Room” means The Supply Room, Inc., as well as its </w:t>
      </w:r>
      <w:r w:rsidRPr="007C0B39">
        <w:rPr>
          <w:szCs w:val="22"/>
        </w:rPr>
        <w:t>affiliates, subsidiaries, predecessors-in-interest, and successors-in-interest.</w:t>
      </w:r>
    </w:p>
    <w:p w14:paraId="09B8BF56" w14:textId="77777777" w:rsidR="00C8161C" w:rsidRPr="007C0B39" w:rsidRDefault="00C8161C" w:rsidP="00C8161C">
      <w:pPr>
        <w:numPr>
          <w:ilvl w:val="0"/>
          <w:numId w:val="48"/>
        </w:numPr>
        <w:tabs>
          <w:tab w:val="clear" w:pos="1224"/>
        </w:tabs>
        <w:spacing w:after="120"/>
        <w:ind w:left="1890"/>
        <w:rPr>
          <w:szCs w:val="22"/>
        </w:rPr>
      </w:pPr>
      <w:r w:rsidRPr="007C0B39">
        <w:rPr>
          <w:szCs w:val="22"/>
        </w:rPr>
        <w:t>“</w:t>
      </w:r>
      <w:r w:rsidRPr="007C0B39">
        <w:t>Effective</w:t>
      </w:r>
      <w:r w:rsidRPr="007C0B39">
        <w:rPr>
          <w:szCs w:val="22"/>
        </w:rPr>
        <w:t xml:space="preserve"> Date” means the date by which both the Bureau and </w:t>
      </w:r>
      <w:r>
        <w:rPr>
          <w:szCs w:val="22"/>
        </w:rPr>
        <w:t xml:space="preserve">The Supply Room </w:t>
      </w:r>
      <w:r w:rsidRPr="007C0B39">
        <w:rPr>
          <w:szCs w:val="22"/>
        </w:rPr>
        <w:t>have signed the Consent Decree.</w:t>
      </w:r>
    </w:p>
    <w:p w14:paraId="0F90F5D3" w14:textId="77777777" w:rsidR="00C8161C" w:rsidRDefault="00C8161C" w:rsidP="00C8161C">
      <w:pPr>
        <w:numPr>
          <w:ilvl w:val="0"/>
          <w:numId w:val="48"/>
        </w:numPr>
        <w:tabs>
          <w:tab w:val="clear" w:pos="1224"/>
        </w:tabs>
        <w:spacing w:after="120"/>
        <w:ind w:left="1800" w:hanging="346"/>
        <w:rPr>
          <w:szCs w:val="22"/>
        </w:rPr>
      </w:pPr>
      <w:r w:rsidRPr="007C0B39">
        <w:rPr>
          <w:szCs w:val="22"/>
        </w:rPr>
        <w:t>“</w:t>
      </w:r>
      <w:r w:rsidRPr="007C0B39">
        <w:t>Investigation</w:t>
      </w:r>
      <w:r w:rsidRPr="007C0B39">
        <w:rPr>
          <w:szCs w:val="22"/>
        </w:rPr>
        <w:t>” means the investigation</w:t>
      </w:r>
      <w:r>
        <w:rPr>
          <w:szCs w:val="22"/>
        </w:rPr>
        <w:t xml:space="preserve"> into The Supply Room’s apparent violations of the Act</w:t>
      </w:r>
      <w:r w:rsidRPr="007C0B39">
        <w:rPr>
          <w:szCs w:val="22"/>
        </w:rPr>
        <w:t xml:space="preserve"> commenced by the Bureau</w:t>
      </w:r>
      <w:r>
        <w:rPr>
          <w:szCs w:val="22"/>
        </w:rPr>
        <w:t>’s initial inquiry</w:t>
      </w:r>
      <w:r w:rsidRPr="007C0B39">
        <w:rPr>
          <w:szCs w:val="22"/>
        </w:rPr>
        <w:t xml:space="preserve"> in </w:t>
      </w:r>
      <w:r w:rsidRPr="002755D1">
        <w:rPr>
          <w:szCs w:val="22"/>
        </w:rPr>
        <w:t>FILE No.</w:t>
      </w:r>
      <w:r>
        <w:rPr>
          <w:szCs w:val="22"/>
        </w:rPr>
        <w:t xml:space="preserve"> EB-FIELDSCR-12-00002402. </w:t>
      </w:r>
    </w:p>
    <w:p w14:paraId="4733603E" w14:textId="77777777" w:rsidR="00C8161C" w:rsidRDefault="00C8161C" w:rsidP="00461C91">
      <w:pPr>
        <w:widowControl/>
        <w:numPr>
          <w:ilvl w:val="0"/>
          <w:numId w:val="48"/>
        </w:numPr>
        <w:tabs>
          <w:tab w:val="clear" w:pos="1224"/>
        </w:tabs>
        <w:spacing w:after="120"/>
        <w:ind w:left="1800" w:hanging="346"/>
        <w:rPr>
          <w:szCs w:val="22"/>
        </w:rPr>
      </w:pPr>
      <w:r>
        <w:rPr>
          <w:szCs w:val="22"/>
        </w:rPr>
        <w:t>“Jammer Laws” means Sections 301, 302(b) and 333 of the Act, Sections 2.805(a) and 15.1(c) of the Rules, and other Communications Laws that prohibit the use or operation of a cellular phone jamming device or other signal jamming device.</w:t>
      </w:r>
    </w:p>
    <w:p w14:paraId="18FFF408" w14:textId="77777777" w:rsidR="00C8161C" w:rsidRPr="007C0B39" w:rsidRDefault="00C8161C" w:rsidP="00C8161C">
      <w:pPr>
        <w:widowControl/>
        <w:numPr>
          <w:ilvl w:val="0"/>
          <w:numId w:val="48"/>
        </w:numPr>
        <w:tabs>
          <w:tab w:val="clear" w:pos="1224"/>
        </w:tabs>
        <w:spacing w:after="120"/>
        <w:ind w:left="1800" w:hanging="346"/>
        <w:rPr>
          <w:szCs w:val="22"/>
        </w:rPr>
      </w:pPr>
      <w:r>
        <w:rPr>
          <w:szCs w:val="22"/>
        </w:rPr>
        <w:t>“</w:t>
      </w:r>
      <w:r w:rsidRPr="00AE21C4">
        <w:rPr>
          <w:i/>
          <w:szCs w:val="22"/>
        </w:rPr>
        <w:t>NAL</w:t>
      </w:r>
      <w:r>
        <w:rPr>
          <w:szCs w:val="22"/>
        </w:rPr>
        <w:t xml:space="preserve">” means The </w:t>
      </w:r>
      <w:r>
        <w:t>Supply Room’s</w:t>
      </w:r>
      <w:r w:rsidRPr="00AE21C4">
        <w:rPr>
          <w:i/>
          <w:szCs w:val="22"/>
        </w:rPr>
        <w:t xml:space="preserve"> </w:t>
      </w:r>
      <w:r>
        <w:rPr>
          <w:szCs w:val="22"/>
        </w:rPr>
        <w:t>Notice of Apparent Liability for Forfeiture issued on April 9, 2013.</w:t>
      </w:r>
      <w:r>
        <w:rPr>
          <w:rStyle w:val="FootnoteReference"/>
          <w:szCs w:val="22"/>
        </w:rPr>
        <w:footnoteReference w:id="13"/>
      </w:r>
    </w:p>
    <w:p w14:paraId="2E4191A7" w14:textId="77777777" w:rsidR="00C8161C" w:rsidRPr="007C0B39" w:rsidRDefault="00C8161C" w:rsidP="00C8161C">
      <w:pPr>
        <w:numPr>
          <w:ilvl w:val="0"/>
          <w:numId w:val="48"/>
        </w:numPr>
        <w:tabs>
          <w:tab w:val="clear" w:pos="1224"/>
        </w:tabs>
        <w:spacing w:after="120"/>
        <w:ind w:left="1890"/>
        <w:rPr>
          <w:szCs w:val="22"/>
        </w:rPr>
      </w:pPr>
      <w:r w:rsidRPr="007C0B39">
        <w:rPr>
          <w:szCs w:val="22"/>
        </w:rPr>
        <w:t>“</w:t>
      </w:r>
      <w:r w:rsidRPr="007C0B39">
        <w:t>Parties</w:t>
      </w:r>
      <w:r w:rsidRPr="007C0B39">
        <w:rPr>
          <w:szCs w:val="22"/>
        </w:rPr>
        <w:t xml:space="preserve">” means </w:t>
      </w:r>
      <w:r>
        <w:rPr>
          <w:szCs w:val="22"/>
        </w:rPr>
        <w:t>The Supply Room</w:t>
      </w:r>
      <w:r w:rsidRPr="007C0B39">
        <w:rPr>
          <w:szCs w:val="22"/>
        </w:rPr>
        <w:t xml:space="preserve"> and the Bureau, each of which is a “Party.”</w:t>
      </w:r>
    </w:p>
    <w:p w14:paraId="247D76BB" w14:textId="77777777" w:rsidR="00C8161C" w:rsidRPr="007C0B39" w:rsidRDefault="00C8161C" w:rsidP="00C8161C">
      <w:pPr>
        <w:numPr>
          <w:ilvl w:val="0"/>
          <w:numId w:val="48"/>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14:paraId="7C40AD36" w14:textId="77777777" w:rsidR="00C8161C" w:rsidRPr="007C0B39" w:rsidRDefault="00C8161C" w:rsidP="00C8161C">
      <w:pPr>
        <w:pStyle w:val="Heading1"/>
        <w:rPr>
          <w:szCs w:val="22"/>
        </w:rPr>
      </w:pPr>
      <w:r w:rsidRPr="007C0B39">
        <w:t>BACKGROUND</w:t>
      </w:r>
    </w:p>
    <w:p w14:paraId="5841E32E" w14:textId="77777777" w:rsidR="00C8161C" w:rsidRPr="00445675" w:rsidRDefault="00C8161C" w:rsidP="00C8161C">
      <w:pPr>
        <w:pStyle w:val="ParaNum0"/>
        <w:widowControl/>
        <w:rPr>
          <w:spacing w:val="-2"/>
          <w:szCs w:val="22"/>
        </w:rPr>
      </w:pPr>
      <w:bookmarkStart w:id="1" w:name="FN[FN18]"/>
      <w:bookmarkEnd w:id="1"/>
      <w:r w:rsidRPr="00445675">
        <w:rPr>
          <w:szCs w:val="22"/>
        </w:rPr>
        <w:t xml:space="preserve">Section 301 </w:t>
      </w:r>
      <w:r>
        <w:rPr>
          <w:szCs w:val="22"/>
        </w:rPr>
        <w:t>of the Act prohibits the use or operation of “any apparatus for the transmission of energy or communications or signals by radio” within the United States unless such use is licensed or authorized.</w:t>
      </w:r>
      <w:r>
        <w:rPr>
          <w:rStyle w:val="FootnoteReference"/>
          <w:szCs w:val="22"/>
        </w:rPr>
        <w:footnoteReference w:id="14"/>
      </w:r>
      <w:r>
        <w:rPr>
          <w:szCs w:val="22"/>
        </w:rPr>
        <w:t xml:space="preserve">  Section 302(b) of the Act provides that “[n]o person shall manufacture, import, sell offer for sale, or ship devices or home electronic equipment and systems, or use devices, which fail comply with regulations promulgated pursuant to this section.”</w:t>
      </w:r>
      <w:r>
        <w:rPr>
          <w:rStyle w:val="FootnoteReference"/>
          <w:szCs w:val="22"/>
        </w:rPr>
        <w:footnoteReference w:id="15"/>
      </w:r>
      <w:r>
        <w:rPr>
          <w:szCs w:val="22"/>
        </w:rPr>
        <w:t xml:space="preserve">  Section 333 of the Act states that “[n]o person shall willfully or maliciously interfere with or cause interference to any radio communications of any station licensed or authorized by or under this chapter or operated by the United States government.”</w:t>
      </w:r>
      <w:r>
        <w:rPr>
          <w:rStyle w:val="FootnoteReference"/>
          <w:szCs w:val="22"/>
        </w:rPr>
        <w:footnoteReference w:id="16"/>
      </w:r>
      <w:r>
        <w:rPr>
          <w:szCs w:val="22"/>
        </w:rPr>
        <w:t xml:space="preserve">  </w:t>
      </w:r>
    </w:p>
    <w:p w14:paraId="72B55192" w14:textId="77777777" w:rsidR="00C8161C" w:rsidRDefault="00C8161C" w:rsidP="00C8161C">
      <w:pPr>
        <w:pStyle w:val="ParaNum0"/>
        <w:widowControl/>
      </w:pPr>
      <w:r>
        <w:t xml:space="preserve">In response to an anonymous complaint, a Commission agent investigated and determined that one or more signal jamming devices was in use at The Supply Room’s property in Oxford, Alabama.  On April 6, 2012, the agent interviewed the general manager of The </w:t>
      </w:r>
      <w:r>
        <w:rPr>
          <w:spacing w:val="-2"/>
        </w:rPr>
        <w:t>Supply Room</w:t>
      </w:r>
      <w:r>
        <w:t xml:space="preserve">, who confirmed that The Supply Room had purchased five cellular jamming devices online and operated four jamming devices in its warehouse for over two years.  The general manager also confirmed that The Supply Room utilized the jamming devices to prevent its employees from using their cellular phones while working.  The general manager then showed the agent where the jamming devices were installed and surrendered them, along with a spare backup jamming device.  After they were removed, the agent confirmed that the unauthorized signals in the cellular bands had ceased.  </w:t>
      </w:r>
    </w:p>
    <w:p w14:paraId="31074387" w14:textId="77777777" w:rsidR="00C8161C" w:rsidRDefault="00C8161C" w:rsidP="00C8161C">
      <w:pPr>
        <w:pStyle w:val="ParaNum0"/>
      </w:pPr>
      <w:r>
        <w:t xml:space="preserve">The Supply Room responded to the </w:t>
      </w:r>
      <w:r w:rsidRPr="79E6BB93">
        <w:rPr>
          <w:i/>
          <w:iCs/>
        </w:rPr>
        <w:t>NAL</w:t>
      </w:r>
      <w:r>
        <w:t xml:space="preserve"> on May 22, 2014, with a sworn affidavit from its Information Technology Manager, Mr. Tim Barton.</w:t>
      </w:r>
      <w:r>
        <w:rPr>
          <w:rStyle w:val="FootnoteReference"/>
        </w:rPr>
        <w:footnoteReference w:id="17"/>
      </w:r>
      <w:r>
        <w:t xml:space="preserve">  In it, Mr. Barton admitted to purchasing five jammers and mounting four of the jammers for operation in the company’s warehouse, but explained that the jammers were used for a period of seven months (not two years) and that, at the time of the FCC’s agent’s inspection in April 2012, only one of the jammers was in use.</w:t>
      </w:r>
      <w:r>
        <w:rPr>
          <w:rStyle w:val="FootnoteReference"/>
        </w:rPr>
        <w:footnoteReference w:id="18"/>
      </w:r>
      <w:r>
        <w:t xml:space="preserve">  Mr. Barton further attested </w:t>
      </w:r>
      <w:r w:rsidRPr="00177311">
        <w:t xml:space="preserve">that when the FCC’s field agent informed The Supply Room that use of jammers was illegal, it promptly ceased using the one jammer, took down the four mounted jammers, and turned all five jammers over to the FCC agents.  </w:t>
      </w:r>
      <w:r>
        <w:t>The Supply Room</w:t>
      </w:r>
      <w:r w:rsidRPr="00A203DA">
        <w:t xml:space="preserve"> is a small company </w:t>
      </w:r>
      <w:r>
        <w:t>that had not previously violated Communications Laws</w:t>
      </w:r>
      <w:r w:rsidRPr="00A203DA">
        <w:t>.</w:t>
      </w:r>
      <w:r>
        <w:t xml:space="preserve">  Subsequently, The Bureau and The Supply Room engaged in settlement negotiations.  The Bureau and The Supply Room agree to the following terms and conditions of settlement and hereby enter into this Consent Decree as provided herein.</w:t>
      </w:r>
    </w:p>
    <w:p w14:paraId="7EB664AF" w14:textId="77777777" w:rsidR="00C8161C" w:rsidRPr="007C0B39" w:rsidRDefault="00C8161C" w:rsidP="00C8161C">
      <w:pPr>
        <w:pStyle w:val="Heading1"/>
      </w:pPr>
      <w:r w:rsidRPr="007C0B39">
        <w:t>TERMS OF AGREEMENT</w:t>
      </w:r>
    </w:p>
    <w:p w14:paraId="36419B31" w14:textId="77777777" w:rsidR="00C8161C" w:rsidRPr="007C0B39" w:rsidRDefault="00C8161C" w:rsidP="00C3717E">
      <w:pPr>
        <w:pStyle w:val="ParaNum0"/>
        <w:widowControl/>
        <w:rPr>
          <w:szCs w:val="22"/>
        </w:rPr>
      </w:pPr>
      <w:r w:rsidRPr="007C0B39">
        <w:rPr>
          <w:b/>
          <w:szCs w:val="22"/>
          <w:u w:val="single"/>
        </w:rPr>
        <w:t>Adopting Order</w:t>
      </w:r>
      <w:r w:rsidRPr="007C0B39">
        <w:rPr>
          <w:szCs w:val="22"/>
        </w:rPr>
        <w:t>.  The provisions of this Consent Decree shall be incorporated by the Bureau in an Adopting Order.</w:t>
      </w:r>
    </w:p>
    <w:p w14:paraId="0DEB65F8" w14:textId="77777777" w:rsidR="00C8161C" w:rsidRPr="007C0B39" w:rsidRDefault="00C8161C" w:rsidP="00C8161C">
      <w:pPr>
        <w:pStyle w:val="ParaNum0"/>
        <w:rPr>
          <w:szCs w:val="22"/>
        </w:rPr>
      </w:pPr>
      <w:r w:rsidRPr="007C0B39">
        <w:rPr>
          <w:b/>
          <w:szCs w:val="22"/>
          <w:u w:val="single"/>
        </w:rPr>
        <w:t>Jurisdiction</w:t>
      </w:r>
      <w:r w:rsidRPr="007C0B39">
        <w:rPr>
          <w:szCs w:val="22"/>
        </w:rPr>
        <w:t xml:space="preserve">.  </w:t>
      </w:r>
      <w:r>
        <w:rPr>
          <w:szCs w:val="22"/>
        </w:rPr>
        <w:t>The Supply Room</w:t>
      </w:r>
      <w:r w:rsidRPr="007C0B39">
        <w:rPr>
          <w:szCs w:val="22"/>
        </w:rPr>
        <w:t xml:space="preserve"> agrees that the Bureau has jurisdiction over it and the matters contained in this Consent Decree and has the </w:t>
      </w:r>
      <w:r w:rsidRPr="00ED419F">
        <w:t>authority</w:t>
      </w:r>
      <w:r w:rsidRPr="007C0B39">
        <w:rPr>
          <w:szCs w:val="22"/>
        </w:rPr>
        <w:t xml:space="preserve"> to enter into and adopt this Consent Decree.</w:t>
      </w:r>
    </w:p>
    <w:p w14:paraId="1AB3934B" w14:textId="77777777" w:rsidR="00C8161C" w:rsidRPr="007C0B39" w:rsidRDefault="00C8161C" w:rsidP="00C8161C">
      <w:pPr>
        <w:pStyle w:val="ParaNum0"/>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14:paraId="7626608F" w14:textId="77777777" w:rsidR="00C8161C" w:rsidRPr="00C566EC" w:rsidRDefault="00C8161C" w:rsidP="00C8161C">
      <w:pPr>
        <w:pStyle w:val="ParaNum0"/>
        <w:rPr>
          <w:szCs w:val="22"/>
        </w:rPr>
      </w:pPr>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In consideration for the termination of the Investigation,</w:t>
      </w:r>
      <w:r>
        <w:rPr>
          <w:szCs w:val="22"/>
        </w:rPr>
        <w:t xml:space="preserve"> The Supply Room</w:t>
      </w:r>
      <w:r w:rsidRPr="007C0B39">
        <w:rPr>
          <w:szCs w:val="22"/>
        </w:rPr>
        <w:t xml:space="preserve">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rPr>
          <w:szCs w:val="22"/>
        </w:rPr>
        <w:t>The Supply Room</w:t>
      </w:r>
      <w:r w:rsidRPr="007C0B39">
        <w:rPr>
          <w:szCs w:val="22"/>
        </w:rPr>
        <w:t xml:space="preserve"> concerning the matters that were the subject of the Investigation.  </w:t>
      </w:r>
      <w:r>
        <w:t>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Supply Room’s basic qualifications to be a Commission licensee or hold Commission licenses or authorizations.</w:t>
      </w:r>
      <w:r>
        <w:rPr>
          <w:rStyle w:val="FootnoteReference"/>
        </w:rPr>
        <w:footnoteReference w:id="19"/>
      </w:r>
    </w:p>
    <w:p w14:paraId="3953569F" w14:textId="77777777" w:rsidR="00C8161C" w:rsidRPr="00FB4048" w:rsidRDefault="00C8161C" w:rsidP="00C8161C">
      <w:pPr>
        <w:pStyle w:val="ParaNum0"/>
        <w:widowControl/>
        <w:rPr>
          <w:szCs w:val="22"/>
        </w:rPr>
      </w:pPr>
      <w:r w:rsidRPr="007C0B39">
        <w:rPr>
          <w:b/>
          <w:u w:val="single"/>
        </w:rPr>
        <w:t>Admission of Liability</w:t>
      </w:r>
      <w:r w:rsidRPr="007C0B39">
        <w:t xml:space="preserve">.  </w:t>
      </w:r>
      <w:r>
        <w:t xml:space="preserve">The </w:t>
      </w:r>
      <w:r>
        <w:rPr>
          <w:spacing w:val="-2"/>
        </w:rPr>
        <w:t>Supply Room</w:t>
      </w:r>
      <w:r>
        <w:t xml:space="preserve"> a</w:t>
      </w:r>
      <w:r w:rsidRPr="007C0B39">
        <w:t>dmits for the purpose of this Consent Decree and for Commission civil enforcement purposes, and in express reliance on the provisions of paragraph</w:t>
      </w:r>
      <w:r>
        <w:t xml:space="preserve"> 9 </w:t>
      </w:r>
      <w:r w:rsidRPr="007C0B39">
        <w:t>herein,</w:t>
      </w:r>
      <w:r>
        <w:t xml:space="preserve"> that its actions that were the subject of the </w:t>
      </w:r>
      <w:r w:rsidRPr="004A0940">
        <w:rPr>
          <w:i/>
        </w:rPr>
        <w:t>NAL</w:t>
      </w:r>
      <w:r>
        <w:t xml:space="preserve"> violated the Jammer Laws.</w:t>
      </w:r>
      <w:r w:rsidRPr="00FB4048">
        <w:rPr>
          <w:szCs w:val="22"/>
        </w:rPr>
        <w:t xml:space="preserve">  </w:t>
      </w:r>
    </w:p>
    <w:p w14:paraId="4D2ED13A" w14:textId="77777777" w:rsidR="00C8161C" w:rsidRDefault="00C8161C" w:rsidP="00C8161C">
      <w:pPr>
        <w:pStyle w:val="ParaNum0"/>
        <w:widowControl/>
      </w:pPr>
      <w:bookmarkStart w:id="2" w:name="_Ref379202869"/>
      <w:r w:rsidRPr="00222B05">
        <w:rPr>
          <w:b/>
          <w:u w:val="single"/>
        </w:rPr>
        <w:t>Compliance Commitment</w:t>
      </w:r>
      <w:r w:rsidRPr="00222B05">
        <w:t xml:space="preserve">.  </w:t>
      </w:r>
      <w:r>
        <w:t xml:space="preserve">The </w:t>
      </w:r>
      <w:r>
        <w:rPr>
          <w:spacing w:val="-2"/>
        </w:rPr>
        <w:t>Supply Room</w:t>
      </w:r>
      <w:r>
        <w:t xml:space="preserve"> has ceased using or operating and </w:t>
      </w:r>
      <w:r w:rsidRPr="00222B05">
        <w:t xml:space="preserve">will not </w:t>
      </w:r>
      <w:r>
        <w:t>use or operate in the future any cellular jamming device or other illegal jamming device</w:t>
      </w:r>
      <w:r w:rsidRPr="00222B05">
        <w:t xml:space="preserve">.  </w:t>
      </w:r>
      <w:r>
        <w:t xml:space="preserve">Any use or operation of a jamming device by The </w:t>
      </w:r>
      <w:r>
        <w:rPr>
          <w:spacing w:val="-2"/>
        </w:rPr>
        <w:t>Supply Room</w:t>
      </w:r>
      <w:r>
        <w:t xml:space="preserve"> will violate the Jammer Laws and the terms of this Consent Decree.  The </w:t>
      </w:r>
      <w:r>
        <w:rPr>
          <w:spacing w:val="-2"/>
        </w:rPr>
        <w:t>Supply Room</w:t>
      </w:r>
      <w:r w:rsidRPr="007C0B39">
        <w:t xml:space="preserve"> shall report any noncompliance with the </w:t>
      </w:r>
      <w:r>
        <w:t>Jammer Laws or</w:t>
      </w:r>
      <w:r w:rsidRPr="007C0B39">
        <w:t xml:space="preserve"> with the terms and conditions of this Consent Decree within fifteen (15) calendar days after discovery of such noncompliance</w:t>
      </w:r>
      <w:r>
        <w:t xml:space="preserve"> to Chief, Spectrum Enforcement Division, Enforcement Bureau, Federal Communications Commission, 445 12th Street, SW, Washington, DC 20554</w:t>
      </w:r>
      <w:r w:rsidRPr="007C0B39">
        <w:t xml:space="preserve">, with a copy submitted electronically to </w:t>
      </w:r>
      <w:r>
        <w:t xml:space="preserve">JoAnn Lucanik at </w:t>
      </w:r>
      <w:r w:rsidRPr="009B678F">
        <w:t>JoAnn.Lucanink@fcc.gov</w:t>
      </w:r>
      <w:r>
        <w:t xml:space="preserve"> and Maureen McCarthy at Maureen.McCarthy</w:t>
      </w:r>
      <w:r w:rsidRPr="001C1A46">
        <w:t>@fcc.gov</w:t>
      </w:r>
      <w:r w:rsidRPr="007C0B39">
        <w:t xml:space="preserve">.  </w:t>
      </w:r>
    </w:p>
    <w:p w14:paraId="181D7225" w14:textId="77777777" w:rsidR="00C8161C" w:rsidRPr="00222B05" w:rsidRDefault="00C8161C" w:rsidP="00C8161C">
      <w:pPr>
        <w:pStyle w:val="ParaNum0"/>
        <w:widowControl/>
      </w:pPr>
      <w:bookmarkStart w:id="3" w:name="_Ref321323028"/>
      <w:bookmarkEnd w:id="2"/>
      <w:r w:rsidRPr="008D70CB">
        <w:rPr>
          <w:b/>
          <w:u w:val="single"/>
        </w:rPr>
        <w:t>Termination Date</w:t>
      </w:r>
      <w:r w:rsidRPr="008D70CB">
        <w:t xml:space="preserve">.  </w:t>
      </w:r>
      <w:r>
        <w:t>Unless stated otherwise, the requirements set forth in paragraph 11 shall expire thirty-six (36) months after the Effective Date.</w:t>
      </w:r>
    </w:p>
    <w:p w14:paraId="3CB0A146" w14:textId="77777777" w:rsidR="00C8161C" w:rsidRPr="00287EA1" w:rsidRDefault="00C8161C" w:rsidP="00C8161C">
      <w:pPr>
        <w:pStyle w:val="ParaNum0"/>
        <w:widowControl/>
      </w:pPr>
      <w:r w:rsidRPr="00287EA1">
        <w:rPr>
          <w:b/>
          <w:u w:val="single"/>
        </w:rPr>
        <w:t>Civil Penalty</w:t>
      </w:r>
      <w:r w:rsidRPr="00287EA1">
        <w:t xml:space="preserve">.  </w:t>
      </w:r>
      <w:r>
        <w:t xml:space="preserve">The </w:t>
      </w:r>
      <w:r>
        <w:rPr>
          <w:spacing w:val="-2"/>
        </w:rPr>
        <w:t>Supply Room</w:t>
      </w:r>
      <w:r w:rsidRPr="00287EA1">
        <w:t xml:space="preserve"> will pay a civil penalty to the United States Treasury in the amount of </w:t>
      </w:r>
      <w:r>
        <w:t xml:space="preserve">twenty </w:t>
      </w:r>
      <w:r w:rsidRPr="00457EC6">
        <w:t>thousand five hundred dollars ($20,500) (Civil</w:t>
      </w:r>
      <w:r>
        <w:t xml:space="preserve"> Penalty)</w:t>
      </w:r>
      <w:r w:rsidRPr="00287EA1">
        <w:t xml:space="preserve"> within 30 calendar days after the Effective Date.  </w:t>
      </w:r>
      <w:r>
        <w:t xml:space="preserve">The </w:t>
      </w:r>
      <w:r>
        <w:rPr>
          <w:spacing w:val="-2"/>
        </w:rPr>
        <w:t>Supply Room</w:t>
      </w:r>
      <w:r w:rsidRPr="00287EA1">
        <w:t xml:space="preserve"> shall send electronic notification of payment to JoAnn Lucanik at JoAnn.Lucanink@fcc.gov, </w:t>
      </w:r>
      <w:r>
        <w:t>Maureen McCarthy</w:t>
      </w:r>
      <w:r w:rsidRPr="00287EA1">
        <w:t xml:space="preserve"> at </w:t>
      </w:r>
      <w:r>
        <w:t>Maureen</w:t>
      </w:r>
      <w:r w:rsidRPr="00287EA1">
        <w:t>.</w:t>
      </w:r>
      <w:r>
        <w:t>McCarthy</w:t>
      </w:r>
      <w:r w:rsidRPr="00287EA1">
        <w:t xml:space="preserve">@fcc.gov, and Samantha Peoples at Sam.Peoples@fcc.gov on the date said payment is made.  </w:t>
      </w:r>
      <w:r w:rsidRPr="00287EA1">
        <w:rPr>
          <w:szCs w:val="22"/>
        </w:rPr>
        <w:t xml:space="preserve">The </w:t>
      </w:r>
      <w:r w:rsidRPr="00287EA1">
        <w:t xml:space="preserve">payment </w:t>
      </w:r>
      <w:r w:rsidRPr="00287EA1">
        <w:rPr>
          <w:szCs w:val="22"/>
        </w:rPr>
        <w:t>must be made by check or similar instrument, wire transfer, or credit card, and must include the NAL/Account Number and FRN referenced above.  Regardless of the form of payment, a completed FCC Form 159 (Remittance Advice) must be submitted.</w:t>
      </w:r>
      <w:r w:rsidRPr="00287EA1">
        <w:rPr>
          <w:rStyle w:val="FootnoteReference"/>
          <w:szCs w:val="22"/>
        </w:rPr>
        <w:footnoteReference w:id="20"/>
      </w:r>
      <w:r w:rsidRPr="00287EA1">
        <w:rPr>
          <w:szCs w:val="22"/>
        </w:rPr>
        <w:t xml:space="preserve">  When completing the FCC Form 159, enter the NAL/Account Number in block number 23A (call sign/other ID) and enter the letters “FORF” in block number 24A (payment type code).  Below are additional instructions that should be followed based on the form of payment selected:</w:t>
      </w:r>
    </w:p>
    <w:p w14:paraId="5F27DE3C" w14:textId="77777777" w:rsidR="00C8161C" w:rsidRPr="00287EA1" w:rsidRDefault="00C8161C" w:rsidP="00C8161C">
      <w:pPr>
        <w:pStyle w:val="ParaNum0"/>
        <w:widowControl/>
        <w:numPr>
          <w:ilvl w:val="0"/>
          <w:numId w:val="49"/>
        </w:numPr>
        <w:rPr>
          <w:rFonts w:eastAsia="MS Mincho"/>
          <w:szCs w:val="22"/>
        </w:rPr>
      </w:pPr>
      <w:r w:rsidRPr="00287EA1">
        <w:rPr>
          <w:rFonts w:eastAsia="MS Mincho"/>
          <w:szCs w:val="22"/>
        </w:rPr>
        <w:t>Payment by check or money order must be made payable to the order of the Federal Communications Commission.</w:t>
      </w:r>
      <w:r>
        <w:rPr>
          <w:rFonts w:eastAsia="MS Mincho"/>
          <w:szCs w:val="22"/>
        </w:rPr>
        <w:t xml:space="preserve">  </w:t>
      </w:r>
      <w:r w:rsidRPr="00287EA1">
        <w:rPr>
          <w:rFonts w:eastAsia="MS Mincho"/>
          <w:szCs w:val="22"/>
        </w:rPr>
        <w:t>Such payments</w:t>
      </w:r>
      <w:r>
        <w:rPr>
          <w:rFonts w:eastAsia="MS Mincho"/>
          <w:szCs w:val="22"/>
        </w:rPr>
        <w:t xml:space="preserve"> </w:t>
      </w:r>
      <w:r w:rsidRPr="00287EA1">
        <w:rPr>
          <w:rFonts w:eastAsia="MS Mincho"/>
          <w:szCs w:val="22"/>
        </w:rPr>
        <w:t>(along with the completed Form 159)</w:t>
      </w:r>
      <w:r>
        <w:rPr>
          <w:rFonts w:eastAsia="MS Mincho"/>
          <w:szCs w:val="22"/>
        </w:rPr>
        <w:t xml:space="preserve"> </w:t>
      </w:r>
      <w:r w:rsidRPr="00287EA1">
        <w:rPr>
          <w:rFonts w:eastAsia="MS Mincho"/>
          <w:szCs w:val="22"/>
        </w:rPr>
        <w:t>must be mailed to Federal Communications Commission, P.O. Box 979088, St.</w:t>
      </w:r>
      <w:r>
        <w:rPr>
          <w:rFonts w:eastAsia="MS Mincho"/>
          <w:szCs w:val="22"/>
        </w:rPr>
        <w:t xml:space="preserve"> </w:t>
      </w:r>
      <w:r w:rsidRPr="00287EA1">
        <w:rPr>
          <w:rFonts w:eastAsia="MS Mincho"/>
          <w:szCs w:val="22"/>
        </w:rPr>
        <w:t>Louis, MO 63197-9000, or sent via</w:t>
      </w:r>
      <w:r>
        <w:rPr>
          <w:rFonts w:eastAsia="MS Mincho"/>
          <w:szCs w:val="22"/>
        </w:rPr>
        <w:t xml:space="preserve"> </w:t>
      </w:r>
      <w:r w:rsidRPr="00287EA1">
        <w:rPr>
          <w:rFonts w:eastAsia="MS Mincho"/>
          <w:szCs w:val="22"/>
        </w:rPr>
        <w:t>overnight mail</w:t>
      </w:r>
      <w:r>
        <w:rPr>
          <w:rFonts w:eastAsia="MS Mincho"/>
          <w:szCs w:val="22"/>
        </w:rPr>
        <w:t xml:space="preserve"> </w:t>
      </w:r>
      <w:r w:rsidRPr="00287EA1">
        <w:rPr>
          <w:rFonts w:eastAsia="MS Mincho"/>
          <w:szCs w:val="22"/>
        </w:rPr>
        <w:t>to U.S. Bank – Government Lockbox #979088, SL</w:t>
      </w:r>
      <w:r w:rsidRPr="00287EA1">
        <w:rPr>
          <w:rFonts w:eastAsia="MS Mincho"/>
          <w:szCs w:val="22"/>
        </w:rPr>
        <w:noBreakHyphen/>
        <w:t>MO</w:t>
      </w:r>
      <w:r w:rsidRPr="00287EA1">
        <w:rPr>
          <w:rFonts w:eastAsia="MS Mincho"/>
          <w:szCs w:val="22"/>
        </w:rPr>
        <w:noBreakHyphen/>
        <w:t>C2</w:t>
      </w:r>
      <w:r w:rsidRPr="00287EA1">
        <w:rPr>
          <w:rFonts w:eastAsia="MS Mincho"/>
          <w:szCs w:val="22"/>
        </w:rPr>
        <w:noBreakHyphen/>
        <w:t>GL, 1005 Convention Plaza, St. Louis, MO 63101.</w:t>
      </w:r>
    </w:p>
    <w:p w14:paraId="17857B8A" w14:textId="77777777" w:rsidR="00C8161C" w:rsidRPr="00287EA1" w:rsidRDefault="00C8161C" w:rsidP="00C8161C">
      <w:pPr>
        <w:pStyle w:val="ParaNum0"/>
        <w:widowControl/>
        <w:numPr>
          <w:ilvl w:val="0"/>
          <w:numId w:val="49"/>
        </w:numPr>
        <w:rPr>
          <w:rFonts w:eastAsia="MS Mincho"/>
          <w:szCs w:val="22"/>
        </w:rPr>
      </w:pPr>
      <w:r w:rsidRPr="00287EA1">
        <w:rPr>
          <w:rFonts w:eastAsia="MS Mincho"/>
          <w:szCs w:val="22"/>
        </w:rPr>
        <w:t>Payment by</w:t>
      </w:r>
      <w:r>
        <w:rPr>
          <w:rFonts w:eastAsia="MS Mincho"/>
          <w:szCs w:val="22"/>
        </w:rPr>
        <w:t xml:space="preserve"> </w:t>
      </w:r>
      <w:r w:rsidRPr="00287EA1">
        <w:rPr>
          <w:rFonts w:eastAsia="MS Mincho"/>
          <w:szCs w:val="22"/>
        </w:rPr>
        <w:t>wire transfer</w:t>
      </w:r>
      <w:r>
        <w:rPr>
          <w:rFonts w:eastAsia="MS Mincho"/>
          <w:szCs w:val="22"/>
        </w:rPr>
        <w:t xml:space="preserve"> </w:t>
      </w:r>
      <w:r w:rsidRPr="00287EA1">
        <w:rPr>
          <w:rFonts w:eastAsia="MS Mincho"/>
          <w:szCs w:val="22"/>
        </w:rPr>
        <w:t>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6E12B81" w14:textId="77777777" w:rsidR="00C8161C" w:rsidRPr="00287EA1" w:rsidRDefault="00C8161C" w:rsidP="00C8161C">
      <w:pPr>
        <w:pStyle w:val="ParaNum0"/>
        <w:widowControl/>
        <w:numPr>
          <w:ilvl w:val="0"/>
          <w:numId w:val="49"/>
        </w:numPr>
        <w:rPr>
          <w:rFonts w:eastAsia="MS Mincho"/>
          <w:szCs w:val="22"/>
        </w:rPr>
      </w:pPr>
      <w:r w:rsidRPr="00287EA1">
        <w:rPr>
          <w:rFonts w:eastAsia="MS Mincho"/>
          <w:szCs w:val="22"/>
        </w:rPr>
        <w:t>Payment by credit card must be made by providing the required credit card information on FCC Form 159 and signing</w:t>
      </w:r>
      <w:r>
        <w:rPr>
          <w:rFonts w:eastAsia="MS Mincho"/>
          <w:szCs w:val="22"/>
        </w:rPr>
        <w:t xml:space="preserve"> </w:t>
      </w:r>
      <w:r w:rsidRPr="00287EA1">
        <w:rPr>
          <w:rFonts w:eastAsia="MS Mincho"/>
          <w:szCs w:val="22"/>
        </w:rPr>
        <w:t>and dating</w:t>
      </w:r>
      <w:r>
        <w:rPr>
          <w:rFonts w:eastAsia="MS Mincho"/>
          <w:szCs w:val="22"/>
        </w:rPr>
        <w:t xml:space="preserve"> </w:t>
      </w:r>
      <w:r w:rsidRPr="00287EA1">
        <w:rPr>
          <w:rFonts w:eastAsia="MS Mincho"/>
          <w:szCs w:val="22"/>
        </w:rPr>
        <w:t>the Form 159 to authorize</w:t>
      </w:r>
      <w:r>
        <w:rPr>
          <w:rFonts w:eastAsia="MS Mincho"/>
          <w:szCs w:val="22"/>
        </w:rPr>
        <w:t xml:space="preserve"> </w:t>
      </w:r>
      <w:r w:rsidRPr="00287EA1">
        <w:rPr>
          <w:rFonts w:eastAsia="MS Mincho"/>
          <w:szCs w:val="22"/>
        </w:rPr>
        <w:t>the credit card payment.  The completed Form 159 must then be mailed to Federal Communications Commission, P.O. Box 979088, St. Louis, MO 63197-9000, or sent via</w:t>
      </w:r>
      <w:r>
        <w:rPr>
          <w:rFonts w:eastAsia="MS Mincho"/>
          <w:szCs w:val="22"/>
        </w:rPr>
        <w:t xml:space="preserve"> </w:t>
      </w:r>
      <w:r w:rsidRPr="00287EA1">
        <w:rPr>
          <w:rFonts w:eastAsia="MS Mincho"/>
          <w:szCs w:val="22"/>
        </w:rPr>
        <w:t>overnight mail</w:t>
      </w:r>
      <w:r>
        <w:rPr>
          <w:rFonts w:eastAsia="MS Mincho"/>
          <w:szCs w:val="22"/>
        </w:rPr>
        <w:t xml:space="preserve"> </w:t>
      </w:r>
      <w:r w:rsidRPr="00287EA1">
        <w:rPr>
          <w:rFonts w:eastAsia="MS Mincho"/>
          <w:szCs w:val="22"/>
        </w:rPr>
        <w:t>to U.S. Bank – Government Lockbox #979088, SL-MO-C2-GL, 1005 Convention Plaza, St. Louis, MO 63101.</w:t>
      </w:r>
    </w:p>
    <w:p w14:paraId="374EF3EB" w14:textId="77777777" w:rsidR="00C8161C" w:rsidRPr="007C0B39" w:rsidRDefault="00C8161C" w:rsidP="00C8161C">
      <w:pPr>
        <w:spacing w:after="120"/>
        <w:rPr>
          <w:rFonts w:eastAsia="MS Mincho"/>
        </w:rPr>
      </w:pPr>
      <w:r w:rsidRPr="00287EA1">
        <w:rPr>
          <w:rFonts w:eastAsia="MS Mincho"/>
        </w:rPr>
        <w:t>Questions regarding payment procedures should be addressed to the Financial Operations Group Help Desk</w:t>
      </w:r>
      <w:r>
        <w:rPr>
          <w:rFonts w:eastAsia="MS Mincho"/>
        </w:rPr>
        <w:t xml:space="preserve"> </w:t>
      </w:r>
      <w:r w:rsidRPr="00287EA1">
        <w:rPr>
          <w:rFonts w:eastAsia="MS Mincho"/>
        </w:rPr>
        <w:t>by phone,</w:t>
      </w:r>
      <w:r>
        <w:rPr>
          <w:rFonts w:eastAsia="MS Mincho"/>
        </w:rPr>
        <w:t xml:space="preserve"> </w:t>
      </w:r>
      <w:r w:rsidRPr="00287EA1">
        <w:rPr>
          <w:rFonts w:eastAsia="MS Mincho"/>
        </w:rPr>
        <w:t>1-877-480-3201, or</w:t>
      </w:r>
      <w:r>
        <w:rPr>
          <w:rFonts w:eastAsia="MS Mincho"/>
        </w:rPr>
        <w:t xml:space="preserve"> </w:t>
      </w:r>
      <w:r w:rsidRPr="00287EA1">
        <w:rPr>
          <w:rFonts w:eastAsia="MS Mincho"/>
        </w:rPr>
        <w:t>by e-mail, ARINQUIRIES@fcc.gov.</w:t>
      </w:r>
    </w:p>
    <w:bookmarkEnd w:id="3"/>
    <w:p w14:paraId="6AF0422E" w14:textId="04C6CE23" w:rsidR="00C8161C" w:rsidRPr="007C0B39" w:rsidRDefault="00C8161C" w:rsidP="00461C91">
      <w:pPr>
        <w:pStyle w:val="ParaNum0"/>
      </w:pPr>
      <w:r w:rsidRPr="007C0B39">
        <w:rPr>
          <w:b/>
          <w:u w:val="single"/>
        </w:rPr>
        <w:t>Waivers</w:t>
      </w:r>
      <w:r w:rsidRPr="007C0B39">
        <w:t>.  As of the Effective Date,</w:t>
      </w:r>
      <w:r>
        <w:t xml:space="preserve"> The </w:t>
      </w:r>
      <w:r>
        <w:rPr>
          <w:spacing w:val="-2"/>
        </w:rPr>
        <w:t>Supply Room</w:t>
      </w:r>
      <w:r w:rsidRPr="007C0B39">
        <w:t xml:space="preserve"> waives any and all rights it may have to seek administrative or judicial reconsideration, review, appeal or stay, or to otherwise challenge or contest the validity of this Consent Decree and the Adopting Order.  </w:t>
      </w:r>
      <w:r>
        <w:t xml:space="preserve">The </w:t>
      </w:r>
      <w:r>
        <w:rPr>
          <w:spacing w:val="-2"/>
        </w:rPr>
        <w:t>Supply Room</w:t>
      </w:r>
      <w:r w:rsidRPr="007C0B39">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w:t>
      </w:r>
      <w:r w:rsidRPr="00EC68AC">
        <w:rPr>
          <w:spacing w:val="-2"/>
        </w:rPr>
        <w:t xml:space="preserve"> </w:t>
      </w:r>
      <w:r>
        <w:rPr>
          <w:spacing w:val="-2"/>
        </w:rPr>
        <w:t>The Supply Room</w:t>
      </w:r>
      <w:r w:rsidRPr="007C0B39">
        <w:t xml:space="preserve"> nor the Commission shall contest the validity of the Consent Decree or the Adopting Order, and </w:t>
      </w:r>
      <w:r>
        <w:t xml:space="preserve">The </w:t>
      </w:r>
      <w:r>
        <w:rPr>
          <w:spacing w:val="-2"/>
        </w:rPr>
        <w:t>Supply Room</w:t>
      </w:r>
      <w:r w:rsidRPr="00287EA1">
        <w:t xml:space="preserve"> </w:t>
      </w:r>
      <w:r w:rsidRPr="007C0B39">
        <w:t xml:space="preserve">shall waive any statutory right to a trial </w:t>
      </w:r>
      <w:r w:rsidRPr="007C0B39">
        <w:rPr>
          <w:i/>
        </w:rPr>
        <w:t>de novo</w:t>
      </w:r>
      <w:r w:rsidRPr="007C0B39">
        <w:t xml:space="preserve">.  </w:t>
      </w:r>
      <w:r>
        <w:t xml:space="preserve">The </w:t>
      </w:r>
      <w:r>
        <w:rPr>
          <w:spacing w:val="-2"/>
        </w:rPr>
        <w:t>Supply Room</w:t>
      </w:r>
      <w:r w:rsidRPr="00287EA1">
        <w:t xml:space="preserve"> </w:t>
      </w:r>
      <w:r w:rsidRPr="007C0B39">
        <w:t>hereby agrees to waive any claims it may otherwise have under the Equal Access to Justice Act</w:t>
      </w:r>
      <w:r w:rsidRPr="007C0B39">
        <w:rPr>
          <w:rStyle w:val="FootnoteReference"/>
          <w:szCs w:val="22"/>
        </w:rPr>
        <w:footnoteReference w:id="21"/>
      </w:r>
      <w:r w:rsidRPr="007C0B39">
        <w:t xml:space="preserve"> relating to the matters addressed in this Consent Decree.</w:t>
      </w:r>
    </w:p>
    <w:p w14:paraId="1E27C750" w14:textId="77777777" w:rsidR="00C8161C" w:rsidRPr="007C0B39" w:rsidRDefault="00C8161C" w:rsidP="00C8161C">
      <w:pPr>
        <w:pStyle w:val="ParaNum0"/>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7716116A" w14:textId="77777777" w:rsidR="00C8161C" w:rsidRPr="007C0B39" w:rsidRDefault="00C8161C" w:rsidP="00C8161C">
      <w:pPr>
        <w:pStyle w:val="ParaNum0"/>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14:paraId="24A7090B" w14:textId="77777777" w:rsidR="00C8161C" w:rsidRPr="007C0B39" w:rsidRDefault="00C8161C" w:rsidP="00C8161C">
      <w:pPr>
        <w:pStyle w:val="ParaNum0"/>
      </w:pPr>
      <w:r w:rsidRPr="007C0B39">
        <w:rPr>
          <w:b/>
          <w:u w:val="single"/>
        </w:rPr>
        <w:t>Subsequent Rule or Order</w:t>
      </w:r>
      <w:r w:rsidRPr="007C0B39">
        <w:t xml:space="preserve">.  The Parties agree that if any provision of the Consent Decree conflicts with any subsequent Rule or Order adopted by the Commission (except an Order specifically intended to revise the terms of this Consent Decree to which </w:t>
      </w:r>
      <w:r>
        <w:t xml:space="preserve">The </w:t>
      </w:r>
      <w:r>
        <w:rPr>
          <w:spacing w:val="-2"/>
        </w:rPr>
        <w:t>Supply Room</w:t>
      </w:r>
      <w:r w:rsidRPr="00287EA1">
        <w:t xml:space="preserve"> </w:t>
      </w:r>
      <w:r w:rsidRPr="007C0B39">
        <w:t>does not expressly consent) that provision will be superseded by such Rule or Order.</w:t>
      </w:r>
    </w:p>
    <w:p w14:paraId="3712B673" w14:textId="77777777" w:rsidR="00C8161C" w:rsidRPr="007C0B39" w:rsidRDefault="00C8161C" w:rsidP="00C8161C">
      <w:pPr>
        <w:pStyle w:val="ParaNum0"/>
      </w:pPr>
      <w:r w:rsidRPr="007C0B39">
        <w:rPr>
          <w:b/>
          <w:u w:val="single"/>
        </w:rPr>
        <w:t>Successors and Assigns</w:t>
      </w:r>
      <w:r w:rsidRPr="007C0B39">
        <w:t xml:space="preserve">.  </w:t>
      </w:r>
      <w:r>
        <w:t xml:space="preserve">The </w:t>
      </w:r>
      <w:r>
        <w:rPr>
          <w:spacing w:val="-2"/>
        </w:rPr>
        <w:t>Supply Room</w:t>
      </w:r>
      <w:r w:rsidRPr="00287EA1">
        <w:t xml:space="preserve"> </w:t>
      </w:r>
      <w:r w:rsidRPr="007C0B39">
        <w:t>agrees that the provisions of this Consent Decree shall be binding on its successors, assigns, and transferees.</w:t>
      </w:r>
    </w:p>
    <w:p w14:paraId="63EE303E" w14:textId="77777777" w:rsidR="00C8161C" w:rsidRPr="007C0B39" w:rsidRDefault="00C8161C" w:rsidP="00C8161C">
      <w:pPr>
        <w:pStyle w:val="ParaNum0"/>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Investigation.  </w:t>
      </w:r>
    </w:p>
    <w:p w14:paraId="43BDABE4" w14:textId="77777777" w:rsidR="00C8161C" w:rsidRPr="007C0B39" w:rsidRDefault="00C8161C" w:rsidP="00C8161C">
      <w:pPr>
        <w:pStyle w:val="ParaNum0"/>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5E781CD9" w14:textId="77777777" w:rsidR="00C8161C" w:rsidRPr="007C0B39" w:rsidRDefault="00C8161C" w:rsidP="00C8161C">
      <w:pPr>
        <w:pStyle w:val="ParaNum0"/>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40F79490" w14:textId="77777777" w:rsidR="00C8161C" w:rsidRPr="007C0B39" w:rsidRDefault="00C8161C" w:rsidP="00C8161C">
      <w:pPr>
        <w:pStyle w:val="ParaNum0"/>
        <w:widowControl/>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750B2915" w14:textId="77777777" w:rsidR="00C8161C" w:rsidRPr="007C0B39" w:rsidRDefault="00C8161C" w:rsidP="00C8161C">
      <w:pPr>
        <w:pStyle w:val="ParaNum0"/>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14:paraId="4834037D" w14:textId="77777777" w:rsidR="00C8161C" w:rsidRPr="007C0B39" w:rsidRDefault="00C8161C" w:rsidP="00C8161C">
      <w:pPr>
        <w:keepNext/>
        <w:keepLines/>
      </w:pPr>
    </w:p>
    <w:p w14:paraId="0E76ABCE" w14:textId="77777777" w:rsidR="00C8161C" w:rsidRDefault="00C8161C" w:rsidP="00C8161C">
      <w:pPr>
        <w:keepNext/>
        <w:keepLines/>
      </w:pPr>
    </w:p>
    <w:p w14:paraId="79A9A5B2" w14:textId="77777777" w:rsidR="00C8161C" w:rsidRPr="007C0B39" w:rsidRDefault="00C8161C" w:rsidP="00C8161C">
      <w:pPr>
        <w:keepNext/>
        <w:keepLines/>
      </w:pPr>
    </w:p>
    <w:p w14:paraId="7C468FC7" w14:textId="77777777" w:rsidR="00C8161C" w:rsidRPr="007C0B39" w:rsidRDefault="00C8161C" w:rsidP="00C8161C">
      <w:pPr>
        <w:keepNext/>
        <w:keepLines/>
      </w:pPr>
      <w:r w:rsidRPr="007C0B39">
        <w:t>________________________________</w:t>
      </w:r>
    </w:p>
    <w:p w14:paraId="3A06B7B6" w14:textId="77777777" w:rsidR="00C8161C" w:rsidRPr="007C0B39" w:rsidRDefault="00C8161C" w:rsidP="00C8161C">
      <w:pPr>
        <w:keepNext/>
        <w:keepLines/>
      </w:pPr>
      <w:r>
        <w:t>Travis LeBlanc</w:t>
      </w:r>
    </w:p>
    <w:p w14:paraId="2EC282AE" w14:textId="77777777" w:rsidR="00C8161C" w:rsidRDefault="00C8161C" w:rsidP="00C8161C">
      <w:pPr>
        <w:keepNext/>
        <w:keepLines/>
      </w:pPr>
      <w:r>
        <w:t>Chief</w:t>
      </w:r>
    </w:p>
    <w:p w14:paraId="771C2493" w14:textId="77777777" w:rsidR="00C8161C" w:rsidRPr="007C0B39" w:rsidRDefault="00C8161C" w:rsidP="00C8161C">
      <w:pPr>
        <w:keepNext/>
        <w:keepLines/>
      </w:pPr>
      <w:r w:rsidRPr="007C0B39">
        <w:t>Enforcement Bureau</w:t>
      </w:r>
    </w:p>
    <w:p w14:paraId="0DB413AA" w14:textId="77777777" w:rsidR="00C8161C" w:rsidRPr="007C0B39" w:rsidRDefault="00C8161C" w:rsidP="00C8161C">
      <w:pPr>
        <w:keepNext/>
        <w:keepLines/>
      </w:pPr>
    </w:p>
    <w:p w14:paraId="506328C3" w14:textId="77777777" w:rsidR="00C8161C" w:rsidRPr="007C0B39" w:rsidRDefault="00C8161C" w:rsidP="00C8161C">
      <w:pPr>
        <w:keepNext/>
        <w:keepLines/>
      </w:pPr>
    </w:p>
    <w:p w14:paraId="071FB00A" w14:textId="77777777" w:rsidR="00C8161C" w:rsidRPr="007C0B39" w:rsidRDefault="00C8161C" w:rsidP="00C8161C">
      <w:pPr>
        <w:keepNext/>
        <w:keepLines/>
      </w:pPr>
      <w:r w:rsidRPr="007C0B39">
        <w:t>________________________________</w:t>
      </w:r>
    </w:p>
    <w:p w14:paraId="65B11206" w14:textId="77777777" w:rsidR="00C8161C" w:rsidRPr="007C0B39" w:rsidRDefault="00C8161C" w:rsidP="00C8161C">
      <w:pPr>
        <w:keepNext/>
        <w:keepLines/>
      </w:pPr>
      <w:r w:rsidRPr="007C0B39">
        <w:t>Date</w:t>
      </w:r>
    </w:p>
    <w:p w14:paraId="550D5854" w14:textId="77777777" w:rsidR="00C8161C" w:rsidRPr="007C0B39" w:rsidRDefault="00C8161C" w:rsidP="00C8161C">
      <w:pPr>
        <w:keepNext/>
        <w:keepLines/>
      </w:pPr>
    </w:p>
    <w:p w14:paraId="7C027AC9" w14:textId="77777777" w:rsidR="00C8161C" w:rsidRPr="007C0B39" w:rsidRDefault="00C8161C" w:rsidP="00C8161C">
      <w:pPr>
        <w:keepLines/>
      </w:pPr>
    </w:p>
    <w:p w14:paraId="062D5CEC" w14:textId="77777777" w:rsidR="00C8161C" w:rsidRPr="007C0B39" w:rsidRDefault="00C8161C" w:rsidP="00C8161C">
      <w:pPr>
        <w:keepLines/>
      </w:pPr>
    </w:p>
    <w:p w14:paraId="15526C6E" w14:textId="77777777" w:rsidR="00C8161C" w:rsidRPr="007C0B39" w:rsidRDefault="00C8161C" w:rsidP="00C8161C">
      <w:pPr>
        <w:keepLines/>
      </w:pPr>
      <w:r w:rsidRPr="007C0B39">
        <w:t>________________________________</w:t>
      </w:r>
    </w:p>
    <w:p w14:paraId="16166F43" w14:textId="77777777" w:rsidR="00C8161C" w:rsidRPr="007C0B39" w:rsidRDefault="00C8161C" w:rsidP="00C8161C">
      <w:pPr>
        <w:keepLines/>
      </w:pPr>
      <w:r>
        <w:t>Arthur U. Hathorn, Jr.</w:t>
      </w:r>
    </w:p>
    <w:p w14:paraId="75B712C3" w14:textId="77777777" w:rsidR="00C8161C" w:rsidRPr="007C0B39" w:rsidRDefault="00C8161C" w:rsidP="00C8161C">
      <w:pPr>
        <w:keepLines/>
      </w:pPr>
      <w:r>
        <w:t>Chief Executive Officer</w:t>
      </w:r>
      <w:r w:rsidRPr="007C0B39">
        <w:t xml:space="preserve"> </w:t>
      </w:r>
    </w:p>
    <w:p w14:paraId="0B57B03D" w14:textId="77777777" w:rsidR="00C8161C" w:rsidRPr="007C0B39" w:rsidRDefault="00C8161C" w:rsidP="00C8161C">
      <w:pPr>
        <w:keepLines/>
      </w:pPr>
      <w:r>
        <w:t>The Supply Room, Inc.</w:t>
      </w:r>
    </w:p>
    <w:p w14:paraId="3E10CF21" w14:textId="77777777" w:rsidR="00C8161C" w:rsidRDefault="00C8161C" w:rsidP="00C8161C">
      <w:pPr>
        <w:keepLines/>
      </w:pPr>
    </w:p>
    <w:p w14:paraId="25E6FCF5" w14:textId="77777777" w:rsidR="00C8161C" w:rsidRPr="007C0B39" w:rsidRDefault="00C8161C" w:rsidP="00C8161C">
      <w:pPr>
        <w:keepLines/>
      </w:pPr>
    </w:p>
    <w:p w14:paraId="2982FFEC" w14:textId="77777777" w:rsidR="00C8161C" w:rsidRPr="007C0B39" w:rsidRDefault="00C8161C" w:rsidP="00C8161C">
      <w:pPr>
        <w:keepLines/>
      </w:pPr>
      <w:r w:rsidRPr="007C0B39">
        <w:t>________________________________</w:t>
      </w:r>
    </w:p>
    <w:p w14:paraId="21A0CE10" w14:textId="77777777" w:rsidR="00C8161C" w:rsidRPr="002C00E8" w:rsidRDefault="00C8161C" w:rsidP="00C8161C">
      <w:pPr>
        <w:keepLines/>
      </w:pPr>
      <w:r w:rsidRPr="007C0B39">
        <w:t>Date</w:t>
      </w:r>
    </w:p>
    <w:p w14:paraId="4AC76CB1" w14:textId="77777777" w:rsidR="00412FC5" w:rsidRPr="008C4282" w:rsidRDefault="00412FC5" w:rsidP="00CF77B7">
      <w:pPr>
        <w:rPr>
          <w:szCs w:val="22"/>
        </w:rPr>
      </w:pPr>
    </w:p>
    <w:sectPr w:rsidR="00412FC5" w:rsidRPr="008C4282" w:rsidSect="00AA4B1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95"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BBD88" w14:textId="77777777" w:rsidR="00FC524C" w:rsidRDefault="00FC524C">
      <w:pPr>
        <w:spacing w:line="20" w:lineRule="exact"/>
      </w:pPr>
    </w:p>
  </w:endnote>
  <w:endnote w:type="continuationSeparator" w:id="0">
    <w:p w14:paraId="385E8984" w14:textId="77777777" w:rsidR="00FC524C" w:rsidRDefault="00FC524C">
      <w:r>
        <w:t xml:space="preserve"> </w:t>
      </w:r>
    </w:p>
  </w:endnote>
  <w:endnote w:type="continuationNotice" w:id="1">
    <w:p w14:paraId="0E5678F2" w14:textId="77777777" w:rsidR="00FC524C" w:rsidRDefault="00FC52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BB942" w14:textId="77777777" w:rsidR="00676723" w:rsidRDefault="00404B01" w:rsidP="0055614C">
    <w:pPr>
      <w:pStyle w:val="Footer"/>
      <w:framePr w:wrap="around" w:vAnchor="text" w:hAnchor="margin" w:xAlign="center" w:y="1"/>
    </w:pPr>
    <w:r>
      <w:fldChar w:fldCharType="begin"/>
    </w:r>
    <w:r w:rsidR="00676723">
      <w:instrText xml:space="preserve">PAGE  </w:instrText>
    </w:r>
    <w:r>
      <w:fldChar w:fldCharType="end"/>
    </w:r>
  </w:p>
  <w:p w14:paraId="30AEE674" w14:textId="77777777" w:rsidR="00676723" w:rsidRDefault="0067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24003" w14:textId="77777777" w:rsidR="00676723" w:rsidRPr="007B3BDA" w:rsidRDefault="00404B01" w:rsidP="0055614C">
    <w:pPr>
      <w:pStyle w:val="Footer"/>
      <w:framePr w:wrap="around" w:vAnchor="text" w:hAnchor="margin" w:xAlign="center" w:y="1"/>
    </w:pPr>
    <w:r w:rsidRPr="007B3BDA">
      <w:fldChar w:fldCharType="begin"/>
    </w:r>
    <w:r w:rsidR="00676723" w:rsidRPr="007B3BDA">
      <w:instrText xml:space="preserve">PAGE  </w:instrText>
    </w:r>
    <w:r w:rsidRPr="007B3BDA">
      <w:fldChar w:fldCharType="separate"/>
    </w:r>
    <w:r w:rsidR="00677BF9">
      <w:rPr>
        <w:noProof/>
      </w:rPr>
      <w:t>1</w:t>
    </w:r>
    <w:r w:rsidRPr="007B3BDA">
      <w:fldChar w:fldCharType="end"/>
    </w:r>
  </w:p>
  <w:p w14:paraId="455E903A" w14:textId="77777777" w:rsidR="00676723" w:rsidRPr="007B3BDA" w:rsidRDefault="00676723">
    <w:pPr>
      <w:suppressAutoHyphens/>
      <w:spacing w:line="227" w:lineRule="auto"/>
    </w:pPr>
  </w:p>
  <w:p w14:paraId="57CFD271" w14:textId="77777777" w:rsidR="00676723" w:rsidRPr="007B3BDA" w:rsidRDefault="006767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75170" w14:textId="77777777" w:rsidR="00676723" w:rsidRDefault="0067672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E02F3" w14:textId="77777777" w:rsidR="00FC524C" w:rsidRDefault="00FC524C">
      <w:pPr>
        <w:rPr>
          <w:noProof/>
        </w:rPr>
      </w:pPr>
      <w:r>
        <w:rPr>
          <w:noProof/>
        </w:rPr>
        <w:separator/>
      </w:r>
    </w:p>
  </w:footnote>
  <w:footnote w:type="continuationSeparator" w:id="0">
    <w:p w14:paraId="061BA635" w14:textId="77777777" w:rsidR="00FC524C" w:rsidRDefault="00FC524C">
      <w:pPr>
        <w:rPr>
          <w:sz w:val="20"/>
        </w:rPr>
      </w:pPr>
      <w:r>
        <w:rPr>
          <w:sz w:val="20"/>
        </w:rPr>
        <w:t xml:space="preserve">(Continued from previous page)  </w:t>
      </w:r>
      <w:r>
        <w:rPr>
          <w:sz w:val="20"/>
        </w:rPr>
        <w:separator/>
      </w:r>
    </w:p>
  </w:footnote>
  <w:footnote w:type="continuationNotice" w:id="1">
    <w:p w14:paraId="102FCE06" w14:textId="77777777" w:rsidR="00FC524C" w:rsidRDefault="00FC524C">
      <w:pPr>
        <w:rPr>
          <w:sz w:val="20"/>
        </w:rPr>
      </w:pPr>
      <w:r>
        <w:rPr>
          <w:sz w:val="20"/>
        </w:rPr>
        <w:t>(continued….)</w:t>
      </w:r>
    </w:p>
  </w:footnote>
  <w:footnote w:id="2">
    <w:p w14:paraId="712FE7A6" w14:textId="6E3BC0A3" w:rsidR="003F2AB3" w:rsidRPr="00520DE0" w:rsidRDefault="003F2AB3" w:rsidP="003F2AB3">
      <w:pPr>
        <w:pStyle w:val="FootnoteText"/>
      </w:pPr>
      <w:r>
        <w:rPr>
          <w:rStyle w:val="FootnoteReference"/>
        </w:rPr>
        <w:footnoteRef/>
      </w:r>
      <w:r>
        <w:t xml:space="preserve"> </w:t>
      </w:r>
      <w:r w:rsidR="00480F37">
        <w:rPr>
          <w:i/>
        </w:rPr>
        <w:t>The Supply Room, Inc.</w:t>
      </w:r>
      <w:r w:rsidR="00480F37">
        <w:t>, Notice of Apparent Liability for Forfeiture and Order, 28</w:t>
      </w:r>
      <w:r w:rsidR="00480F37" w:rsidRPr="000F46CF">
        <w:t xml:space="preserve"> FCC Rcd </w:t>
      </w:r>
      <w:r w:rsidR="00480F37">
        <w:t>4981 (2013)</w:t>
      </w:r>
      <w:r>
        <w:t xml:space="preserve">.  </w:t>
      </w:r>
    </w:p>
  </w:footnote>
  <w:footnote w:id="3">
    <w:p w14:paraId="0B0C747E" w14:textId="2513375E" w:rsidR="00080F39" w:rsidRDefault="00080F39">
      <w:pPr>
        <w:pStyle w:val="FootnoteText"/>
      </w:pPr>
      <w:r>
        <w:rPr>
          <w:rStyle w:val="FootnoteReference"/>
        </w:rPr>
        <w:footnoteRef/>
      </w:r>
      <w:r>
        <w:t xml:space="preserve"> </w:t>
      </w:r>
      <w:r w:rsidR="00480F37">
        <w:rPr>
          <w:i/>
        </w:rPr>
        <w:t>See Affidavit of Mr. Tim Barton</w:t>
      </w:r>
      <w:r w:rsidR="00480F37" w:rsidRPr="00481A15">
        <w:rPr>
          <w:i/>
        </w:rPr>
        <w:t xml:space="preserve">, </w:t>
      </w:r>
      <w:r w:rsidR="00480F37">
        <w:rPr>
          <w:i/>
        </w:rPr>
        <w:t>IT Manager, The Supply Room, Inc.</w:t>
      </w:r>
      <w:r w:rsidR="00480F37" w:rsidRPr="00481A15">
        <w:rPr>
          <w:i/>
        </w:rPr>
        <w:t xml:space="preserve"> </w:t>
      </w:r>
      <w:r w:rsidR="00480F37">
        <w:t>(May</w:t>
      </w:r>
      <w:r w:rsidR="00480F37" w:rsidRPr="00BD4A7A">
        <w:t xml:space="preserve"> 2</w:t>
      </w:r>
      <w:r w:rsidR="00480F37">
        <w:t>2</w:t>
      </w:r>
      <w:r w:rsidR="00480F37" w:rsidRPr="00BD4A7A">
        <w:t>, 2014)</w:t>
      </w:r>
      <w:r w:rsidR="00480F37" w:rsidRPr="00481A15">
        <w:rPr>
          <w:i/>
        </w:rPr>
        <w:t>.</w:t>
      </w:r>
    </w:p>
  </w:footnote>
  <w:footnote w:id="4">
    <w:p w14:paraId="64D61591" w14:textId="01621A97" w:rsidR="00302487" w:rsidRPr="005A1FD2" w:rsidRDefault="00302487" w:rsidP="00302487">
      <w:pPr>
        <w:pStyle w:val="FootnoteText"/>
      </w:pPr>
      <w:r>
        <w:rPr>
          <w:rStyle w:val="FootnoteReference"/>
        </w:rPr>
        <w:footnoteRef/>
      </w:r>
      <w:r>
        <w:t xml:space="preserve"> </w:t>
      </w:r>
      <w:r w:rsidR="00480F37">
        <w:rPr>
          <w:i/>
        </w:rPr>
        <w:t>Id</w:t>
      </w:r>
      <w:r>
        <w:t>.</w:t>
      </w:r>
      <w:r w:rsidR="00480F37">
        <w:t xml:space="preserve"> at 1.</w:t>
      </w:r>
    </w:p>
  </w:footnote>
  <w:footnote w:id="5">
    <w:p w14:paraId="2C52ABA9" w14:textId="4D8CEB12" w:rsidR="00B277A4" w:rsidRPr="00D84548" w:rsidRDefault="00B277A4" w:rsidP="00D23E19">
      <w:pPr>
        <w:pStyle w:val="FootnoteText"/>
        <w:tabs>
          <w:tab w:val="left" w:pos="2207"/>
        </w:tabs>
      </w:pPr>
      <w:r w:rsidRPr="00ED5746">
        <w:rPr>
          <w:rStyle w:val="FootnoteReference"/>
        </w:rPr>
        <w:footnoteRef/>
      </w:r>
      <w:r w:rsidRPr="00D84548">
        <w:t xml:space="preserve"> </w:t>
      </w:r>
      <w:r w:rsidR="00EC1426">
        <w:rPr>
          <w:szCs w:val="22"/>
        </w:rPr>
        <w:t>47 U.S.C. §</w:t>
      </w:r>
      <w:r w:rsidR="009A7E62">
        <w:rPr>
          <w:szCs w:val="22"/>
        </w:rPr>
        <w:t xml:space="preserve"> </w:t>
      </w:r>
      <w:r w:rsidR="00EC1426">
        <w:rPr>
          <w:szCs w:val="22"/>
        </w:rPr>
        <w:t>301, 302a(b), 333</w:t>
      </w:r>
      <w:r w:rsidRPr="00D84548">
        <w:rPr>
          <w:szCs w:val="22"/>
        </w:rPr>
        <w:t>.</w:t>
      </w:r>
    </w:p>
  </w:footnote>
  <w:footnote w:id="6">
    <w:p w14:paraId="7A904D5B" w14:textId="77777777" w:rsidR="00B277A4" w:rsidRPr="00D84548" w:rsidRDefault="00B277A4">
      <w:pPr>
        <w:pStyle w:val="FootnoteText"/>
      </w:pPr>
      <w:r w:rsidRPr="00D84548">
        <w:rPr>
          <w:rStyle w:val="FootnoteReference"/>
        </w:rPr>
        <w:footnoteRef/>
      </w:r>
      <w:r w:rsidRPr="00D84548">
        <w:t xml:space="preserve"> </w:t>
      </w:r>
      <w:r w:rsidR="00EC1426">
        <w:rPr>
          <w:szCs w:val="22"/>
        </w:rPr>
        <w:t>47 C.F.R. § 2.805, 15.1(c)</w:t>
      </w:r>
      <w:r w:rsidRPr="00D84548">
        <w:rPr>
          <w:szCs w:val="22"/>
        </w:rPr>
        <w:t>.</w:t>
      </w:r>
    </w:p>
  </w:footnote>
  <w:footnote w:id="7">
    <w:p w14:paraId="0CF48988" w14:textId="77777777" w:rsidR="00357044" w:rsidRPr="00F74D07" w:rsidRDefault="00357044">
      <w:pPr>
        <w:pStyle w:val="FootnoteText"/>
      </w:pPr>
      <w:r>
        <w:rPr>
          <w:rStyle w:val="FootnoteReference"/>
        </w:rPr>
        <w:footnoteRef/>
      </w:r>
      <w:r>
        <w:t xml:space="preserve"> </w:t>
      </w:r>
      <w:r>
        <w:rPr>
          <w:i/>
        </w:rPr>
        <w:t xml:space="preserve">See </w:t>
      </w:r>
      <w:r>
        <w:t xml:space="preserve">47 C.F.R. </w:t>
      </w:r>
      <w:r w:rsidR="00F74D07">
        <w:t>§ 1.93(b).</w:t>
      </w:r>
    </w:p>
  </w:footnote>
  <w:footnote w:id="8">
    <w:p w14:paraId="1C4CE86C" w14:textId="77777777" w:rsidR="009632A6" w:rsidRPr="00D84548" w:rsidRDefault="009632A6">
      <w:pPr>
        <w:pStyle w:val="FootnoteText"/>
      </w:pPr>
      <w:r w:rsidRPr="00D84548">
        <w:rPr>
          <w:rStyle w:val="FootnoteReference"/>
        </w:rPr>
        <w:footnoteRef/>
      </w:r>
      <w:r w:rsidRPr="00D84548">
        <w:t xml:space="preserve"> </w:t>
      </w:r>
      <w:r w:rsidRPr="00D84548">
        <w:rPr>
          <w:szCs w:val="22"/>
        </w:rPr>
        <w:t>47 U.S.C. §§</w:t>
      </w:r>
      <w:r w:rsidR="009E7E5F">
        <w:rPr>
          <w:szCs w:val="22"/>
        </w:rPr>
        <w:t xml:space="preserve"> 154(i), 503(b)</w:t>
      </w:r>
      <w:r w:rsidRPr="00D84548">
        <w:rPr>
          <w:szCs w:val="22"/>
        </w:rPr>
        <w:t>.</w:t>
      </w:r>
    </w:p>
  </w:footnote>
  <w:footnote w:id="9">
    <w:p w14:paraId="4D7D2BAF" w14:textId="77777777" w:rsidR="009632A6" w:rsidRDefault="009632A6">
      <w:pPr>
        <w:pStyle w:val="FootnoteText"/>
      </w:pPr>
      <w:r w:rsidRPr="00D84548">
        <w:rPr>
          <w:rStyle w:val="FootnoteReference"/>
        </w:rPr>
        <w:footnoteRef/>
      </w:r>
      <w:r w:rsidRPr="00D84548">
        <w:t xml:space="preserve"> </w:t>
      </w:r>
      <w:r w:rsidRPr="00D84548">
        <w:rPr>
          <w:szCs w:val="22"/>
        </w:rPr>
        <w:t>47 C.F.R §§ 0.111, 0.311.</w:t>
      </w:r>
    </w:p>
  </w:footnote>
  <w:footnote w:id="10">
    <w:p w14:paraId="310E00AC" w14:textId="77777777" w:rsidR="00C8161C" w:rsidRDefault="00C8161C" w:rsidP="00C8161C">
      <w:pPr>
        <w:pStyle w:val="FootnoteText"/>
      </w:pPr>
      <w:r>
        <w:rPr>
          <w:rStyle w:val="FootnoteReference"/>
        </w:rPr>
        <w:footnoteRef/>
      </w:r>
      <w:r>
        <w:t xml:space="preserve"> 47 U.S.C. §§ 301, 302a(b), and 333.</w:t>
      </w:r>
    </w:p>
  </w:footnote>
  <w:footnote w:id="11">
    <w:p w14:paraId="013C9D8E" w14:textId="77777777" w:rsidR="00C8161C" w:rsidRDefault="00C8161C" w:rsidP="00C8161C">
      <w:pPr>
        <w:pStyle w:val="FootnoteText"/>
      </w:pPr>
      <w:r>
        <w:rPr>
          <w:rStyle w:val="FootnoteReference"/>
        </w:rPr>
        <w:footnoteRef/>
      </w:r>
      <w:r>
        <w:t xml:space="preserve"> 47 C.F.R. §§ 2.805(a) and 15.1(c).</w:t>
      </w:r>
    </w:p>
  </w:footnote>
  <w:footnote w:id="12">
    <w:p w14:paraId="0D75069D" w14:textId="77777777" w:rsidR="00C8161C" w:rsidRDefault="00C8161C" w:rsidP="00C8161C">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3">
    <w:p w14:paraId="5D8B6716" w14:textId="77777777" w:rsidR="00C8161C" w:rsidRDefault="00C8161C" w:rsidP="00C8161C">
      <w:pPr>
        <w:pStyle w:val="FootnoteText"/>
      </w:pPr>
      <w:r>
        <w:rPr>
          <w:rStyle w:val="FootnoteReference"/>
        </w:rPr>
        <w:footnoteRef/>
      </w:r>
      <w:r>
        <w:t xml:space="preserve"> </w:t>
      </w:r>
      <w:r>
        <w:rPr>
          <w:i/>
        </w:rPr>
        <w:t>The Supply Room, Inc.</w:t>
      </w:r>
      <w:r>
        <w:t>, Notice of Apparent Liability for Forfeiture and Order, 28</w:t>
      </w:r>
      <w:r w:rsidRPr="000F46CF">
        <w:t xml:space="preserve"> FCC Rcd </w:t>
      </w:r>
      <w:r>
        <w:t>4981 (2013).</w:t>
      </w:r>
    </w:p>
  </w:footnote>
  <w:footnote w:id="14">
    <w:p w14:paraId="47FEA938" w14:textId="77777777" w:rsidR="00C8161C" w:rsidRDefault="00C8161C" w:rsidP="00C8161C">
      <w:pPr>
        <w:pStyle w:val="FootnoteText"/>
      </w:pPr>
      <w:r>
        <w:rPr>
          <w:rStyle w:val="FootnoteReference"/>
        </w:rPr>
        <w:footnoteRef/>
      </w:r>
      <w:r>
        <w:t xml:space="preserve"> 47 U.S.C. § 301.</w:t>
      </w:r>
    </w:p>
  </w:footnote>
  <w:footnote w:id="15">
    <w:p w14:paraId="0FAEB2FF" w14:textId="77777777" w:rsidR="00C8161C" w:rsidRDefault="00C8161C" w:rsidP="00C8161C">
      <w:pPr>
        <w:pStyle w:val="FootnoteText"/>
      </w:pPr>
      <w:r>
        <w:rPr>
          <w:rStyle w:val="FootnoteReference"/>
        </w:rPr>
        <w:footnoteRef/>
      </w:r>
      <w:r>
        <w:t xml:space="preserve"> </w:t>
      </w:r>
      <w:r>
        <w:rPr>
          <w:i/>
        </w:rPr>
        <w:t>Id</w:t>
      </w:r>
      <w:r>
        <w:t>. § 302a(b).</w:t>
      </w:r>
    </w:p>
  </w:footnote>
  <w:footnote w:id="16">
    <w:p w14:paraId="3C159875" w14:textId="77777777" w:rsidR="00C8161C" w:rsidRDefault="00C8161C" w:rsidP="00C8161C">
      <w:pPr>
        <w:pStyle w:val="FootnoteText"/>
      </w:pPr>
      <w:r>
        <w:rPr>
          <w:rStyle w:val="FootnoteReference"/>
        </w:rPr>
        <w:footnoteRef/>
      </w:r>
      <w:r>
        <w:t xml:space="preserve"> </w:t>
      </w:r>
      <w:r>
        <w:rPr>
          <w:i/>
        </w:rPr>
        <w:t>Id</w:t>
      </w:r>
      <w:r>
        <w:t>. § 333.</w:t>
      </w:r>
    </w:p>
  </w:footnote>
  <w:footnote w:id="17">
    <w:p w14:paraId="2386A6B5" w14:textId="77777777" w:rsidR="00C8161C" w:rsidRPr="00481A15" w:rsidRDefault="00C8161C" w:rsidP="00C8161C">
      <w:pPr>
        <w:pStyle w:val="FootnoteText"/>
      </w:pPr>
      <w:r>
        <w:rPr>
          <w:rStyle w:val="FootnoteReference"/>
        </w:rPr>
        <w:footnoteRef/>
      </w:r>
      <w:r>
        <w:t xml:space="preserve"> </w:t>
      </w:r>
      <w:r>
        <w:rPr>
          <w:i/>
        </w:rPr>
        <w:t>See Affidavit of Mr. Tim Barton</w:t>
      </w:r>
      <w:r w:rsidRPr="00481A15">
        <w:rPr>
          <w:i/>
        </w:rPr>
        <w:t xml:space="preserve">, </w:t>
      </w:r>
      <w:r>
        <w:rPr>
          <w:i/>
        </w:rPr>
        <w:t>IT Manager, The Supply Room, Inc.</w:t>
      </w:r>
      <w:r w:rsidRPr="00481A15">
        <w:rPr>
          <w:i/>
        </w:rPr>
        <w:t xml:space="preserve"> </w:t>
      </w:r>
      <w:r>
        <w:t>(May</w:t>
      </w:r>
      <w:r w:rsidRPr="00BD4A7A">
        <w:t xml:space="preserve"> 2</w:t>
      </w:r>
      <w:r>
        <w:t>2</w:t>
      </w:r>
      <w:r w:rsidRPr="00BD4A7A">
        <w:t>, 2014)</w:t>
      </w:r>
      <w:r w:rsidRPr="00481A15">
        <w:rPr>
          <w:i/>
        </w:rPr>
        <w:t>.</w:t>
      </w:r>
    </w:p>
  </w:footnote>
  <w:footnote w:id="18">
    <w:p w14:paraId="7FB63E4C" w14:textId="77777777" w:rsidR="00C8161C" w:rsidRPr="005A1FD2" w:rsidRDefault="00C8161C" w:rsidP="00C8161C">
      <w:pPr>
        <w:pStyle w:val="FootnoteText"/>
      </w:pPr>
      <w:r>
        <w:rPr>
          <w:rStyle w:val="FootnoteReference"/>
        </w:rPr>
        <w:footnoteRef/>
      </w:r>
      <w:r>
        <w:t xml:space="preserve"> </w:t>
      </w:r>
      <w:r>
        <w:rPr>
          <w:i/>
        </w:rPr>
        <w:t xml:space="preserve">Id. </w:t>
      </w:r>
      <w:r>
        <w:t>at 1.</w:t>
      </w:r>
    </w:p>
  </w:footnote>
  <w:footnote w:id="19">
    <w:p w14:paraId="0D80F3EE" w14:textId="77777777" w:rsidR="00C8161C" w:rsidRDefault="00C8161C" w:rsidP="00C8161C">
      <w:pPr>
        <w:pStyle w:val="FootnoteText"/>
      </w:pPr>
      <w:r>
        <w:rPr>
          <w:rStyle w:val="FootnoteReference"/>
        </w:rPr>
        <w:footnoteRef/>
      </w:r>
      <w:r>
        <w:t xml:space="preserve"> </w:t>
      </w:r>
      <w:r w:rsidRPr="00C566EC">
        <w:rPr>
          <w:i/>
        </w:rPr>
        <w:t>See</w:t>
      </w:r>
      <w:r>
        <w:t xml:space="preserve"> 47 C.F.R. 1.93(b).</w:t>
      </w:r>
    </w:p>
  </w:footnote>
  <w:footnote w:id="20">
    <w:p w14:paraId="271AB0ED" w14:textId="77777777" w:rsidR="00C8161C" w:rsidRPr="00042447" w:rsidRDefault="00C8161C" w:rsidP="00C8161C">
      <w:pPr>
        <w:pStyle w:val="FootnoteText"/>
      </w:pPr>
      <w:r w:rsidRPr="00A07FCB">
        <w:rPr>
          <w:rStyle w:val="FootnoteReference"/>
        </w:rPr>
        <w:footnoteRef/>
      </w:r>
      <w:r w:rsidRPr="003F6349">
        <w:t xml:space="preserve"> </w:t>
      </w:r>
      <w:r w:rsidRPr="00A07FCB">
        <w:rPr>
          <w:rFonts w:eastAsia="MS Mincho" w:cs="Arial"/>
        </w:rPr>
        <w:t>An FCC Form 159</w:t>
      </w:r>
      <w:r>
        <w:rPr>
          <w:rFonts w:eastAsia="MS Mincho" w:cs="Arial"/>
        </w:rPr>
        <w:t xml:space="preserve"> </w:t>
      </w:r>
      <w:r w:rsidRPr="00A07FCB">
        <w:rPr>
          <w:rFonts w:eastAsia="MS Mincho" w:cs="Arial"/>
        </w:rPr>
        <w:t>and</w:t>
      </w:r>
      <w:r>
        <w:rPr>
          <w:rFonts w:eastAsia="MS Mincho" w:cs="Arial"/>
        </w:rPr>
        <w:t xml:space="preserve"> </w:t>
      </w:r>
      <w:r w:rsidRPr="00A07FCB">
        <w:rPr>
          <w:rFonts w:eastAsia="MS Mincho" w:cs="Arial"/>
        </w:rPr>
        <w:t>detailed instructions</w:t>
      </w:r>
      <w:r>
        <w:rPr>
          <w:rFonts w:eastAsia="MS Mincho" w:cs="Arial"/>
        </w:rPr>
        <w:t xml:space="preserve"> </w:t>
      </w:r>
      <w:r w:rsidRPr="00A07FCB">
        <w:rPr>
          <w:rFonts w:eastAsia="MS Mincho" w:cs="Arial"/>
        </w:rPr>
        <w:t>for completing the form may be obtained at http://www.fcc.gov/Forms/Form159/159.pdf.</w:t>
      </w:r>
    </w:p>
  </w:footnote>
  <w:footnote w:id="21">
    <w:p w14:paraId="4602482B" w14:textId="77777777" w:rsidR="00C8161C" w:rsidRDefault="00C8161C" w:rsidP="00C8161C">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5D24" w14:textId="77777777" w:rsidR="004837D8" w:rsidRDefault="00483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C33DE" w14:textId="0787511D" w:rsidR="00C438ED" w:rsidRDefault="00C438ED" w:rsidP="00C438ED">
    <w:pPr>
      <w:tabs>
        <w:tab w:val="center" w:pos="4680"/>
        <w:tab w:val="right" w:pos="9360"/>
      </w:tabs>
    </w:pPr>
    <w:r>
      <w:rPr>
        <w:noProof/>
      </w:rPr>
      <mc:AlternateContent>
        <mc:Choice Requires="wps">
          <w:drawing>
            <wp:anchor distT="0" distB="0" distL="114300" distR="114300" simplePos="0" relativeHeight="251659264" behindDoc="1" locked="0" layoutInCell="0" allowOverlap="1" wp14:anchorId="64BA91A1" wp14:editId="6471B5DD">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a14="http://schemas.microsoft.com/office/drawing/2010/main">
          <w:pict w14:anchorId="0AEB9F8B">
            <v:rect id="Rectangle 3"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weight=".05pt" w14:anchorId="344CD7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w10:wrap anchorx="margin"/>
            </v:rect>
          </w:pict>
        </mc:Fallback>
      </mc:AlternateContent>
    </w:r>
    <w:r>
      <w:rPr>
        <w:b/>
      </w:rPr>
      <w:tab/>
      <w:t>Federal Communications Commission</w:t>
    </w:r>
    <w:r>
      <w:rPr>
        <w:b/>
      </w:rPr>
      <w:tab/>
    </w:r>
    <w:r w:rsidR="00841D12">
      <w:rPr>
        <w:b/>
        <w:spacing w:val="-2"/>
      </w:rPr>
      <w:t>DA 16</w:t>
    </w:r>
    <w:r>
      <w:rPr>
        <w:b/>
        <w:spacing w:val="-2"/>
      </w:rPr>
      <w:t>-</w:t>
    </w:r>
    <w:r w:rsidR="00C8161C">
      <w:rPr>
        <w:b/>
        <w:spacing w:val="-2"/>
      </w:rPr>
      <w:t>295</w:t>
    </w:r>
  </w:p>
  <w:p w14:paraId="376ECBB4" w14:textId="77777777" w:rsidR="00676723" w:rsidRPr="00C438ED" w:rsidRDefault="00676723" w:rsidP="00C43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7B52B" w14:textId="77777777" w:rsidR="00032EB3" w:rsidRPr="00D42D5D" w:rsidRDefault="00D42D5D" w:rsidP="00032EB3">
    <w:pPr>
      <w:pStyle w:val="Header"/>
    </w:pPr>
    <w:r>
      <w:t>9-10-14 draft</w:t>
    </w:r>
    <w:r w:rsidR="00676723">
      <w:tab/>
    </w:r>
    <w:r w:rsidR="00032EB3">
      <w:t>Federa</w:t>
    </w:r>
    <w:r w:rsidR="00CF77B7">
      <w:t>l Communications Commission</w:t>
    </w:r>
    <w:r w:rsidR="00CF77B7">
      <w:tab/>
      <w:t>DA</w:t>
    </w:r>
    <w:r>
      <w:t xml:space="preserve"> [</w:t>
    </w:r>
    <w:r w:rsidRPr="00D42D5D">
      <w:rPr>
        <w:i/>
      </w:rPr>
      <w:t>or</w:t>
    </w:r>
    <w:r>
      <w:t xml:space="preserve"> FCC]</w:t>
    </w:r>
    <w:r w:rsidR="00CF77B7">
      <w:t xml:space="preserve"> </w:t>
    </w:r>
    <w:r w:rsidR="00CF77B7" w:rsidRPr="00CF77B7">
      <w:rPr>
        <w:highlight w:val="yellow"/>
      </w:rPr>
      <w:t>YR-XXX</w:t>
    </w:r>
  </w:p>
  <w:p w14:paraId="559E233D" w14:textId="77777777" w:rsidR="00676723" w:rsidRDefault="00032EB3" w:rsidP="007A247C">
    <w:pPr>
      <w:pStyle w:val="Header"/>
    </w:pPr>
    <w:r>
      <w:rPr>
        <w:b w:val="0"/>
        <w:noProof/>
        <w:snapToGrid/>
      </w:rPr>
      <w:drawing>
        <wp:inline distT="0" distB="0" distL="0" distR="0" wp14:anchorId="795ABA18" wp14:editId="28A2309E">
          <wp:extent cx="595249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19050"/>
                  </a:xfrm>
                  <a:prstGeom prst="rect">
                    <a:avLst/>
                  </a:prstGeom>
                  <a:noFill/>
                </pic:spPr>
              </pic:pic>
            </a:graphicData>
          </a:graphic>
        </wp:inline>
      </w:drawing>
    </w:r>
    <w:r>
      <w:br/>
    </w:r>
  </w:p>
  <w:p w14:paraId="2EBAB54D" w14:textId="77777777" w:rsidR="002E4C64" w:rsidRDefault="002E4C64" w:rsidP="007A2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
    <w:nsid w:val="00000002"/>
    <w:multiLevelType w:val="multilevel"/>
    <w:tmpl w:val="1C16C8BE"/>
    <w:lvl w:ilvl="0">
      <w:start w:val="1"/>
      <w:numFmt w:val="lowerLetter"/>
      <w:suff w:val="nothing"/>
      <w:lvlText w:val="(%1)"/>
      <w:lvlJc w:val="left"/>
      <w:pPr>
        <w:ind w:left="810" w:firstLine="1440"/>
      </w:pPr>
      <w:rPr>
        <w:rFonts w:hint="default"/>
        <w:i w:val="0"/>
        <w:color w:val="000000"/>
        <w:position w:val="0"/>
        <w:sz w:val="24"/>
      </w:rPr>
    </w:lvl>
    <w:lvl w:ilvl="1">
      <w:start w:val="1"/>
      <w:numFmt w:val="lowerLetter"/>
      <w:lvlText w:val="%2)"/>
      <w:lvlJc w:val="left"/>
      <w:pPr>
        <w:ind w:left="720" w:firstLine="1440"/>
      </w:pPr>
      <w:rPr>
        <w:rFonts w:hint="default"/>
        <w:color w:val="000000"/>
        <w:position w:val="0"/>
        <w:sz w:val="24"/>
      </w:rPr>
    </w:lvl>
    <w:lvl w:ilvl="2">
      <w:start w:val="1"/>
      <w:numFmt w:val="lowerRoman"/>
      <w:suff w:val="nothing"/>
      <w:lvlText w:val="%3."/>
      <w:lvlJc w:val="left"/>
      <w:pPr>
        <w:ind w:left="720" w:firstLine="2160"/>
      </w:pPr>
      <w:rPr>
        <w:rFonts w:hint="default"/>
        <w:color w:val="000000"/>
        <w:position w:val="0"/>
        <w:sz w:val="24"/>
      </w:rPr>
    </w:lvl>
    <w:lvl w:ilvl="3">
      <w:start w:val="1"/>
      <w:numFmt w:val="decimal"/>
      <w:isLgl/>
      <w:suff w:val="nothing"/>
      <w:lvlText w:val="%4."/>
      <w:lvlJc w:val="left"/>
      <w:pPr>
        <w:ind w:left="720" w:firstLine="2880"/>
      </w:pPr>
      <w:rPr>
        <w:rFonts w:hint="default"/>
        <w:color w:val="000000"/>
        <w:position w:val="0"/>
        <w:sz w:val="24"/>
      </w:rPr>
    </w:lvl>
    <w:lvl w:ilvl="4">
      <w:start w:val="1"/>
      <w:numFmt w:val="lowerLetter"/>
      <w:suff w:val="nothing"/>
      <w:lvlText w:val="%5."/>
      <w:lvlJc w:val="left"/>
      <w:pPr>
        <w:ind w:left="720" w:firstLine="3600"/>
      </w:pPr>
      <w:rPr>
        <w:rFonts w:hint="default"/>
        <w:color w:val="000000"/>
        <w:position w:val="0"/>
        <w:sz w:val="24"/>
      </w:rPr>
    </w:lvl>
    <w:lvl w:ilvl="5">
      <w:start w:val="1"/>
      <w:numFmt w:val="lowerRoman"/>
      <w:suff w:val="nothing"/>
      <w:lvlText w:val="%6."/>
      <w:lvlJc w:val="left"/>
      <w:pPr>
        <w:ind w:left="720" w:firstLine="4320"/>
      </w:pPr>
      <w:rPr>
        <w:rFonts w:hint="default"/>
        <w:color w:val="000000"/>
        <w:position w:val="0"/>
        <w:sz w:val="24"/>
      </w:rPr>
    </w:lvl>
    <w:lvl w:ilvl="6">
      <w:start w:val="1"/>
      <w:numFmt w:val="decimal"/>
      <w:isLgl/>
      <w:suff w:val="nothing"/>
      <w:lvlText w:val="%7."/>
      <w:lvlJc w:val="left"/>
      <w:pPr>
        <w:ind w:left="720" w:firstLine="5040"/>
      </w:pPr>
      <w:rPr>
        <w:rFonts w:hint="default"/>
        <w:color w:val="000000"/>
        <w:position w:val="0"/>
        <w:sz w:val="24"/>
      </w:rPr>
    </w:lvl>
    <w:lvl w:ilvl="7">
      <w:start w:val="1"/>
      <w:numFmt w:val="lowerLetter"/>
      <w:suff w:val="nothing"/>
      <w:lvlText w:val="%8."/>
      <w:lvlJc w:val="left"/>
      <w:pPr>
        <w:ind w:left="720" w:firstLine="5760"/>
      </w:pPr>
      <w:rPr>
        <w:rFonts w:hint="default"/>
        <w:color w:val="000000"/>
        <w:position w:val="0"/>
        <w:sz w:val="24"/>
      </w:rPr>
    </w:lvl>
    <w:lvl w:ilvl="8">
      <w:start w:val="1"/>
      <w:numFmt w:val="lowerRoman"/>
      <w:suff w:val="nothing"/>
      <w:lvlText w:val="%9."/>
      <w:lvlJc w:val="left"/>
      <w:pPr>
        <w:ind w:left="720" w:firstLine="6480"/>
      </w:pPr>
      <w:rPr>
        <w:rFonts w:hint="default"/>
        <w:color w:val="000000"/>
        <w:position w:val="0"/>
        <w:sz w:val="24"/>
      </w:rPr>
    </w:lvl>
  </w:abstractNum>
  <w:abstractNum w:abstractNumId="2">
    <w:nsid w:val="009A3200"/>
    <w:multiLevelType w:val="hybridMultilevel"/>
    <w:tmpl w:val="3C96C21C"/>
    <w:lvl w:ilvl="0" w:tplc="1A86D3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0B6C4F"/>
    <w:multiLevelType w:val="hybridMultilevel"/>
    <w:tmpl w:val="3AEAA554"/>
    <w:lvl w:ilvl="0" w:tplc="A306CFF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60F0118"/>
    <w:multiLevelType w:val="hybridMultilevel"/>
    <w:tmpl w:val="09E26F7A"/>
    <w:lvl w:ilvl="0" w:tplc="2A0215F2">
      <w:start w:val="1"/>
      <w:numFmt w:val="lowerLetter"/>
      <w:lvlText w:val="%1)"/>
      <w:lvlJc w:val="left"/>
      <w:pPr>
        <w:tabs>
          <w:tab w:val="num" w:pos="1440"/>
        </w:tabs>
        <w:ind w:left="1440" w:hanging="360"/>
      </w:pPr>
      <w:rPr>
        <w:b w:val="0"/>
        <w:i w:val="0"/>
      </w:rPr>
    </w:lvl>
    <w:lvl w:ilvl="1" w:tplc="1EA85EB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9F448E3"/>
    <w:multiLevelType w:val="hybridMultilevel"/>
    <w:tmpl w:val="6EAC4E5A"/>
    <w:lvl w:ilvl="0" w:tplc="003C56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A5414D2"/>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5">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7">
    <w:nsid w:val="628E1E95"/>
    <w:multiLevelType w:val="singleLevel"/>
    <w:tmpl w:val="4F1400D0"/>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D2B48D2"/>
    <w:multiLevelType w:val="singleLevel"/>
    <w:tmpl w:val="462A4EC8"/>
    <w:lvl w:ilvl="0">
      <w:start w:val="1"/>
      <w:numFmt w:val="decimal"/>
      <w:lvlText w:val="%1."/>
      <w:lvlJc w:val="left"/>
      <w:pPr>
        <w:tabs>
          <w:tab w:val="num" w:pos="1080"/>
        </w:tabs>
        <w:ind w:firstLine="720"/>
      </w:pPr>
      <w:rPr>
        <w:rFonts w:cs="Times New Roman"/>
        <w:b w:val="0"/>
        <w:color w:val="auto"/>
      </w:rPr>
    </w:lvl>
  </w:abstractNum>
  <w:num w:numId="1">
    <w:abstractNumId w:val="6"/>
  </w:num>
  <w:num w:numId="2">
    <w:abstractNumId w:val="16"/>
  </w:num>
  <w:num w:numId="3">
    <w:abstractNumId w:val="8"/>
  </w:num>
  <w:num w:numId="4">
    <w:abstractNumId w:val="0"/>
  </w:num>
  <w:num w:numId="5">
    <w:abstractNumId w:val="1"/>
  </w:num>
  <w:num w:numId="6">
    <w:abstractNumId w:val="11"/>
  </w:num>
  <w:num w:numId="7">
    <w:abstractNumId w:val="6"/>
  </w:num>
  <w:num w:numId="8">
    <w:abstractNumId w:val="0"/>
  </w:num>
  <w:num w:numId="9">
    <w:abstractNumId w:val="17"/>
  </w:num>
  <w:num w:numId="10">
    <w:abstractNumId w:val="2"/>
  </w:num>
  <w:num w:numId="11">
    <w:abstractNumId w:val="15"/>
  </w:num>
  <w:num w:numId="12">
    <w:abstractNumId w:val="12"/>
  </w:num>
  <w:num w:numId="13">
    <w:abstractNumId w:val="14"/>
  </w:num>
  <w:num w:numId="14">
    <w:abstractNumId w:val="4"/>
  </w:num>
  <w:num w:numId="15">
    <w:abstractNumId w:val="13"/>
  </w:num>
  <w:num w:numId="16">
    <w:abstractNumId w:val="7"/>
  </w:num>
  <w:num w:numId="17">
    <w:abstractNumId w:val="3"/>
  </w:num>
  <w:num w:numId="18">
    <w:abstractNumId w:val="8"/>
  </w:num>
  <w:num w:numId="19">
    <w:abstractNumId w:val="8"/>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0"/>
  </w:num>
  <w:num w:numId="47">
    <w:abstractNumId w:val="18"/>
  </w:num>
  <w:num w:numId="48">
    <w:abstractNumId w:val="5"/>
  </w:num>
  <w:num w:numId="4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6D1"/>
    <w:rsid w:val="00004A77"/>
    <w:rsid w:val="00010E77"/>
    <w:rsid w:val="0001137C"/>
    <w:rsid w:val="00012135"/>
    <w:rsid w:val="00013878"/>
    <w:rsid w:val="000156B8"/>
    <w:rsid w:val="00020F52"/>
    <w:rsid w:val="000239E2"/>
    <w:rsid w:val="00023CBD"/>
    <w:rsid w:val="00032EB3"/>
    <w:rsid w:val="00036039"/>
    <w:rsid w:val="00036EBB"/>
    <w:rsid w:val="00037506"/>
    <w:rsid w:val="00037F90"/>
    <w:rsid w:val="000409A7"/>
    <w:rsid w:val="00041FA4"/>
    <w:rsid w:val="00043776"/>
    <w:rsid w:val="00044329"/>
    <w:rsid w:val="000474B4"/>
    <w:rsid w:val="000510A7"/>
    <w:rsid w:val="00051D08"/>
    <w:rsid w:val="000546E3"/>
    <w:rsid w:val="00060B19"/>
    <w:rsid w:val="00060E3B"/>
    <w:rsid w:val="00064FCE"/>
    <w:rsid w:val="00077556"/>
    <w:rsid w:val="00080528"/>
    <w:rsid w:val="00080F39"/>
    <w:rsid w:val="000812CD"/>
    <w:rsid w:val="0008320B"/>
    <w:rsid w:val="00084844"/>
    <w:rsid w:val="000875BF"/>
    <w:rsid w:val="00093012"/>
    <w:rsid w:val="00094FF2"/>
    <w:rsid w:val="00096D8C"/>
    <w:rsid w:val="000A1DBA"/>
    <w:rsid w:val="000A69D0"/>
    <w:rsid w:val="000A747B"/>
    <w:rsid w:val="000A78D2"/>
    <w:rsid w:val="000B076B"/>
    <w:rsid w:val="000B0992"/>
    <w:rsid w:val="000B4C5A"/>
    <w:rsid w:val="000C0B65"/>
    <w:rsid w:val="000C3C46"/>
    <w:rsid w:val="000C4982"/>
    <w:rsid w:val="000C5E7E"/>
    <w:rsid w:val="000D2CE7"/>
    <w:rsid w:val="000D2FF2"/>
    <w:rsid w:val="000D4423"/>
    <w:rsid w:val="000D7E5C"/>
    <w:rsid w:val="000E156D"/>
    <w:rsid w:val="000E1A32"/>
    <w:rsid w:val="000E3D42"/>
    <w:rsid w:val="000E57DB"/>
    <w:rsid w:val="000E5FE3"/>
    <w:rsid w:val="000F1739"/>
    <w:rsid w:val="000F2290"/>
    <w:rsid w:val="000F5AE0"/>
    <w:rsid w:val="000F71E7"/>
    <w:rsid w:val="00104AE7"/>
    <w:rsid w:val="00107438"/>
    <w:rsid w:val="00111B57"/>
    <w:rsid w:val="001130D9"/>
    <w:rsid w:val="001163D2"/>
    <w:rsid w:val="00122BD5"/>
    <w:rsid w:val="00122F40"/>
    <w:rsid w:val="00123544"/>
    <w:rsid w:val="00123DC5"/>
    <w:rsid w:val="001251A4"/>
    <w:rsid w:val="0012535E"/>
    <w:rsid w:val="00130E75"/>
    <w:rsid w:val="00131135"/>
    <w:rsid w:val="00133C4F"/>
    <w:rsid w:val="0013481A"/>
    <w:rsid w:val="0013545C"/>
    <w:rsid w:val="00137B97"/>
    <w:rsid w:val="00150039"/>
    <w:rsid w:val="00151AF8"/>
    <w:rsid w:val="00152144"/>
    <w:rsid w:val="0015292D"/>
    <w:rsid w:val="00152E7C"/>
    <w:rsid w:val="001569B9"/>
    <w:rsid w:val="00161F7D"/>
    <w:rsid w:val="00163419"/>
    <w:rsid w:val="00164854"/>
    <w:rsid w:val="001659BF"/>
    <w:rsid w:val="001664A0"/>
    <w:rsid w:val="0017171A"/>
    <w:rsid w:val="00172BF5"/>
    <w:rsid w:val="00174F9E"/>
    <w:rsid w:val="00176197"/>
    <w:rsid w:val="0017677C"/>
    <w:rsid w:val="00180D54"/>
    <w:rsid w:val="001823BC"/>
    <w:rsid w:val="00182E46"/>
    <w:rsid w:val="001850F1"/>
    <w:rsid w:val="001877EB"/>
    <w:rsid w:val="00193512"/>
    <w:rsid w:val="001955C8"/>
    <w:rsid w:val="00196CFD"/>
    <w:rsid w:val="001A5074"/>
    <w:rsid w:val="001A6AEF"/>
    <w:rsid w:val="001A7A02"/>
    <w:rsid w:val="001B4BAE"/>
    <w:rsid w:val="001C50A9"/>
    <w:rsid w:val="001C7762"/>
    <w:rsid w:val="001D10CF"/>
    <w:rsid w:val="001D1F8D"/>
    <w:rsid w:val="001D63ED"/>
    <w:rsid w:val="001D6BCF"/>
    <w:rsid w:val="001E01CA"/>
    <w:rsid w:val="001E7454"/>
    <w:rsid w:val="001F0CA8"/>
    <w:rsid w:val="001F11C8"/>
    <w:rsid w:val="001F1433"/>
    <w:rsid w:val="001F278E"/>
    <w:rsid w:val="001F2BAB"/>
    <w:rsid w:val="0020208B"/>
    <w:rsid w:val="00202B90"/>
    <w:rsid w:val="0020707F"/>
    <w:rsid w:val="0021043C"/>
    <w:rsid w:val="0021060B"/>
    <w:rsid w:val="00211D92"/>
    <w:rsid w:val="00211EE2"/>
    <w:rsid w:val="00221D7C"/>
    <w:rsid w:val="00223374"/>
    <w:rsid w:val="00226D33"/>
    <w:rsid w:val="00231522"/>
    <w:rsid w:val="00234EA2"/>
    <w:rsid w:val="002352DC"/>
    <w:rsid w:val="00237F53"/>
    <w:rsid w:val="00240F56"/>
    <w:rsid w:val="00243018"/>
    <w:rsid w:val="00254D1D"/>
    <w:rsid w:val="002551FD"/>
    <w:rsid w:val="002626EB"/>
    <w:rsid w:val="002645F4"/>
    <w:rsid w:val="00271C26"/>
    <w:rsid w:val="00273B9A"/>
    <w:rsid w:val="00276796"/>
    <w:rsid w:val="00276DAE"/>
    <w:rsid w:val="00277598"/>
    <w:rsid w:val="00277F32"/>
    <w:rsid w:val="00284E12"/>
    <w:rsid w:val="00285017"/>
    <w:rsid w:val="00287BA4"/>
    <w:rsid w:val="00291DFD"/>
    <w:rsid w:val="0029201C"/>
    <w:rsid w:val="00295C0F"/>
    <w:rsid w:val="002A1D20"/>
    <w:rsid w:val="002A2D2E"/>
    <w:rsid w:val="002B22CB"/>
    <w:rsid w:val="002B2AA5"/>
    <w:rsid w:val="002B3194"/>
    <w:rsid w:val="002B4338"/>
    <w:rsid w:val="002B518C"/>
    <w:rsid w:val="002C0646"/>
    <w:rsid w:val="002C30EE"/>
    <w:rsid w:val="002C67F6"/>
    <w:rsid w:val="002D2357"/>
    <w:rsid w:val="002E4C64"/>
    <w:rsid w:val="002E5543"/>
    <w:rsid w:val="002F0F20"/>
    <w:rsid w:val="002F7BE9"/>
    <w:rsid w:val="0030082F"/>
    <w:rsid w:val="003016ED"/>
    <w:rsid w:val="00302487"/>
    <w:rsid w:val="00302BBF"/>
    <w:rsid w:val="00320448"/>
    <w:rsid w:val="00320BE0"/>
    <w:rsid w:val="00327A56"/>
    <w:rsid w:val="00331532"/>
    <w:rsid w:val="003317A6"/>
    <w:rsid w:val="00334F59"/>
    <w:rsid w:val="00340918"/>
    <w:rsid w:val="00343749"/>
    <w:rsid w:val="00343B8B"/>
    <w:rsid w:val="003447A3"/>
    <w:rsid w:val="003504B7"/>
    <w:rsid w:val="00351188"/>
    <w:rsid w:val="00351C94"/>
    <w:rsid w:val="00352167"/>
    <w:rsid w:val="00355126"/>
    <w:rsid w:val="00357044"/>
    <w:rsid w:val="00357963"/>
    <w:rsid w:val="00357FDE"/>
    <w:rsid w:val="00361141"/>
    <w:rsid w:val="003628A3"/>
    <w:rsid w:val="00367050"/>
    <w:rsid w:val="00367F93"/>
    <w:rsid w:val="0038137F"/>
    <w:rsid w:val="003820CD"/>
    <w:rsid w:val="00383733"/>
    <w:rsid w:val="003869A9"/>
    <w:rsid w:val="00386C09"/>
    <w:rsid w:val="00387DC6"/>
    <w:rsid w:val="00393892"/>
    <w:rsid w:val="0039530A"/>
    <w:rsid w:val="00395BCD"/>
    <w:rsid w:val="003A0A67"/>
    <w:rsid w:val="003A0CEB"/>
    <w:rsid w:val="003A10AC"/>
    <w:rsid w:val="003A1CBF"/>
    <w:rsid w:val="003A24DA"/>
    <w:rsid w:val="003A2932"/>
    <w:rsid w:val="003A35BB"/>
    <w:rsid w:val="003A398D"/>
    <w:rsid w:val="003A45E5"/>
    <w:rsid w:val="003A4AB4"/>
    <w:rsid w:val="003A764B"/>
    <w:rsid w:val="003B0550"/>
    <w:rsid w:val="003B1CF4"/>
    <w:rsid w:val="003B5217"/>
    <w:rsid w:val="003B694F"/>
    <w:rsid w:val="003B6F58"/>
    <w:rsid w:val="003C6DEB"/>
    <w:rsid w:val="003D49D5"/>
    <w:rsid w:val="003F1126"/>
    <w:rsid w:val="003F171C"/>
    <w:rsid w:val="003F2AB3"/>
    <w:rsid w:val="004008FF"/>
    <w:rsid w:val="00400BCE"/>
    <w:rsid w:val="00404B01"/>
    <w:rsid w:val="004051F6"/>
    <w:rsid w:val="0041095B"/>
    <w:rsid w:val="004111CE"/>
    <w:rsid w:val="00412FC5"/>
    <w:rsid w:val="00414A07"/>
    <w:rsid w:val="00414BD8"/>
    <w:rsid w:val="00414F00"/>
    <w:rsid w:val="004172DB"/>
    <w:rsid w:val="00422276"/>
    <w:rsid w:val="00422A75"/>
    <w:rsid w:val="004242F1"/>
    <w:rsid w:val="004265B1"/>
    <w:rsid w:val="00433E5E"/>
    <w:rsid w:val="00434575"/>
    <w:rsid w:val="004348F7"/>
    <w:rsid w:val="004359DD"/>
    <w:rsid w:val="00435FB8"/>
    <w:rsid w:val="004409D9"/>
    <w:rsid w:val="00445A00"/>
    <w:rsid w:val="004479E5"/>
    <w:rsid w:val="00450242"/>
    <w:rsid w:val="00451B0F"/>
    <w:rsid w:val="00452FFD"/>
    <w:rsid w:val="00461C91"/>
    <w:rsid w:val="00463506"/>
    <w:rsid w:val="0046402A"/>
    <w:rsid w:val="004655CB"/>
    <w:rsid w:val="00465FD1"/>
    <w:rsid w:val="00471DDB"/>
    <w:rsid w:val="004737E2"/>
    <w:rsid w:val="00480F37"/>
    <w:rsid w:val="004837D8"/>
    <w:rsid w:val="00484691"/>
    <w:rsid w:val="00486ADC"/>
    <w:rsid w:val="00490FA1"/>
    <w:rsid w:val="00491CAC"/>
    <w:rsid w:val="00492284"/>
    <w:rsid w:val="0049610C"/>
    <w:rsid w:val="004A1DD7"/>
    <w:rsid w:val="004A25AB"/>
    <w:rsid w:val="004A296D"/>
    <w:rsid w:val="004A4478"/>
    <w:rsid w:val="004B441D"/>
    <w:rsid w:val="004B5795"/>
    <w:rsid w:val="004B5871"/>
    <w:rsid w:val="004C1BDE"/>
    <w:rsid w:val="004C2EE3"/>
    <w:rsid w:val="004C4072"/>
    <w:rsid w:val="004C693C"/>
    <w:rsid w:val="004C6AC5"/>
    <w:rsid w:val="004C7120"/>
    <w:rsid w:val="004C7963"/>
    <w:rsid w:val="004D14D2"/>
    <w:rsid w:val="004D1DB2"/>
    <w:rsid w:val="004E2022"/>
    <w:rsid w:val="004E347E"/>
    <w:rsid w:val="004E4A22"/>
    <w:rsid w:val="004E5936"/>
    <w:rsid w:val="004F3A1A"/>
    <w:rsid w:val="004F4B62"/>
    <w:rsid w:val="004F5449"/>
    <w:rsid w:val="004F5E64"/>
    <w:rsid w:val="0050401D"/>
    <w:rsid w:val="005050D6"/>
    <w:rsid w:val="0051080A"/>
    <w:rsid w:val="00511968"/>
    <w:rsid w:val="0051245D"/>
    <w:rsid w:val="005124D9"/>
    <w:rsid w:val="005145CB"/>
    <w:rsid w:val="005204D2"/>
    <w:rsid w:val="00520DE0"/>
    <w:rsid w:val="00522A30"/>
    <w:rsid w:val="00525103"/>
    <w:rsid w:val="00526103"/>
    <w:rsid w:val="0052710C"/>
    <w:rsid w:val="005278FD"/>
    <w:rsid w:val="005404E4"/>
    <w:rsid w:val="00540959"/>
    <w:rsid w:val="00541786"/>
    <w:rsid w:val="005419E0"/>
    <w:rsid w:val="00541F03"/>
    <w:rsid w:val="005508BF"/>
    <w:rsid w:val="00551532"/>
    <w:rsid w:val="0055614C"/>
    <w:rsid w:val="0055639D"/>
    <w:rsid w:val="005579D5"/>
    <w:rsid w:val="00561D23"/>
    <w:rsid w:val="005626D4"/>
    <w:rsid w:val="005645B1"/>
    <w:rsid w:val="005648DC"/>
    <w:rsid w:val="00566077"/>
    <w:rsid w:val="00567FCE"/>
    <w:rsid w:val="00572218"/>
    <w:rsid w:val="00572A65"/>
    <w:rsid w:val="005742F2"/>
    <w:rsid w:val="005776BD"/>
    <w:rsid w:val="00582969"/>
    <w:rsid w:val="00585F6E"/>
    <w:rsid w:val="00586385"/>
    <w:rsid w:val="00592C4C"/>
    <w:rsid w:val="00597DF3"/>
    <w:rsid w:val="005A054D"/>
    <w:rsid w:val="005A2A94"/>
    <w:rsid w:val="005B3200"/>
    <w:rsid w:val="005B364E"/>
    <w:rsid w:val="005B431A"/>
    <w:rsid w:val="005B4565"/>
    <w:rsid w:val="005B76E1"/>
    <w:rsid w:val="005B77EC"/>
    <w:rsid w:val="005C11B2"/>
    <w:rsid w:val="005C3D6F"/>
    <w:rsid w:val="005C7E8A"/>
    <w:rsid w:val="005D0017"/>
    <w:rsid w:val="005D3EF6"/>
    <w:rsid w:val="005E221D"/>
    <w:rsid w:val="005E2EA3"/>
    <w:rsid w:val="005E31E1"/>
    <w:rsid w:val="005E7899"/>
    <w:rsid w:val="005F3A0D"/>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225BE"/>
    <w:rsid w:val="00624FD7"/>
    <w:rsid w:val="00626EB6"/>
    <w:rsid w:val="0063094A"/>
    <w:rsid w:val="006313E2"/>
    <w:rsid w:val="006520A5"/>
    <w:rsid w:val="00654E67"/>
    <w:rsid w:val="006554F4"/>
    <w:rsid w:val="00655D03"/>
    <w:rsid w:val="006561B9"/>
    <w:rsid w:val="00661747"/>
    <w:rsid w:val="006663EC"/>
    <w:rsid w:val="00671673"/>
    <w:rsid w:val="0067516C"/>
    <w:rsid w:val="00675F97"/>
    <w:rsid w:val="00676723"/>
    <w:rsid w:val="006776B4"/>
    <w:rsid w:val="00677BF9"/>
    <w:rsid w:val="006811E0"/>
    <w:rsid w:val="006811F1"/>
    <w:rsid w:val="00683EA2"/>
    <w:rsid w:val="00683F84"/>
    <w:rsid w:val="00686A51"/>
    <w:rsid w:val="00696E22"/>
    <w:rsid w:val="006A05CA"/>
    <w:rsid w:val="006A1C87"/>
    <w:rsid w:val="006A2A50"/>
    <w:rsid w:val="006A3260"/>
    <w:rsid w:val="006A331D"/>
    <w:rsid w:val="006A581E"/>
    <w:rsid w:val="006A6A81"/>
    <w:rsid w:val="006B6017"/>
    <w:rsid w:val="006B6633"/>
    <w:rsid w:val="006C1944"/>
    <w:rsid w:val="006D015E"/>
    <w:rsid w:val="006D2DF3"/>
    <w:rsid w:val="006D6923"/>
    <w:rsid w:val="006E2904"/>
    <w:rsid w:val="006E4326"/>
    <w:rsid w:val="006E4A96"/>
    <w:rsid w:val="006E6CFC"/>
    <w:rsid w:val="006F35AB"/>
    <w:rsid w:val="006F6AE9"/>
    <w:rsid w:val="006F7393"/>
    <w:rsid w:val="0070224F"/>
    <w:rsid w:val="0070289F"/>
    <w:rsid w:val="0070589D"/>
    <w:rsid w:val="007115F7"/>
    <w:rsid w:val="00714014"/>
    <w:rsid w:val="0071473B"/>
    <w:rsid w:val="00722CD3"/>
    <w:rsid w:val="00725C20"/>
    <w:rsid w:val="0072645F"/>
    <w:rsid w:val="007279D7"/>
    <w:rsid w:val="00733B04"/>
    <w:rsid w:val="00736852"/>
    <w:rsid w:val="007447A7"/>
    <w:rsid w:val="0074605C"/>
    <w:rsid w:val="007511CA"/>
    <w:rsid w:val="0075516F"/>
    <w:rsid w:val="007570F2"/>
    <w:rsid w:val="00763ED6"/>
    <w:rsid w:val="00764026"/>
    <w:rsid w:val="007661E4"/>
    <w:rsid w:val="00775907"/>
    <w:rsid w:val="0077592C"/>
    <w:rsid w:val="00782791"/>
    <w:rsid w:val="00785675"/>
    <w:rsid w:val="00785689"/>
    <w:rsid w:val="00785DDD"/>
    <w:rsid w:val="00785EA8"/>
    <w:rsid w:val="007875C0"/>
    <w:rsid w:val="007916AE"/>
    <w:rsid w:val="00792CB1"/>
    <w:rsid w:val="00793ABE"/>
    <w:rsid w:val="0079527C"/>
    <w:rsid w:val="00795338"/>
    <w:rsid w:val="007953B5"/>
    <w:rsid w:val="0079587C"/>
    <w:rsid w:val="0079754B"/>
    <w:rsid w:val="007A1E6D"/>
    <w:rsid w:val="007A247C"/>
    <w:rsid w:val="007A7BA1"/>
    <w:rsid w:val="007B0C25"/>
    <w:rsid w:val="007B37B7"/>
    <w:rsid w:val="007B3BDA"/>
    <w:rsid w:val="007B4F15"/>
    <w:rsid w:val="007B4F9B"/>
    <w:rsid w:val="007C4B67"/>
    <w:rsid w:val="007C6255"/>
    <w:rsid w:val="007D3344"/>
    <w:rsid w:val="007D3BC9"/>
    <w:rsid w:val="007E10BA"/>
    <w:rsid w:val="007E1B57"/>
    <w:rsid w:val="007E2BD7"/>
    <w:rsid w:val="007E2D92"/>
    <w:rsid w:val="007E460A"/>
    <w:rsid w:val="007F25D2"/>
    <w:rsid w:val="008044E4"/>
    <w:rsid w:val="00805856"/>
    <w:rsid w:val="008067EA"/>
    <w:rsid w:val="00811D58"/>
    <w:rsid w:val="008128B3"/>
    <w:rsid w:val="00815E84"/>
    <w:rsid w:val="008217DF"/>
    <w:rsid w:val="00822CE0"/>
    <w:rsid w:val="00823DB9"/>
    <w:rsid w:val="00824015"/>
    <w:rsid w:val="0082410C"/>
    <w:rsid w:val="0082670C"/>
    <w:rsid w:val="0082735A"/>
    <w:rsid w:val="00831C59"/>
    <w:rsid w:val="008344E1"/>
    <w:rsid w:val="008346E7"/>
    <w:rsid w:val="00841AB1"/>
    <w:rsid w:val="00841D12"/>
    <w:rsid w:val="00844998"/>
    <w:rsid w:val="008472AC"/>
    <w:rsid w:val="00850DBC"/>
    <w:rsid w:val="008511B9"/>
    <w:rsid w:val="00852F69"/>
    <w:rsid w:val="00860B3E"/>
    <w:rsid w:val="008644A6"/>
    <w:rsid w:val="0086518D"/>
    <w:rsid w:val="00867B1A"/>
    <w:rsid w:val="00880BA8"/>
    <w:rsid w:val="00881DA6"/>
    <w:rsid w:val="00883302"/>
    <w:rsid w:val="00887E04"/>
    <w:rsid w:val="00890101"/>
    <w:rsid w:val="008947F4"/>
    <w:rsid w:val="00897120"/>
    <w:rsid w:val="008A0994"/>
    <w:rsid w:val="008A1228"/>
    <w:rsid w:val="008A267C"/>
    <w:rsid w:val="008A37FE"/>
    <w:rsid w:val="008A5341"/>
    <w:rsid w:val="008A7EA5"/>
    <w:rsid w:val="008C14DE"/>
    <w:rsid w:val="008C2D54"/>
    <w:rsid w:val="008C4282"/>
    <w:rsid w:val="008D046F"/>
    <w:rsid w:val="008D579C"/>
    <w:rsid w:val="008D66A7"/>
    <w:rsid w:val="008E08DB"/>
    <w:rsid w:val="008E0BCC"/>
    <w:rsid w:val="008F546F"/>
    <w:rsid w:val="008F5609"/>
    <w:rsid w:val="008F6354"/>
    <w:rsid w:val="009000B2"/>
    <w:rsid w:val="00903487"/>
    <w:rsid w:val="00903E19"/>
    <w:rsid w:val="009052A4"/>
    <w:rsid w:val="009102C4"/>
    <w:rsid w:val="00910F04"/>
    <w:rsid w:val="00911882"/>
    <w:rsid w:val="00912507"/>
    <w:rsid w:val="00912A4B"/>
    <w:rsid w:val="00915D1A"/>
    <w:rsid w:val="00917CD4"/>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50EB7"/>
    <w:rsid w:val="00956027"/>
    <w:rsid w:val="00956337"/>
    <w:rsid w:val="00962945"/>
    <w:rsid w:val="009632A6"/>
    <w:rsid w:val="00964237"/>
    <w:rsid w:val="00966371"/>
    <w:rsid w:val="009676BC"/>
    <w:rsid w:val="00970C6B"/>
    <w:rsid w:val="009711A2"/>
    <w:rsid w:val="0097256B"/>
    <w:rsid w:val="009741B1"/>
    <w:rsid w:val="00975449"/>
    <w:rsid w:val="00976233"/>
    <w:rsid w:val="0097651C"/>
    <w:rsid w:val="00981C93"/>
    <w:rsid w:val="0098449D"/>
    <w:rsid w:val="00987FB6"/>
    <w:rsid w:val="0099140B"/>
    <w:rsid w:val="00992F4D"/>
    <w:rsid w:val="009942A1"/>
    <w:rsid w:val="00995258"/>
    <w:rsid w:val="009A40C2"/>
    <w:rsid w:val="009A4610"/>
    <w:rsid w:val="009A4C16"/>
    <w:rsid w:val="009A4DE2"/>
    <w:rsid w:val="009A7E62"/>
    <w:rsid w:val="009A7EE4"/>
    <w:rsid w:val="009B5A50"/>
    <w:rsid w:val="009D332B"/>
    <w:rsid w:val="009D66D5"/>
    <w:rsid w:val="009E2677"/>
    <w:rsid w:val="009E4E15"/>
    <w:rsid w:val="009E58AC"/>
    <w:rsid w:val="009E58C9"/>
    <w:rsid w:val="009E5BD6"/>
    <w:rsid w:val="009E7E5F"/>
    <w:rsid w:val="009F04D5"/>
    <w:rsid w:val="009F185B"/>
    <w:rsid w:val="009F286B"/>
    <w:rsid w:val="009F3A92"/>
    <w:rsid w:val="009F563F"/>
    <w:rsid w:val="009F7021"/>
    <w:rsid w:val="009F77E2"/>
    <w:rsid w:val="009F7C04"/>
    <w:rsid w:val="00A00B66"/>
    <w:rsid w:val="00A027EA"/>
    <w:rsid w:val="00A03DB3"/>
    <w:rsid w:val="00A05473"/>
    <w:rsid w:val="00A06315"/>
    <w:rsid w:val="00A0704F"/>
    <w:rsid w:val="00A12F28"/>
    <w:rsid w:val="00A16466"/>
    <w:rsid w:val="00A17A3B"/>
    <w:rsid w:val="00A20FF3"/>
    <w:rsid w:val="00A214C3"/>
    <w:rsid w:val="00A23AF4"/>
    <w:rsid w:val="00A27ACB"/>
    <w:rsid w:val="00A35CE8"/>
    <w:rsid w:val="00A3732E"/>
    <w:rsid w:val="00A453E0"/>
    <w:rsid w:val="00A45F4F"/>
    <w:rsid w:val="00A4658E"/>
    <w:rsid w:val="00A5227B"/>
    <w:rsid w:val="00A56BA8"/>
    <w:rsid w:val="00A5729D"/>
    <w:rsid w:val="00A57B31"/>
    <w:rsid w:val="00A600A9"/>
    <w:rsid w:val="00A60258"/>
    <w:rsid w:val="00A606BF"/>
    <w:rsid w:val="00A6117C"/>
    <w:rsid w:val="00A61ED7"/>
    <w:rsid w:val="00A66336"/>
    <w:rsid w:val="00A669A9"/>
    <w:rsid w:val="00A74DB8"/>
    <w:rsid w:val="00A77D25"/>
    <w:rsid w:val="00A81E40"/>
    <w:rsid w:val="00A82494"/>
    <w:rsid w:val="00A87C06"/>
    <w:rsid w:val="00A936BB"/>
    <w:rsid w:val="00A94399"/>
    <w:rsid w:val="00A95282"/>
    <w:rsid w:val="00A95A03"/>
    <w:rsid w:val="00A96A5E"/>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810"/>
    <w:rsid w:val="00AC3D20"/>
    <w:rsid w:val="00AC5A7C"/>
    <w:rsid w:val="00AD010D"/>
    <w:rsid w:val="00AD0ADA"/>
    <w:rsid w:val="00AD3587"/>
    <w:rsid w:val="00AD6C34"/>
    <w:rsid w:val="00AE1D47"/>
    <w:rsid w:val="00AE27F8"/>
    <w:rsid w:val="00AE43B7"/>
    <w:rsid w:val="00AE4DB3"/>
    <w:rsid w:val="00AE4E54"/>
    <w:rsid w:val="00AF03D6"/>
    <w:rsid w:val="00AF6522"/>
    <w:rsid w:val="00AF7DAD"/>
    <w:rsid w:val="00B00166"/>
    <w:rsid w:val="00B02DC2"/>
    <w:rsid w:val="00B02FB8"/>
    <w:rsid w:val="00B033F0"/>
    <w:rsid w:val="00B07321"/>
    <w:rsid w:val="00B07E5C"/>
    <w:rsid w:val="00B10576"/>
    <w:rsid w:val="00B13350"/>
    <w:rsid w:val="00B141B4"/>
    <w:rsid w:val="00B14FAF"/>
    <w:rsid w:val="00B15877"/>
    <w:rsid w:val="00B1792B"/>
    <w:rsid w:val="00B211FD"/>
    <w:rsid w:val="00B239D9"/>
    <w:rsid w:val="00B277A4"/>
    <w:rsid w:val="00B302CB"/>
    <w:rsid w:val="00B32157"/>
    <w:rsid w:val="00B331F5"/>
    <w:rsid w:val="00B44A4F"/>
    <w:rsid w:val="00B47311"/>
    <w:rsid w:val="00B508D0"/>
    <w:rsid w:val="00B517BE"/>
    <w:rsid w:val="00B5414A"/>
    <w:rsid w:val="00B57145"/>
    <w:rsid w:val="00B64EC5"/>
    <w:rsid w:val="00B65EF8"/>
    <w:rsid w:val="00B66324"/>
    <w:rsid w:val="00B66445"/>
    <w:rsid w:val="00B66F5A"/>
    <w:rsid w:val="00B67077"/>
    <w:rsid w:val="00B675F9"/>
    <w:rsid w:val="00B75912"/>
    <w:rsid w:val="00B761CF"/>
    <w:rsid w:val="00B80DF6"/>
    <w:rsid w:val="00B811F7"/>
    <w:rsid w:val="00B816A7"/>
    <w:rsid w:val="00B84E6C"/>
    <w:rsid w:val="00B84FFD"/>
    <w:rsid w:val="00B860D7"/>
    <w:rsid w:val="00B87679"/>
    <w:rsid w:val="00BA0E9C"/>
    <w:rsid w:val="00BA3B91"/>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E2581"/>
    <w:rsid w:val="00BE2B2B"/>
    <w:rsid w:val="00BE2B30"/>
    <w:rsid w:val="00BE56B5"/>
    <w:rsid w:val="00BE73DC"/>
    <w:rsid w:val="00BE7722"/>
    <w:rsid w:val="00BF0234"/>
    <w:rsid w:val="00BF1EEC"/>
    <w:rsid w:val="00C02FA9"/>
    <w:rsid w:val="00C04D36"/>
    <w:rsid w:val="00C06E84"/>
    <w:rsid w:val="00C10ADD"/>
    <w:rsid w:val="00C218DC"/>
    <w:rsid w:val="00C26F5F"/>
    <w:rsid w:val="00C34006"/>
    <w:rsid w:val="00C3717E"/>
    <w:rsid w:val="00C4174C"/>
    <w:rsid w:val="00C426B1"/>
    <w:rsid w:val="00C438ED"/>
    <w:rsid w:val="00C447D2"/>
    <w:rsid w:val="00C46AEB"/>
    <w:rsid w:val="00C473A8"/>
    <w:rsid w:val="00C47A0C"/>
    <w:rsid w:val="00C518D0"/>
    <w:rsid w:val="00C523B9"/>
    <w:rsid w:val="00C52CF8"/>
    <w:rsid w:val="00C53EA3"/>
    <w:rsid w:val="00C6071D"/>
    <w:rsid w:val="00C612AC"/>
    <w:rsid w:val="00C67932"/>
    <w:rsid w:val="00C700F9"/>
    <w:rsid w:val="00C713BD"/>
    <w:rsid w:val="00C73922"/>
    <w:rsid w:val="00C7579F"/>
    <w:rsid w:val="00C76BB9"/>
    <w:rsid w:val="00C8161C"/>
    <w:rsid w:val="00C85DCF"/>
    <w:rsid w:val="00C90D6A"/>
    <w:rsid w:val="00C9246B"/>
    <w:rsid w:val="00C92F97"/>
    <w:rsid w:val="00C93A14"/>
    <w:rsid w:val="00C95D80"/>
    <w:rsid w:val="00CA21C0"/>
    <w:rsid w:val="00CA247E"/>
    <w:rsid w:val="00CA7078"/>
    <w:rsid w:val="00CB260B"/>
    <w:rsid w:val="00CB3173"/>
    <w:rsid w:val="00CB51FE"/>
    <w:rsid w:val="00CB75B9"/>
    <w:rsid w:val="00CC2691"/>
    <w:rsid w:val="00CC28B3"/>
    <w:rsid w:val="00CC532C"/>
    <w:rsid w:val="00CC596B"/>
    <w:rsid w:val="00CC72B6"/>
    <w:rsid w:val="00CC746A"/>
    <w:rsid w:val="00CD0180"/>
    <w:rsid w:val="00CD04E2"/>
    <w:rsid w:val="00CD2C9B"/>
    <w:rsid w:val="00CD45F8"/>
    <w:rsid w:val="00CE1849"/>
    <w:rsid w:val="00CE1A0C"/>
    <w:rsid w:val="00CE428F"/>
    <w:rsid w:val="00CE632C"/>
    <w:rsid w:val="00CE76C6"/>
    <w:rsid w:val="00CF1C0F"/>
    <w:rsid w:val="00CF2F47"/>
    <w:rsid w:val="00CF77B7"/>
    <w:rsid w:val="00D0218D"/>
    <w:rsid w:val="00D03AD8"/>
    <w:rsid w:val="00D046D2"/>
    <w:rsid w:val="00D05A77"/>
    <w:rsid w:val="00D1069B"/>
    <w:rsid w:val="00D10745"/>
    <w:rsid w:val="00D15C14"/>
    <w:rsid w:val="00D23E19"/>
    <w:rsid w:val="00D257FE"/>
    <w:rsid w:val="00D25C5E"/>
    <w:rsid w:val="00D25ED7"/>
    <w:rsid w:val="00D26289"/>
    <w:rsid w:val="00D3032A"/>
    <w:rsid w:val="00D31663"/>
    <w:rsid w:val="00D31FDB"/>
    <w:rsid w:val="00D34498"/>
    <w:rsid w:val="00D34844"/>
    <w:rsid w:val="00D3490E"/>
    <w:rsid w:val="00D35731"/>
    <w:rsid w:val="00D377A5"/>
    <w:rsid w:val="00D42D5D"/>
    <w:rsid w:val="00D44790"/>
    <w:rsid w:val="00D52151"/>
    <w:rsid w:val="00D52555"/>
    <w:rsid w:val="00D55448"/>
    <w:rsid w:val="00D5619D"/>
    <w:rsid w:val="00D56630"/>
    <w:rsid w:val="00D630D3"/>
    <w:rsid w:val="00D67F84"/>
    <w:rsid w:val="00D704AA"/>
    <w:rsid w:val="00D7067F"/>
    <w:rsid w:val="00D70822"/>
    <w:rsid w:val="00D71CDA"/>
    <w:rsid w:val="00D81FA0"/>
    <w:rsid w:val="00D82EB7"/>
    <w:rsid w:val="00D83129"/>
    <w:rsid w:val="00D84548"/>
    <w:rsid w:val="00D86532"/>
    <w:rsid w:val="00D87527"/>
    <w:rsid w:val="00D91240"/>
    <w:rsid w:val="00D943A2"/>
    <w:rsid w:val="00D95AC5"/>
    <w:rsid w:val="00D95C94"/>
    <w:rsid w:val="00D9774A"/>
    <w:rsid w:val="00D978A8"/>
    <w:rsid w:val="00D97B34"/>
    <w:rsid w:val="00DA2529"/>
    <w:rsid w:val="00DA2BA0"/>
    <w:rsid w:val="00DA2CFF"/>
    <w:rsid w:val="00DA2DB9"/>
    <w:rsid w:val="00DA7E2A"/>
    <w:rsid w:val="00DB0422"/>
    <w:rsid w:val="00DB130A"/>
    <w:rsid w:val="00DB4B14"/>
    <w:rsid w:val="00DB5B28"/>
    <w:rsid w:val="00DC10A1"/>
    <w:rsid w:val="00DC1B7A"/>
    <w:rsid w:val="00DC1BFB"/>
    <w:rsid w:val="00DC5271"/>
    <w:rsid w:val="00DC5DD8"/>
    <w:rsid w:val="00DC655F"/>
    <w:rsid w:val="00DC6E68"/>
    <w:rsid w:val="00DC6EB4"/>
    <w:rsid w:val="00DD0B59"/>
    <w:rsid w:val="00DD1CEE"/>
    <w:rsid w:val="00DD6824"/>
    <w:rsid w:val="00DD7967"/>
    <w:rsid w:val="00DD7DE0"/>
    <w:rsid w:val="00DD7EBD"/>
    <w:rsid w:val="00DE0C2F"/>
    <w:rsid w:val="00DE31E5"/>
    <w:rsid w:val="00DE704A"/>
    <w:rsid w:val="00DE7126"/>
    <w:rsid w:val="00DF05A3"/>
    <w:rsid w:val="00DF1C0C"/>
    <w:rsid w:val="00DF4504"/>
    <w:rsid w:val="00DF47DF"/>
    <w:rsid w:val="00DF5AF8"/>
    <w:rsid w:val="00DF5C09"/>
    <w:rsid w:val="00DF62B6"/>
    <w:rsid w:val="00DF7138"/>
    <w:rsid w:val="00E03633"/>
    <w:rsid w:val="00E037E1"/>
    <w:rsid w:val="00E069F9"/>
    <w:rsid w:val="00E07225"/>
    <w:rsid w:val="00E141AE"/>
    <w:rsid w:val="00E211FE"/>
    <w:rsid w:val="00E253CC"/>
    <w:rsid w:val="00E32005"/>
    <w:rsid w:val="00E3204A"/>
    <w:rsid w:val="00E3378C"/>
    <w:rsid w:val="00E35272"/>
    <w:rsid w:val="00E41B30"/>
    <w:rsid w:val="00E421F8"/>
    <w:rsid w:val="00E43D86"/>
    <w:rsid w:val="00E440DF"/>
    <w:rsid w:val="00E44AC6"/>
    <w:rsid w:val="00E465A8"/>
    <w:rsid w:val="00E52DC7"/>
    <w:rsid w:val="00E5409F"/>
    <w:rsid w:val="00E54C87"/>
    <w:rsid w:val="00E668C4"/>
    <w:rsid w:val="00E70486"/>
    <w:rsid w:val="00E73616"/>
    <w:rsid w:val="00E76A80"/>
    <w:rsid w:val="00E76AE5"/>
    <w:rsid w:val="00E828C5"/>
    <w:rsid w:val="00E843BC"/>
    <w:rsid w:val="00E87831"/>
    <w:rsid w:val="00E93679"/>
    <w:rsid w:val="00E94865"/>
    <w:rsid w:val="00E95C94"/>
    <w:rsid w:val="00E972C0"/>
    <w:rsid w:val="00EA1A3D"/>
    <w:rsid w:val="00EA21F8"/>
    <w:rsid w:val="00EA296C"/>
    <w:rsid w:val="00EB0F91"/>
    <w:rsid w:val="00EB1673"/>
    <w:rsid w:val="00EB2E40"/>
    <w:rsid w:val="00EB356C"/>
    <w:rsid w:val="00EB4A74"/>
    <w:rsid w:val="00EB6225"/>
    <w:rsid w:val="00EB752D"/>
    <w:rsid w:val="00EC0AE4"/>
    <w:rsid w:val="00EC1426"/>
    <w:rsid w:val="00EC5684"/>
    <w:rsid w:val="00EC58BD"/>
    <w:rsid w:val="00EC663A"/>
    <w:rsid w:val="00EC767E"/>
    <w:rsid w:val="00EC7831"/>
    <w:rsid w:val="00ED1A85"/>
    <w:rsid w:val="00ED3F6A"/>
    <w:rsid w:val="00ED48FF"/>
    <w:rsid w:val="00ED5746"/>
    <w:rsid w:val="00ED64B0"/>
    <w:rsid w:val="00EE0C8E"/>
    <w:rsid w:val="00EE6488"/>
    <w:rsid w:val="00EF1C44"/>
    <w:rsid w:val="00EF28F5"/>
    <w:rsid w:val="00EF3095"/>
    <w:rsid w:val="00EF4CF7"/>
    <w:rsid w:val="00EF7F44"/>
    <w:rsid w:val="00F0182E"/>
    <w:rsid w:val="00F021FA"/>
    <w:rsid w:val="00F038E2"/>
    <w:rsid w:val="00F125D4"/>
    <w:rsid w:val="00F162E3"/>
    <w:rsid w:val="00F240C3"/>
    <w:rsid w:val="00F24FF8"/>
    <w:rsid w:val="00F360F9"/>
    <w:rsid w:val="00F361E6"/>
    <w:rsid w:val="00F3638F"/>
    <w:rsid w:val="00F3676D"/>
    <w:rsid w:val="00F442BB"/>
    <w:rsid w:val="00F44F3A"/>
    <w:rsid w:val="00F62E97"/>
    <w:rsid w:val="00F64209"/>
    <w:rsid w:val="00F6525C"/>
    <w:rsid w:val="00F65CE9"/>
    <w:rsid w:val="00F664AB"/>
    <w:rsid w:val="00F70E6D"/>
    <w:rsid w:val="00F71F68"/>
    <w:rsid w:val="00F723E4"/>
    <w:rsid w:val="00F74D07"/>
    <w:rsid w:val="00F80663"/>
    <w:rsid w:val="00F810BC"/>
    <w:rsid w:val="00F82C43"/>
    <w:rsid w:val="00F84126"/>
    <w:rsid w:val="00F84BCA"/>
    <w:rsid w:val="00F85EA2"/>
    <w:rsid w:val="00F87A23"/>
    <w:rsid w:val="00F90847"/>
    <w:rsid w:val="00F92977"/>
    <w:rsid w:val="00F9306A"/>
    <w:rsid w:val="00F931E1"/>
    <w:rsid w:val="00F93BF5"/>
    <w:rsid w:val="00F95B76"/>
    <w:rsid w:val="00F9709E"/>
    <w:rsid w:val="00FA17D3"/>
    <w:rsid w:val="00FA1AE1"/>
    <w:rsid w:val="00FA2727"/>
    <w:rsid w:val="00FA3550"/>
    <w:rsid w:val="00FB0DE7"/>
    <w:rsid w:val="00FB0E8A"/>
    <w:rsid w:val="00FB2F25"/>
    <w:rsid w:val="00FB2F4D"/>
    <w:rsid w:val="00FB57F6"/>
    <w:rsid w:val="00FB5960"/>
    <w:rsid w:val="00FB627B"/>
    <w:rsid w:val="00FB7136"/>
    <w:rsid w:val="00FB79FD"/>
    <w:rsid w:val="00FC1B2D"/>
    <w:rsid w:val="00FC2E88"/>
    <w:rsid w:val="00FC521A"/>
    <w:rsid w:val="00FC524C"/>
    <w:rsid w:val="00FC6D19"/>
    <w:rsid w:val="00FD2F8B"/>
    <w:rsid w:val="00FD32B6"/>
    <w:rsid w:val="00FD5FA7"/>
    <w:rsid w:val="00FE0139"/>
    <w:rsid w:val="00FE1E94"/>
    <w:rsid w:val="00FE44B4"/>
    <w:rsid w:val="00FE6806"/>
    <w:rsid w:val="00FE6A5A"/>
    <w:rsid w:val="00FE7172"/>
    <w:rsid w:val="00FF001A"/>
    <w:rsid w:val="00FF0162"/>
    <w:rsid w:val="00FF2840"/>
    <w:rsid w:val="00FF605D"/>
    <w:rsid w:val="3ECB88CE"/>
    <w:rsid w:val="7524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295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3"/>
      </w:numPr>
      <w:spacing w:after="120"/>
      <w:outlineLvl w:val="1"/>
    </w:pPr>
    <w:rPr>
      <w:b/>
    </w:rPr>
  </w:style>
  <w:style w:type="paragraph" w:styleId="Heading3">
    <w:name w:val="heading 3"/>
    <w:basedOn w:val="Normal"/>
    <w:next w:val="ParaNum0"/>
    <w:qFormat/>
    <w:rsid w:val="009E58C9"/>
    <w:pPr>
      <w:keepNext/>
      <w:numPr>
        <w:ilvl w:val="2"/>
        <w:numId w:val="3"/>
      </w:numPr>
      <w:tabs>
        <w:tab w:val="left" w:pos="2160"/>
      </w:tabs>
      <w:spacing w:after="120"/>
      <w:outlineLvl w:val="2"/>
    </w:pPr>
    <w:rPr>
      <w:b/>
    </w:rPr>
  </w:style>
  <w:style w:type="paragraph" w:styleId="Heading4">
    <w:name w:val="heading 4"/>
    <w:basedOn w:val="Normal"/>
    <w:next w:val="ParaNum0"/>
    <w:qFormat/>
    <w:rsid w:val="009E58C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3"/>
      </w:numPr>
      <w:tabs>
        <w:tab w:val="left" w:pos="4320"/>
      </w:tabs>
      <w:spacing w:after="120"/>
      <w:outlineLvl w:val="5"/>
    </w:pPr>
    <w:rPr>
      <w:b/>
    </w:rPr>
  </w:style>
  <w:style w:type="paragraph" w:styleId="Heading7">
    <w:name w:val="heading 7"/>
    <w:basedOn w:val="Normal"/>
    <w:next w:val="ParaNum0"/>
    <w:qFormat/>
    <w:rsid w:val="009E58C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2"/>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paragraph" w:styleId="Revision">
    <w:name w:val="Revision"/>
    <w:hidden/>
    <w:uiPriority w:val="99"/>
    <w:semiHidden/>
    <w:rsid w:val="00DC1B7A"/>
    <w:rPr>
      <w:snapToGrid w:val="0"/>
      <w:kern w:val="28"/>
      <w:sz w:val="22"/>
    </w:rPr>
  </w:style>
  <w:style w:type="character" w:customStyle="1" w:styleId="Heading1Char">
    <w:name w:val="Heading 1 Char"/>
    <w:basedOn w:val="DefaultParagraphFont"/>
    <w:link w:val="Heading1"/>
    <w:locked/>
    <w:rsid w:val="00C8161C"/>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3"/>
      </w:numPr>
      <w:spacing w:after="120"/>
      <w:outlineLvl w:val="1"/>
    </w:pPr>
    <w:rPr>
      <w:b/>
    </w:rPr>
  </w:style>
  <w:style w:type="paragraph" w:styleId="Heading3">
    <w:name w:val="heading 3"/>
    <w:basedOn w:val="Normal"/>
    <w:next w:val="ParaNum0"/>
    <w:qFormat/>
    <w:rsid w:val="009E58C9"/>
    <w:pPr>
      <w:keepNext/>
      <w:numPr>
        <w:ilvl w:val="2"/>
        <w:numId w:val="3"/>
      </w:numPr>
      <w:tabs>
        <w:tab w:val="left" w:pos="2160"/>
      </w:tabs>
      <w:spacing w:after="120"/>
      <w:outlineLvl w:val="2"/>
    </w:pPr>
    <w:rPr>
      <w:b/>
    </w:rPr>
  </w:style>
  <w:style w:type="paragraph" w:styleId="Heading4">
    <w:name w:val="heading 4"/>
    <w:basedOn w:val="Normal"/>
    <w:next w:val="ParaNum0"/>
    <w:qFormat/>
    <w:rsid w:val="009E58C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3"/>
      </w:numPr>
      <w:tabs>
        <w:tab w:val="left" w:pos="4320"/>
      </w:tabs>
      <w:spacing w:after="120"/>
      <w:outlineLvl w:val="5"/>
    </w:pPr>
    <w:rPr>
      <w:b/>
    </w:rPr>
  </w:style>
  <w:style w:type="paragraph" w:styleId="Heading7">
    <w:name w:val="heading 7"/>
    <w:basedOn w:val="Normal"/>
    <w:next w:val="ParaNum0"/>
    <w:qFormat/>
    <w:rsid w:val="009E58C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2"/>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paragraph" w:styleId="Revision">
    <w:name w:val="Revision"/>
    <w:hidden/>
    <w:uiPriority w:val="99"/>
    <w:semiHidden/>
    <w:rsid w:val="00DC1B7A"/>
    <w:rPr>
      <w:snapToGrid w:val="0"/>
      <w:kern w:val="28"/>
      <w:sz w:val="22"/>
    </w:rPr>
  </w:style>
  <w:style w:type="character" w:customStyle="1" w:styleId="Heading1Char">
    <w:name w:val="Heading 1 Char"/>
    <w:basedOn w:val="DefaultParagraphFont"/>
    <w:link w:val="Heading1"/>
    <w:locked/>
    <w:rsid w:val="00C8161C"/>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170678610">
      <w:bodyDiv w:val="1"/>
      <w:marLeft w:val="0"/>
      <w:marRight w:val="0"/>
      <w:marTop w:val="0"/>
      <w:marBottom w:val="0"/>
      <w:divBdr>
        <w:top w:val="none" w:sz="0" w:space="0" w:color="auto"/>
        <w:left w:val="none" w:sz="0" w:space="0" w:color="auto"/>
        <w:bottom w:val="none" w:sz="0" w:space="0" w:color="auto"/>
        <w:right w:val="none" w:sz="0" w:space="0" w:color="auto"/>
      </w:divBdr>
    </w:div>
    <w:div w:id="800423260">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3</Pages>
  <Words>2697</Words>
  <Characters>14437</Characters>
  <Application>Microsoft Office Word</Application>
  <DocSecurity>0</DocSecurity>
  <PresentationFormat>[Compatibility Mode]</PresentationFormat>
  <Lines>280</Lines>
  <Paragraphs>102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17140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2016-03-29T20:04:00Z</dcterms:created>
  <dcterms:modified xsi:type="dcterms:W3CDTF">2016-03-29T20:04:00Z</dcterms:modified>
  <cp:category> </cp:category>
  <cp:contentStatus> </cp:contentStatus>
</cp:coreProperties>
</file>