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3B" w:rsidRDefault="00DC13D1" w:rsidP="00DC13D1">
      <w:pPr>
        <w:jc w:val="center"/>
        <w:rPr>
          <w:sz w:val="22"/>
          <w:szCs w:val="22"/>
        </w:rPr>
      </w:pPr>
      <w:bookmarkStart w:id="0" w:name="_GoBack"/>
      <w:bookmarkEnd w:id="0"/>
      <w:r>
        <w:rPr>
          <w:sz w:val="22"/>
          <w:szCs w:val="22"/>
        </w:rPr>
        <w:t>March 22, 2016</w:t>
      </w:r>
    </w:p>
    <w:p w:rsidR="0052353B" w:rsidRDefault="0052353B" w:rsidP="0052353B">
      <w:pPr>
        <w:jc w:val="right"/>
        <w:rPr>
          <w:sz w:val="22"/>
          <w:szCs w:val="22"/>
        </w:rPr>
      </w:pPr>
    </w:p>
    <w:p w:rsidR="0052353B" w:rsidRPr="0052353B" w:rsidRDefault="0052353B" w:rsidP="0052353B">
      <w:pPr>
        <w:jc w:val="right"/>
        <w:rPr>
          <w:b/>
          <w:sz w:val="22"/>
          <w:szCs w:val="22"/>
        </w:rPr>
      </w:pPr>
      <w:r w:rsidRPr="0052353B">
        <w:rPr>
          <w:b/>
          <w:sz w:val="22"/>
          <w:szCs w:val="22"/>
        </w:rPr>
        <w:t>DA 16-</w:t>
      </w:r>
      <w:r>
        <w:rPr>
          <w:b/>
          <w:sz w:val="22"/>
          <w:szCs w:val="22"/>
        </w:rPr>
        <w:t>301</w:t>
      </w:r>
    </w:p>
    <w:p w:rsidR="0052353B" w:rsidRDefault="0052353B" w:rsidP="0052353B">
      <w:pPr>
        <w:rPr>
          <w:sz w:val="22"/>
          <w:szCs w:val="22"/>
        </w:rPr>
      </w:pPr>
    </w:p>
    <w:p w:rsidR="0052353B" w:rsidRPr="0052353B" w:rsidRDefault="0052353B" w:rsidP="0052353B">
      <w:pPr>
        <w:rPr>
          <w:sz w:val="22"/>
          <w:szCs w:val="22"/>
        </w:rPr>
      </w:pPr>
      <w:r w:rsidRPr="0052353B">
        <w:rPr>
          <w:sz w:val="22"/>
          <w:szCs w:val="22"/>
        </w:rPr>
        <w:t>Mr. Michael P. Beder</w:t>
      </w:r>
    </w:p>
    <w:p w:rsidR="0052353B" w:rsidRPr="0052353B" w:rsidRDefault="0052353B" w:rsidP="0052353B">
      <w:pPr>
        <w:rPr>
          <w:sz w:val="22"/>
          <w:szCs w:val="22"/>
        </w:rPr>
      </w:pPr>
      <w:r w:rsidRPr="0052353B">
        <w:rPr>
          <w:sz w:val="22"/>
          <w:szCs w:val="22"/>
        </w:rPr>
        <w:t>Covington &amp; Burling LLP</w:t>
      </w:r>
    </w:p>
    <w:p w:rsidR="0052353B" w:rsidRPr="0052353B" w:rsidRDefault="0052353B" w:rsidP="0052353B">
      <w:pPr>
        <w:rPr>
          <w:sz w:val="22"/>
          <w:szCs w:val="22"/>
        </w:rPr>
      </w:pPr>
      <w:r w:rsidRPr="0052353B">
        <w:rPr>
          <w:sz w:val="22"/>
          <w:szCs w:val="22"/>
        </w:rPr>
        <w:t>850 Tenth Street, N.W.</w:t>
      </w:r>
    </w:p>
    <w:p w:rsidR="0052353B" w:rsidRPr="0052353B" w:rsidRDefault="0052353B" w:rsidP="0052353B">
      <w:pPr>
        <w:rPr>
          <w:sz w:val="22"/>
          <w:szCs w:val="22"/>
        </w:rPr>
      </w:pPr>
      <w:r w:rsidRPr="0052353B">
        <w:rPr>
          <w:sz w:val="22"/>
          <w:szCs w:val="22"/>
        </w:rPr>
        <w:t>Washington, D.C.  20001</w:t>
      </w:r>
    </w:p>
    <w:p w:rsidR="0052353B" w:rsidRPr="0052353B" w:rsidRDefault="0070466F" w:rsidP="0052353B">
      <w:pPr>
        <w:rPr>
          <w:sz w:val="22"/>
          <w:szCs w:val="22"/>
        </w:rPr>
      </w:pPr>
      <w:hyperlink r:id="rId7" w:history="1">
        <w:r w:rsidR="0052353B" w:rsidRPr="0052353B">
          <w:rPr>
            <w:rStyle w:val="Hyperlink"/>
            <w:sz w:val="22"/>
            <w:szCs w:val="22"/>
          </w:rPr>
          <w:t>mbeder@cov.com</w:t>
        </w:r>
      </w:hyperlink>
      <w:r w:rsidR="0052353B" w:rsidRPr="0052353B">
        <w:rPr>
          <w:sz w:val="22"/>
          <w:szCs w:val="22"/>
        </w:rPr>
        <w:t xml:space="preserve"> </w:t>
      </w:r>
    </w:p>
    <w:p w:rsidR="0052353B" w:rsidRPr="0052353B" w:rsidRDefault="0052353B" w:rsidP="0052353B">
      <w:pPr>
        <w:ind w:left="3600" w:firstLine="720"/>
        <w:rPr>
          <w:sz w:val="22"/>
          <w:szCs w:val="22"/>
        </w:rPr>
      </w:pPr>
    </w:p>
    <w:p w:rsidR="0052353B" w:rsidRPr="0052353B" w:rsidRDefault="0052353B" w:rsidP="0052353B">
      <w:pPr>
        <w:ind w:left="3600" w:firstLine="720"/>
        <w:rPr>
          <w:sz w:val="22"/>
          <w:szCs w:val="22"/>
        </w:rPr>
      </w:pPr>
      <w:r w:rsidRPr="0052353B">
        <w:rPr>
          <w:sz w:val="22"/>
          <w:szCs w:val="22"/>
        </w:rPr>
        <w:t>Call Sign:  E160008</w:t>
      </w:r>
    </w:p>
    <w:p w:rsidR="0052353B" w:rsidRPr="0052353B" w:rsidRDefault="0052353B" w:rsidP="0052353B">
      <w:pPr>
        <w:rPr>
          <w:sz w:val="22"/>
          <w:szCs w:val="22"/>
        </w:rPr>
      </w:pP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t>File No.:  SES-LIC-20160113-00040</w:t>
      </w:r>
    </w:p>
    <w:p w:rsidR="0052353B" w:rsidRPr="0052353B" w:rsidRDefault="0052353B" w:rsidP="0052353B">
      <w:pPr>
        <w:rPr>
          <w:sz w:val="22"/>
          <w:szCs w:val="22"/>
        </w:rPr>
      </w:pP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t xml:space="preserve">    SES-AMD-20160118-00058</w:t>
      </w:r>
    </w:p>
    <w:p w:rsidR="0052353B" w:rsidRPr="0052353B" w:rsidRDefault="0052353B" w:rsidP="0052353B">
      <w:pPr>
        <w:rPr>
          <w:sz w:val="22"/>
          <w:szCs w:val="22"/>
        </w:rPr>
      </w:pPr>
      <w:r w:rsidRPr="0052353B">
        <w:rPr>
          <w:sz w:val="22"/>
          <w:szCs w:val="22"/>
        </w:rPr>
        <w:t>Dear Mr. Beder:</w:t>
      </w:r>
    </w:p>
    <w:p w:rsidR="0052353B" w:rsidRPr="0052353B" w:rsidRDefault="0052353B" w:rsidP="0052353B">
      <w:pPr>
        <w:rPr>
          <w:sz w:val="22"/>
          <w:szCs w:val="22"/>
        </w:rPr>
      </w:pPr>
    </w:p>
    <w:p w:rsidR="0052353B" w:rsidRPr="0052353B" w:rsidRDefault="0052353B" w:rsidP="0052353B">
      <w:pPr>
        <w:ind w:firstLine="720"/>
        <w:rPr>
          <w:sz w:val="22"/>
          <w:szCs w:val="22"/>
        </w:rPr>
      </w:pPr>
      <w:r w:rsidRPr="0052353B">
        <w:rPr>
          <w:sz w:val="22"/>
          <w:szCs w:val="22"/>
        </w:rPr>
        <w:t>On January 13, 2016, WGBH Educational Foundation (WGBH) filed the above-captioned application to operate a fixed earth station in Boston, MA with the Permitted List satellites in the 14.0-14.5 GHz (Earth-to-space) and 11.7–12.2 GHz (space-to-Earth) frequency bands.  Pursuant to Section 25.112(a)(1) of the Commission’s rules, 47 C.F.R. § 25.112(a)(1), we dismiss the application as defective without prejudice to re-filing.</w:t>
      </w:r>
      <w:r w:rsidRPr="0052353B">
        <w:rPr>
          <w:sz w:val="22"/>
          <w:szCs w:val="22"/>
          <w:vertAlign w:val="superscript"/>
        </w:rPr>
        <w:footnoteReference w:id="1"/>
      </w:r>
    </w:p>
    <w:p w:rsidR="0052353B" w:rsidRPr="0052353B" w:rsidRDefault="0052353B" w:rsidP="0052353B">
      <w:pPr>
        <w:rPr>
          <w:sz w:val="22"/>
          <w:szCs w:val="22"/>
        </w:rPr>
      </w:pPr>
    </w:p>
    <w:p w:rsidR="0052353B" w:rsidRPr="0052353B" w:rsidRDefault="0052353B" w:rsidP="0052353B">
      <w:pPr>
        <w:ind w:firstLine="720"/>
        <w:rPr>
          <w:sz w:val="22"/>
          <w:szCs w:val="22"/>
        </w:rPr>
      </w:pPr>
      <w:r w:rsidRPr="0052353B">
        <w:rPr>
          <w:sz w:val="22"/>
          <w:szCs w:val="22"/>
        </w:rPr>
        <w:t>Section 25.112(a) of the Commission’s rules, 47 C.F.R. § 25.112(a), requires the Commission to return as unacceptable for filing any earth station application that is not substantially complete, contains internal inconsistencies, or does not substantially comply with the Commission’s rules.  WGBH’s application does not comply with the Commission’s rules, and is subject to dismissal as follows.</w:t>
      </w:r>
    </w:p>
    <w:p w:rsidR="0052353B" w:rsidRPr="0052353B" w:rsidRDefault="0052353B" w:rsidP="0052353B">
      <w:pPr>
        <w:rPr>
          <w:sz w:val="22"/>
          <w:szCs w:val="22"/>
        </w:rPr>
      </w:pPr>
    </w:p>
    <w:p w:rsidR="0052353B" w:rsidRPr="0052353B" w:rsidRDefault="0052353B" w:rsidP="0052353B">
      <w:pPr>
        <w:ind w:firstLine="720"/>
        <w:rPr>
          <w:sz w:val="22"/>
          <w:szCs w:val="22"/>
        </w:rPr>
      </w:pPr>
      <w:r w:rsidRPr="0052353B">
        <w:rPr>
          <w:sz w:val="22"/>
          <w:szCs w:val="22"/>
        </w:rPr>
        <w:t xml:space="preserve">Section 25.115(k)(1) of the Commission's rules, 47 C.F.R. § 25.115(k)(1), requires that earth station applications requesting authority to operate with the Permitted List satellites must qualify for routine processing.  The standard for routine processing is outlined in Section 25.212(c)(2) of the Commission's rules, 47 C.F.R. 25.212(c)(2).  In relevant part, an earth station may be routinely licensed for digital transmission if the antenna input power spectral density does not exceed -14 dBW/4kHz.  </w:t>
      </w:r>
    </w:p>
    <w:p w:rsidR="0052353B" w:rsidRPr="0052353B" w:rsidRDefault="0052353B" w:rsidP="0052353B">
      <w:pPr>
        <w:ind w:firstLine="720"/>
        <w:rPr>
          <w:sz w:val="22"/>
          <w:szCs w:val="22"/>
        </w:rPr>
      </w:pPr>
    </w:p>
    <w:p w:rsidR="0052353B" w:rsidRPr="0052353B" w:rsidRDefault="0052353B" w:rsidP="0052353B">
      <w:pPr>
        <w:ind w:firstLine="720"/>
        <w:rPr>
          <w:sz w:val="22"/>
          <w:szCs w:val="22"/>
        </w:rPr>
      </w:pPr>
      <w:r w:rsidRPr="0052353B">
        <w:rPr>
          <w:sz w:val="22"/>
          <w:szCs w:val="22"/>
        </w:rPr>
        <w:t>WGBH’s application does not comply with this standard for routine processing.  Specifically, WGBH lists emission designators 6M00G7W, 3M00G7W, and 1M00G7W in Item E50 of Schedule B with maximum EIRP power density values of 43.2, 46.2, and 46 dBW/4kHz, respectively, in Item 49 of Schedule B.  Based on the 55 dBi gain value that WGBH listed in Item E41, the input power densities of those emissions would be -11.80, -8.80, and -9.00 (dBW/4kHz), respectively, which is greater than the -14 dBW/4kHz limit for routinely licensed authorizations.</w:t>
      </w:r>
    </w:p>
    <w:p w:rsidR="0052353B" w:rsidRPr="0052353B" w:rsidRDefault="0052353B" w:rsidP="0052353B">
      <w:pPr>
        <w:rPr>
          <w:sz w:val="22"/>
          <w:szCs w:val="22"/>
        </w:rPr>
      </w:pPr>
      <w:r>
        <w:rPr>
          <w:sz w:val="22"/>
          <w:szCs w:val="22"/>
        </w:rPr>
        <w:br w:type="page"/>
      </w:r>
    </w:p>
    <w:p w:rsidR="0052353B" w:rsidRPr="0052353B" w:rsidRDefault="0052353B" w:rsidP="0052353B">
      <w:pPr>
        <w:ind w:firstLine="720"/>
        <w:rPr>
          <w:sz w:val="22"/>
          <w:szCs w:val="22"/>
        </w:rPr>
      </w:pPr>
      <w:r w:rsidRPr="0052353B">
        <w:rPr>
          <w:sz w:val="22"/>
          <w:szCs w:val="22"/>
        </w:rPr>
        <w:t>Accordingly, pursuant to Section 25.112(a)(1) of the Commission's rules, 47 C.F.R. § 25.112(a)(1), and Section 0.261 of the Commission's rules on delegations of authority, 47 C.F.R.</w:t>
      </w:r>
    </w:p>
    <w:p w:rsidR="0052353B" w:rsidRPr="0052353B" w:rsidRDefault="0052353B" w:rsidP="0052353B">
      <w:pPr>
        <w:rPr>
          <w:sz w:val="22"/>
          <w:szCs w:val="22"/>
        </w:rPr>
      </w:pPr>
      <w:r w:rsidRPr="0052353B">
        <w:rPr>
          <w:sz w:val="22"/>
          <w:szCs w:val="22"/>
        </w:rPr>
        <w:t>§ 0.261, we dismiss WGBH’s application without prejudice to re-filing.</w:t>
      </w:r>
    </w:p>
    <w:p w:rsidR="0052353B" w:rsidRPr="0052353B" w:rsidRDefault="0052353B" w:rsidP="0052353B">
      <w:pPr>
        <w:rPr>
          <w:sz w:val="22"/>
          <w:szCs w:val="22"/>
        </w:rPr>
      </w:pPr>
    </w:p>
    <w:p w:rsidR="0052353B" w:rsidRPr="0052353B" w:rsidRDefault="0052353B" w:rsidP="0052353B">
      <w:pPr>
        <w:rPr>
          <w:sz w:val="22"/>
          <w:szCs w:val="22"/>
        </w:rPr>
      </w:pPr>
      <w:r w:rsidRPr="0052353B">
        <w:rPr>
          <w:sz w:val="22"/>
          <w:szCs w:val="22"/>
        </w:rPr>
        <w:t xml:space="preserve"> </w:t>
      </w: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t>Sincerely,</w:t>
      </w:r>
    </w:p>
    <w:p w:rsidR="0052353B" w:rsidRPr="0052353B" w:rsidRDefault="0052353B" w:rsidP="0052353B">
      <w:pPr>
        <w:rPr>
          <w:sz w:val="22"/>
          <w:szCs w:val="22"/>
        </w:rPr>
      </w:pPr>
    </w:p>
    <w:p w:rsidR="0052353B" w:rsidRPr="0052353B" w:rsidRDefault="0052353B" w:rsidP="0052353B">
      <w:pPr>
        <w:rPr>
          <w:sz w:val="22"/>
          <w:szCs w:val="22"/>
        </w:rPr>
      </w:pPr>
    </w:p>
    <w:p w:rsidR="0052353B" w:rsidRPr="0052353B" w:rsidRDefault="0052353B" w:rsidP="0052353B">
      <w:pPr>
        <w:rPr>
          <w:sz w:val="22"/>
          <w:szCs w:val="22"/>
        </w:rPr>
      </w:pPr>
      <w:r w:rsidRPr="0052353B">
        <w:rPr>
          <w:sz w:val="22"/>
          <w:szCs w:val="22"/>
        </w:rPr>
        <w:tab/>
      </w:r>
      <w:r w:rsidRPr="0052353B">
        <w:rPr>
          <w:sz w:val="22"/>
          <w:szCs w:val="22"/>
        </w:rPr>
        <w:tab/>
      </w:r>
      <w:r w:rsidRPr="0052353B">
        <w:rPr>
          <w:sz w:val="22"/>
          <w:szCs w:val="22"/>
        </w:rPr>
        <w:tab/>
      </w:r>
      <w:r w:rsidRPr="0052353B">
        <w:rPr>
          <w:sz w:val="22"/>
          <w:szCs w:val="22"/>
        </w:rPr>
        <w:tab/>
        <w:t xml:space="preserve"> </w:t>
      </w:r>
      <w:r w:rsidRPr="0052353B">
        <w:rPr>
          <w:sz w:val="22"/>
          <w:szCs w:val="22"/>
        </w:rPr>
        <w:tab/>
      </w:r>
      <w:r w:rsidRPr="0052353B">
        <w:rPr>
          <w:sz w:val="22"/>
          <w:szCs w:val="22"/>
        </w:rPr>
        <w:tab/>
      </w:r>
    </w:p>
    <w:p w:rsidR="0052353B" w:rsidRPr="0052353B" w:rsidRDefault="0052353B" w:rsidP="0052353B">
      <w:pPr>
        <w:ind w:left="3600" w:firstLine="720"/>
        <w:rPr>
          <w:sz w:val="22"/>
          <w:szCs w:val="22"/>
        </w:rPr>
      </w:pPr>
      <w:r w:rsidRPr="0052353B">
        <w:rPr>
          <w:sz w:val="22"/>
          <w:szCs w:val="22"/>
        </w:rPr>
        <w:t>Paul E. Blais</w:t>
      </w:r>
    </w:p>
    <w:p w:rsidR="0052353B" w:rsidRPr="0052353B" w:rsidRDefault="0052353B" w:rsidP="0052353B">
      <w:pPr>
        <w:rPr>
          <w:sz w:val="22"/>
          <w:szCs w:val="22"/>
        </w:rPr>
      </w:pP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t>Chief, Systems Analysis Branch</w:t>
      </w:r>
    </w:p>
    <w:p w:rsidR="0052353B" w:rsidRPr="0052353B" w:rsidRDefault="0052353B" w:rsidP="0052353B">
      <w:pPr>
        <w:rPr>
          <w:sz w:val="22"/>
          <w:szCs w:val="22"/>
        </w:rPr>
      </w:pP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t>Satellite Division</w:t>
      </w:r>
    </w:p>
    <w:p w:rsidR="0052353B" w:rsidRPr="0052353B" w:rsidRDefault="0052353B" w:rsidP="0052353B">
      <w:pPr>
        <w:rPr>
          <w:sz w:val="22"/>
          <w:szCs w:val="22"/>
        </w:rPr>
      </w:pP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r>
      <w:r w:rsidRPr="0052353B">
        <w:rPr>
          <w:sz w:val="22"/>
          <w:szCs w:val="22"/>
        </w:rPr>
        <w:tab/>
        <w:t>International Bureau</w:t>
      </w:r>
    </w:p>
    <w:p w:rsidR="00204CE3" w:rsidRPr="0052353B" w:rsidRDefault="00204CE3">
      <w:pPr>
        <w:rPr>
          <w:sz w:val="22"/>
          <w:szCs w:val="22"/>
        </w:rPr>
      </w:pPr>
    </w:p>
    <w:sectPr w:rsidR="00204CE3" w:rsidRPr="0052353B">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3B" w:rsidRDefault="0052353B">
      <w:r>
        <w:separator/>
      </w:r>
    </w:p>
  </w:endnote>
  <w:endnote w:type="continuationSeparator" w:id="0">
    <w:p w:rsidR="0052353B" w:rsidRDefault="0052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0" w:rsidRDefault="00F60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3B" w:rsidRDefault="0052353B">
    <w:pPr>
      <w:pStyle w:val="Footer"/>
      <w:jc w:val="center"/>
    </w:pPr>
    <w:r>
      <w:fldChar w:fldCharType="begin"/>
    </w:r>
    <w:r>
      <w:instrText xml:space="preserve"> PAGE   \* MERGEFORMAT </w:instrText>
    </w:r>
    <w:r>
      <w:fldChar w:fldCharType="separate"/>
    </w:r>
    <w:r w:rsidR="0070466F">
      <w:rPr>
        <w:noProof/>
      </w:rPr>
      <w:t>2</w:t>
    </w:r>
    <w:r>
      <w:rPr>
        <w:noProof/>
      </w:rPr>
      <w:fldChar w:fldCharType="end"/>
    </w:r>
  </w:p>
  <w:p w:rsidR="0052353B" w:rsidRDefault="00523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0" w:rsidRDefault="00F60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3B" w:rsidRDefault="0052353B">
      <w:r>
        <w:separator/>
      </w:r>
    </w:p>
  </w:footnote>
  <w:footnote w:type="continuationSeparator" w:id="0">
    <w:p w:rsidR="0052353B" w:rsidRDefault="0052353B">
      <w:r>
        <w:continuationSeparator/>
      </w:r>
    </w:p>
  </w:footnote>
  <w:footnote w:id="1">
    <w:p w:rsidR="0052353B" w:rsidRPr="00F55657" w:rsidRDefault="0052353B" w:rsidP="0052353B">
      <w:pPr>
        <w:pStyle w:val="FootnoteText"/>
      </w:pPr>
      <w:r>
        <w:rPr>
          <w:rStyle w:val="FootnoteReference"/>
        </w:rPr>
        <w:footnoteRef/>
      </w:r>
      <w:r>
        <w:t xml:space="preserve"> </w:t>
      </w:r>
      <w:r w:rsidRPr="00F55657">
        <w:rPr>
          <w:w w:val="105"/>
        </w:rPr>
        <w:t>If</w:t>
      </w:r>
      <w:r w:rsidRPr="00F55657">
        <w:rPr>
          <w:spacing w:val="11"/>
          <w:w w:val="105"/>
        </w:rPr>
        <w:t xml:space="preserve"> </w:t>
      </w:r>
      <w:r w:rsidRPr="00F55657">
        <w:t xml:space="preserve">WGBH </w:t>
      </w:r>
      <w:r w:rsidRPr="00F55657">
        <w:rPr>
          <w:w w:val="105"/>
        </w:rPr>
        <w:t>refiles</w:t>
      </w:r>
      <w:r w:rsidRPr="00F55657">
        <w:rPr>
          <w:spacing w:val="8"/>
          <w:w w:val="105"/>
        </w:rPr>
        <w:t xml:space="preserve"> </w:t>
      </w:r>
      <w:r w:rsidRPr="00F55657">
        <w:rPr>
          <w:w w:val="105"/>
        </w:rPr>
        <w:t>an</w:t>
      </w:r>
      <w:r w:rsidRPr="00F55657">
        <w:rPr>
          <w:spacing w:val="-1"/>
          <w:w w:val="105"/>
        </w:rPr>
        <w:t xml:space="preserve"> </w:t>
      </w:r>
      <w:r w:rsidRPr="00F55657">
        <w:rPr>
          <w:w w:val="105"/>
        </w:rPr>
        <w:t>application</w:t>
      </w:r>
      <w:r w:rsidRPr="00F55657">
        <w:rPr>
          <w:spacing w:val="2"/>
          <w:w w:val="105"/>
        </w:rPr>
        <w:t xml:space="preserve"> </w:t>
      </w:r>
      <w:r w:rsidRPr="00F55657">
        <w:rPr>
          <w:w w:val="105"/>
        </w:rPr>
        <w:t>in</w:t>
      </w:r>
      <w:r w:rsidRPr="00F55657">
        <w:rPr>
          <w:spacing w:val="-10"/>
          <w:w w:val="105"/>
        </w:rPr>
        <w:t xml:space="preserve"> </w:t>
      </w:r>
      <w:r w:rsidRPr="00F55657">
        <w:rPr>
          <w:w w:val="105"/>
        </w:rPr>
        <w:t>which the</w:t>
      </w:r>
      <w:r w:rsidRPr="00F55657">
        <w:rPr>
          <w:spacing w:val="-1"/>
          <w:w w:val="105"/>
        </w:rPr>
        <w:t xml:space="preserve"> </w:t>
      </w:r>
      <w:r w:rsidRPr="00F55657">
        <w:rPr>
          <w:w w:val="105"/>
        </w:rPr>
        <w:t>deficiencies</w:t>
      </w:r>
      <w:r w:rsidRPr="00F55657">
        <w:rPr>
          <w:spacing w:val="14"/>
          <w:w w:val="105"/>
        </w:rPr>
        <w:t xml:space="preserve"> </w:t>
      </w:r>
      <w:r w:rsidRPr="00F55657">
        <w:rPr>
          <w:w w:val="105"/>
        </w:rPr>
        <w:t>identified</w:t>
      </w:r>
      <w:r w:rsidRPr="00F55657">
        <w:rPr>
          <w:spacing w:val="15"/>
          <w:w w:val="105"/>
        </w:rPr>
        <w:t xml:space="preserve"> </w:t>
      </w:r>
      <w:r w:rsidRPr="00F55657">
        <w:rPr>
          <w:w w:val="105"/>
        </w:rPr>
        <w:t>in</w:t>
      </w:r>
      <w:r w:rsidRPr="00F55657">
        <w:rPr>
          <w:spacing w:val="-11"/>
          <w:w w:val="105"/>
        </w:rPr>
        <w:t xml:space="preserve"> </w:t>
      </w:r>
      <w:r w:rsidRPr="00F55657">
        <w:rPr>
          <w:w w:val="105"/>
        </w:rPr>
        <w:t>this</w:t>
      </w:r>
      <w:r w:rsidRPr="00F55657">
        <w:rPr>
          <w:spacing w:val="4"/>
          <w:w w:val="105"/>
        </w:rPr>
        <w:t xml:space="preserve"> </w:t>
      </w:r>
      <w:r w:rsidRPr="00F55657">
        <w:rPr>
          <w:w w:val="105"/>
        </w:rPr>
        <w:t>letter</w:t>
      </w:r>
      <w:r w:rsidRPr="00F55657">
        <w:rPr>
          <w:spacing w:val="-7"/>
          <w:w w:val="105"/>
        </w:rPr>
        <w:t xml:space="preserve"> </w:t>
      </w:r>
      <w:r w:rsidRPr="00F55657">
        <w:rPr>
          <w:w w:val="105"/>
        </w:rPr>
        <w:t>have</w:t>
      </w:r>
      <w:r w:rsidRPr="00F55657">
        <w:rPr>
          <w:spacing w:val="2"/>
          <w:w w:val="105"/>
        </w:rPr>
        <w:t xml:space="preserve"> </w:t>
      </w:r>
      <w:r w:rsidRPr="00F55657">
        <w:rPr>
          <w:w w:val="105"/>
        </w:rPr>
        <w:t>been</w:t>
      </w:r>
      <w:r w:rsidRPr="00F55657">
        <w:rPr>
          <w:spacing w:val="5"/>
          <w:w w:val="105"/>
        </w:rPr>
        <w:t xml:space="preserve"> </w:t>
      </w:r>
      <w:r w:rsidRPr="00F55657">
        <w:rPr>
          <w:w w:val="105"/>
        </w:rPr>
        <w:t>corrected</w:t>
      </w:r>
      <w:r w:rsidRPr="00F55657">
        <w:rPr>
          <w:w w:val="103"/>
        </w:rPr>
        <w:t xml:space="preserve"> </w:t>
      </w:r>
      <w:r w:rsidRPr="00F55657">
        <w:rPr>
          <w:w w:val="105"/>
        </w:rPr>
        <w:t>but</w:t>
      </w:r>
      <w:r w:rsidRPr="00F55657">
        <w:rPr>
          <w:spacing w:val="7"/>
          <w:w w:val="105"/>
        </w:rPr>
        <w:t xml:space="preserve"> </w:t>
      </w:r>
      <w:r w:rsidRPr="00F55657">
        <w:rPr>
          <w:w w:val="105"/>
        </w:rPr>
        <w:t>otherwise</w:t>
      </w:r>
      <w:r w:rsidRPr="00F55657">
        <w:rPr>
          <w:spacing w:val="4"/>
          <w:w w:val="105"/>
        </w:rPr>
        <w:t xml:space="preserve"> </w:t>
      </w:r>
      <w:r w:rsidRPr="00F55657">
        <w:rPr>
          <w:w w:val="105"/>
        </w:rPr>
        <w:t>identical</w:t>
      </w:r>
      <w:r w:rsidRPr="00F55657">
        <w:rPr>
          <w:spacing w:val="11"/>
          <w:w w:val="105"/>
        </w:rPr>
        <w:t xml:space="preserve"> </w:t>
      </w:r>
      <w:r w:rsidRPr="00F55657">
        <w:rPr>
          <w:w w:val="105"/>
        </w:rPr>
        <w:t>to</w:t>
      </w:r>
      <w:r w:rsidRPr="00F55657">
        <w:rPr>
          <w:spacing w:val="5"/>
          <w:w w:val="105"/>
        </w:rPr>
        <w:t xml:space="preserve"> </w:t>
      </w:r>
      <w:r w:rsidRPr="00F55657">
        <w:rPr>
          <w:w w:val="105"/>
        </w:rPr>
        <w:t>the</w:t>
      </w:r>
      <w:r w:rsidRPr="00F55657">
        <w:rPr>
          <w:spacing w:val="3"/>
          <w:w w:val="105"/>
        </w:rPr>
        <w:t xml:space="preserve"> </w:t>
      </w:r>
      <w:r w:rsidRPr="00F55657">
        <w:rPr>
          <w:w w:val="105"/>
        </w:rPr>
        <w:t>one</w:t>
      </w:r>
      <w:r w:rsidRPr="00F55657">
        <w:rPr>
          <w:spacing w:val="-2"/>
          <w:w w:val="105"/>
        </w:rPr>
        <w:t xml:space="preserve"> </w:t>
      </w:r>
      <w:r w:rsidRPr="00F55657">
        <w:rPr>
          <w:w w:val="105"/>
        </w:rPr>
        <w:t>dismissed,</w:t>
      </w:r>
      <w:r w:rsidRPr="00F55657">
        <w:rPr>
          <w:spacing w:val="11"/>
          <w:w w:val="105"/>
        </w:rPr>
        <w:t xml:space="preserve"> </w:t>
      </w:r>
      <w:r w:rsidRPr="00F55657">
        <w:rPr>
          <w:w w:val="105"/>
        </w:rPr>
        <w:t>it</w:t>
      </w:r>
      <w:r w:rsidRPr="00F55657">
        <w:rPr>
          <w:spacing w:val="-7"/>
          <w:w w:val="105"/>
        </w:rPr>
        <w:t xml:space="preserve"> </w:t>
      </w:r>
      <w:r w:rsidRPr="00F55657">
        <w:rPr>
          <w:w w:val="105"/>
        </w:rPr>
        <w:t>need</w:t>
      </w:r>
      <w:r w:rsidRPr="00F55657">
        <w:rPr>
          <w:spacing w:val="12"/>
          <w:w w:val="105"/>
        </w:rPr>
        <w:t xml:space="preserve"> </w:t>
      </w:r>
      <w:r w:rsidRPr="00F55657">
        <w:rPr>
          <w:w w:val="105"/>
        </w:rPr>
        <w:t>not pay</w:t>
      </w:r>
      <w:r w:rsidRPr="00F55657">
        <w:rPr>
          <w:spacing w:val="6"/>
          <w:w w:val="105"/>
        </w:rPr>
        <w:t xml:space="preserve"> </w:t>
      </w:r>
      <w:r w:rsidRPr="00F55657">
        <w:rPr>
          <w:w w:val="105"/>
        </w:rPr>
        <w:t>an</w:t>
      </w:r>
      <w:r w:rsidRPr="00F55657">
        <w:rPr>
          <w:spacing w:val="-4"/>
          <w:w w:val="105"/>
        </w:rPr>
        <w:t xml:space="preserve"> </w:t>
      </w:r>
      <w:r w:rsidRPr="00F55657">
        <w:rPr>
          <w:w w:val="105"/>
        </w:rPr>
        <w:t>application</w:t>
      </w:r>
      <w:r w:rsidRPr="00F55657">
        <w:rPr>
          <w:spacing w:val="10"/>
          <w:w w:val="105"/>
        </w:rPr>
        <w:t xml:space="preserve"> </w:t>
      </w:r>
      <w:r w:rsidRPr="00F55657">
        <w:rPr>
          <w:w w:val="105"/>
        </w:rPr>
        <w:t>fee.</w:t>
      </w:r>
      <w:r w:rsidRPr="00F55657">
        <w:rPr>
          <w:spacing w:val="40"/>
          <w:w w:val="105"/>
        </w:rPr>
        <w:t xml:space="preserve"> </w:t>
      </w:r>
      <w:r w:rsidRPr="00F55657">
        <w:rPr>
          <w:i/>
          <w:w w:val="105"/>
        </w:rPr>
        <w:t>See</w:t>
      </w:r>
      <w:r w:rsidRPr="00F55657">
        <w:rPr>
          <w:i/>
          <w:spacing w:val="-18"/>
          <w:w w:val="105"/>
        </w:rPr>
        <w:t xml:space="preserve"> </w:t>
      </w:r>
      <w:r w:rsidRPr="00AF6582">
        <w:rPr>
          <w:w w:val="105"/>
        </w:rPr>
        <w:t>47</w:t>
      </w:r>
      <w:r w:rsidRPr="00F55657">
        <w:rPr>
          <w:i/>
          <w:spacing w:val="14"/>
          <w:w w:val="105"/>
        </w:rPr>
        <w:t xml:space="preserve"> </w:t>
      </w:r>
      <w:r w:rsidRPr="00F55657">
        <w:rPr>
          <w:w w:val="105"/>
        </w:rPr>
        <w:t>C.F.R.</w:t>
      </w:r>
      <w:r w:rsidRPr="00F55657">
        <w:rPr>
          <w:spacing w:val="12"/>
          <w:w w:val="105"/>
        </w:rPr>
        <w:t xml:space="preserve"> </w:t>
      </w:r>
      <w:r w:rsidRPr="00F55657">
        <w:rPr>
          <w:w w:val="105"/>
        </w:rPr>
        <w:t>§</w:t>
      </w:r>
      <w:r w:rsidRPr="00F55657">
        <w:rPr>
          <w:spacing w:val="-11"/>
          <w:w w:val="105"/>
        </w:rPr>
        <w:t xml:space="preserve"> </w:t>
      </w:r>
      <w:r>
        <w:rPr>
          <w:w w:val="105"/>
        </w:rPr>
        <w:t>1.1111</w:t>
      </w:r>
      <w:r w:rsidRPr="00F55657">
        <w:rPr>
          <w:w w:val="105"/>
        </w:rPr>
        <w: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0" w:rsidRDefault="00F60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3B" w:rsidRPr="00F710F1" w:rsidRDefault="0052353B" w:rsidP="0052353B">
    <w:pPr>
      <w:pStyle w:val="Header"/>
      <w:tabs>
        <w:tab w:val="clear" w:pos="4320"/>
        <w:tab w:val="clear" w:pos="8640"/>
        <w:tab w:val="center" w:pos="4680"/>
        <w:tab w:val="right" w:pos="9360"/>
      </w:tabs>
      <w:rPr>
        <w:b/>
        <w:u w:val="single"/>
      </w:rPr>
    </w:pPr>
    <w:r w:rsidRPr="00F710F1">
      <w:rPr>
        <w:b/>
        <w:u w:val="single"/>
      </w:rPr>
      <w:tab/>
    </w:r>
    <w:r>
      <w:rPr>
        <w:b/>
        <w:u w:val="single"/>
      </w:rPr>
      <w:t xml:space="preserve">                                         </w:t>
    </w:r>
    <w:r w:rsidRPr="00F710F1">
      <w:rPr>
        <w:b/>
        <w:u w:val="single"/>
      </w:rPr>
      <w:t>Fe</w:t>
    </w:r>
    <w:r>
      <w:rPr>
        <w:b/>
        <w:u w:val="single"/>
      </w:rPr>
      <w:t xml:space="preserve">deral Communications Commission                  </w:t>
    </w:r>
    <w:r w:rsidRPr="00F710F1">
      <w:rPr>
        <w:b/>
        <w:u w:val="single"/>
      </w:rPr>
      <w:t xml:space="preserve">DA </w:t>
    </w:r>
    <w:r>
      <w:rPr>
        <w:b/>
        <w:u w:val="single"/>
      </w:rPr>
      <w:t>16</w:t>
    </w:r>
    <w:r w:rsidRPr="00F710F1">
      <w:rPr>
        <w:b/>
        <w:u w:val="single"/>
      </w:rPr>
      <w:t>-</w:t>
    </w:r>
    <w:r>
      <w:rPr>
        <w:b/>
        <w:u w:val="single"/>
      </w:rPr>
      <w:t>301</w:t>
    </w:r>
    <w:r w:rsidRPr="00F710F1">
      <w:rPr>
        <w:b/>
        <w:u w:val="single"/>
      </w:rPr>
      <w:t xml:space="preserve"> </w:t>
    </w:r>
  </w:p>
  <w:p w:rsidR="0052353B" w:rsidRDefault="00523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70466F">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0149474"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53B"/>
    <w:rsid w:val="000073A1"/>
    <w:rsid w:val="00204CE3"/>
    <w:rsid w:val="002B54DB"/>
    <w:rsid w:val="004D3B53"/>
    <w:rsid w:val="0052353B"/>
    <w:rsid w:val="0070466F"/>
    <w:rsid w:val="00940C3B"/>
    <w:rsid w:val="00DC13D1"/>
    <w:rsid w:val="00F6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1,fn Char1,Footnote Text Char1 Char,ALTS FOOTNOTE Char Char,fn Char Char,Footnote Text Char Char Char,Footnote Text Char1 Char Char Char,Footnote Text Char Char Char Char Char,ALTS FOOTNOTE,fn,fn Char"/>
    <w:basedOn w:val="Normal"/>
    <w:link w:val="FootnoteTextChar1"/>
    <w:semiHidden/>
    <w:rsid w:val="0052353B"/>
    <w:rPr>
      <w:snapToGrid w:val="0"/>
      <w:color w:val="000000"/>
    </w:rPr>
  </w:style>
  <w:style w:type="character" w:customStyle="1" w:styleId="FootnoteTextChar">
    <w:name w:val="Footnote Text Char"/>
    <w:basedOn w:val="DefaultParagraphFont"/>
    <w:uiPriority w:val="99"/>
    <w:semiHidden/>
    <w:rsid w:val="0052353B"/>
  </w:style>
  <w:style w:type="character" w:styleId="FootnoteReference">
    <w:name w:val="footnote reference"/>
    <w:semiHidden/>
    <w:rsid w:val="0052353B"/>
    <w:rPr>
      <w:vertAlign w:val="superscript"/>
    </w:rPr>
  </w:style>
  <w:style w:type="character" w:customStyle="1" w:styleId="FootnoteTextChar1">
    <w:name w:val="Footnote Text Char1"/>
    <w:aliases w:val="ALTS FOOTNOTE Char1 Char,fn Char1 Char,Footnote Text Char1 Char Char,ALTS FOOTNOTE Char Char Char,fn Char Char Char,Footnote Text Char Char Char Char,Footnote Text Char1 Char Char Char Char,Footnote Text Char Char Char Char Char Char"/>
    <w:link w:val="FootnoteText"/>
    <w:semiHidden/>
    <w:rsid w:val="0052353B"/>
    <w:rPr>
      <w:snapToGrid w:val="0"/>
      <w:color w:val="000000"/>
    </w:rPr>
  </w:style>
  <w:style w:type="character" w:styleId="Hyperlink">
    <w:name w:val="Hyperlink"/>
    <w:unhideWhenUsed/>
    <w:rsid w:val="0052353B"/>
    <w:rPr>
      <w:color w:val="0000FF"/>
      <w:u w:val="single"/>
    </w:rPr>
  </w:style>
  <w:style w:type="character" w:customStyle="1" w:styleId="HeaderChar">
    <w:name w:val="Header Char"/>
    <w:link w:val="Header"/>
    <w:rsid w:val="0052353B"/>
  </w:style>
  <w:style w:type="character" w:customStyle="1" w:styleId="FooterChar">
    <w:name w:val="Footer Char"/>
    <w:link w:val="Footer"/>
    <w:uiPriority w:val="99"/>
    <w:rsid w:val="0052353B"/>
  </w:style>
  <w:style w:type="paragraph" w:styleId="BalloonText">
    <w:name w:val="Balloon Text"/>
    <w:basedOn w:val="Normal"/>
    <w:link w:val="BalloonTextChar"/>
    <w:uiPriority w:val="99"/>
    <w:semiHidden/>
    <w:unhideWhenUsed/>
    <w:rsid w:val="0000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beder@cov.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351</Words>
  <Characters>2085</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2016-03-21T21:27:00Z</cp:lastPrinted>
  <dcterms:created xsi:type="dcterms:W3CDTF">2016-03-22T14:58:00Z</dcterms:created>
  <dcterms:modified xsi:type="dcterms:W3CDTF">2016-03-22T14:58:00Z</dcterms:modified>
  <cp:category> </cp:category>
  <cp:contentStatus> </cp:contentStatus>
</cp:coreProperties>
</file>