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1E" w:rsidRDefault="0096751E" w:rsidP="0096751E">
      <w:pPr>
        <w:jc w:val="right"/>
        <w:rPr>
          <w:sz w:val="22"/>
          <w:szCs w:val="22"/>
        </w:rPr>
      </w:pPr>
      <w:bookmarkStart w:id="0" w:name="_GoBack"/>
      <w:bookmarkEnd w:id="0"/>
    </w:p>
    <w:p w:rsidR="0096751E" w:rsidRDefault="0096751E" w:rsidP="0096751E">
      <w:pPr>
        <w:rPr>
          <w:sz w:val="22"/>
          <w:szCs w:val="22"/>
        </w:rPr>
      </w:pPr>
      <w:r>
        <w:rPr>
          <w:sz w:val="22"/>
          <w:szCs w:val="22"/>
        </w:rPr>
        <w:tab/>
      </w:r>
      <w:r>
        <w:rPr>
          <w:sz w:val="22"/>
          <w:szCs w:val="22"/>
        </w:rPr>
        <w:tab/>
      </w:r>
      <w:r>
        <w:rPr>
          <w:sz w:val="22"/>
          <w:szCs w:val="22"/>
        </w:rPr>
        <w:tab/>
      </w:r>
      <w:r>
        <w:rPr>
          <w:sz w:val="22"/>
          <w:szCs w:val="22"/>
        </w:rPr>
        <w:tab/>
      </w:r>
      <w:r>
        <w:rPr>
          <w:sz w:val="22"/>
          <w:szCs w:val="22"/>
        </w:rPr>
        <w:tab/>
        <w:t>March 25, 2016</w:t>
      </w:r>
    </w:p>
    <w:p w:rsidR="0096751E" w:rsidRDefault="0096751E" w:rsidP="0096751E">
      <w:pPr>
        <w:jc w:val="right"/>
        <w:rPr>
          <w:sz w:val="22"/>
          <w:szCs w:val="22"/>
        </w:rPr>
      </w:pPr>
    </w:p>
    <w:p w:rsidR="0096751E" w:rsidRPr="0096751E" w:rsidRDefault="0096751E" w:rsidP="0096751E">
      <w:pPr>
        <w:jc w:val="right"/>
        <w:rPr>
          <w:b/>
          <w:sz w:val="22"/>
          <w:szCs w:val="22"/>
        </w:rPr>
      </w:pPr>
      <w:r w:rsidRPr="0096751E">
        <w:rPr>
          <w:b/>
          <w:sz w:val="22"/>
          <w:szCs w:val="22"/>
        </w:rPr>
        <w:t>DA 16-</w:t>
      </w:r>
      <w:r w:rsidR="00DB21F0">
        <w:rPr>
          <w:b/>
          <w:sz w:val="22"/>
          <w:szCs w:val="22"/>
        </w:rPr>
        <w:t>321</w:t>
      </w:r>
    </w:p>
    <w:p w:rsidR="0096751E" w:rsidRDefault="0096751E" w:rsidP="0096751E">
      <w:pPr>
        <w:rPr>
          <w:sz w:val="22"/>
          <w:szCs w:val="22"/>
        </w:rPr>
      </w:pPr>
    </w:p>
    <w:p w:rsidR="0096751E" w:rsidRPr="00DD3D02" w:rsidRDefault="0096751E" w:rsidP="0096751E">
      <w:pPr>
        <w:rPr>
          <w:sz w:val="22"/>
          <w:szCs w:val="22"/>
        </w:rPr>
      </w:pPr>
      <w:r w:rsidRPr="00DD3D02">
        <w:rPr>
          <w:sz w:val="22"/>
          <w:szCs w:val="22"/>
        </w:rPr>
        <w:t>Mr. Bob Dunn</w:t>
      </w:r>
    </w:p>
    <w:p w:rsidR="0096751E" w:rsidRPr="00DD3D02" w:rsidRDefault="0096751E" w:rsidP="0096751E">
      <w:pPr>
        <w:rPr>
          <w:sz w:val="22"/>
          <w:szCs w:val="22"/>
        </w:rPr>
      </w:pPr>
      <w:r w:rsidRPr="00DD3D02">
        <w:rPr>
          <w:sz w:val="22"/>
          <w:szCs w:val="22"/>
        </w:rPr>
        <w:t>TelAlaska Cellular, Inc.</w:t>
      </w:r>
    </w:p>
    <w:p w:rsidR="0096751E" w:rsidRPr="00DD3D02" w:rsidRDefault="0096751E" w:rsidP="0096751E">
      <w:pPr>
        <w:rPr>
          <w:sz w:val="22"/>
          <w:szCs w:val="22"/>
        </w:rPr>
      </w:pPr>
      <w:r w:rsidRPr="00DD3D02">
        <w:rPr>
          <w:sz w:val="22"/>
          <w:szCs w:val="22"/>
        </w:rPr>
        <w:t>201 E. 56</w:t>
      </w:r>
      <w:r w:rsidRPr="00DD3D02">
        <w:rPr>
          <w:sz w:val="22"/>
          <w:szCs w:val="22"/>
          <w:vertAlign w:val="superscript"/>
        </w:rPr>
        <w:t>th</w:t>
      </w:r>
      <w:r w:rsidRPr="00DD3D02">
        <w:rPr>
          <w:sz w:val="22"/>
          <w:szCs w:val="22"/>
        </w:rPr>
        <w:t xml:space="preserve"> Avenue</w:t>
      </w:r>
    </w:p>
    <w:p w:rsidR="0096751E" w:rsidRPr="00DD3D02" w:rsidRDefault="0096751E" w:rsidP="0096751E">
      <w:pPr>
        <w:rPr>
          <w:sz w:val="22"/>
          <w:szCs w:val="22"/>
        </w:rPr>
      </w:pPr>
      <w:r w:rsidRPr="00DD3D02">
        <w:rPr>
          <w:sz w:val="22"/>
          <w:szCs w:val="22"/>
        </w:rPr>
        <w:t>Anchorage, AK  99518</w:t>
      </w:r>
    </w:p>
    <w:p w:rsidR="0096751E" w:rsidRPr="00DD3D02" w:rsidRDefault="0047266B" w:rsidP="0096751E">
      <w:pPr>
        <w:rPr>
          <w:sz w:val="22"/>
          <w:szCs w:val="22"/>
        </w:rPr>
      </w:pPr>
      <w:hyperlink r:id="rId7" w:history="1">
        <w:r w:rsidR="0096751E" w:rsidRPr="00DD3D02">
          <w:rPr>
            <w:rStyle w:val="Hyperlink"/>
            <w:sz w:val="22"/>
            <w:szCs w:val="22"/>
          </w:rPr>
          <w:t>administration@telalaska.com</w:t>
        </w:r>
      </w:hyperlink>
    </w:p>
    <w:p w:rsidR="0096751E" w:rsidRPr="00DD3D02" w:rsidRDefault="0096751E" w:rsidP="0096751E">
      <w:pPr>
        <w:rPr>
          <w:sz w:val="22"/>
          <w:szCs w:val="22"/>
        </w:rPr>
      </w:pPr>
    </w:p>
    <w:p w:rsidR="0096751E" w:rsidRPr="00DD3D02" w:rsidRDefault="0096751E" w:rsidP="0096751E">
      <w:pPr>
        <w:rPr>
          <w:sz w:val="22"/>
          <w:szCs w:val="22"/>
        </w:rPr>
      </w:pPr>
      <w:r w:rsidRPr="00DD3D02">
        <w:rPr>
          <w:sz w:val="22"/>
          <w:szCs w:val="22"/>
        </w:rPr>
        <w:tab/>
      </w:r>
      <w:r w:rsidRPr="00DD3D02">
        <w:rPr>
          <w:sz w:val="22"/>
          <w:szCs w:val="22"/>
        </w:rPr>
        <w:tab/>
      </w:r>
      <w:r w:rsidRPr="00DD3D02">
        <w:rPr>
          <w:sz w:val="22"/>
          <w:szCs w:val="22"/>
        </w:rPr>
        <w:tab/>
      </w:r>
      <w:r w:rsidRPr="00DD3D02">
        <w:rPr>
          <w:sz w:val="22"/>
          <w:szCs w:val="22"/>
        </w:rPr>
        <w:tab/>
      </w:r>
      <w:r w:rsidRPr="00DD3D02">
        <w:rPr>
          <w:sz w:val="22"/>
          <w:szCs w:val="22"/>
        </w:rPr>
        <w:tab/>
      </w:r>
      <w:r w:rsidRPr="00DD3D02">
        <w:rPr>
          <w:sz w:val="22"/>
          <w:szCs w:val="22"/>
        </w:rPr>
        <w:tab/>
        <w:t>Call Sign:  E160018</w:t>
      </w:r>
    </w:p>
    <w:p w:rsidR="0096751E" w:rsidRPr="00DD3D02" w:rsidRDefault="0096751E" w:rsidP="0096751E">
      <w:pPr>
        <w:rPr>
          <w:sz w:val="22"/>
          <w:szCs w:val="22"/>
        </w:rPr>
      </w:pPr>
      <w:r w:rsidRPr="00DD3D02">
        <w:rPr>
          <w:sz w:val="22"/>
          <w:szCs w:val="22"/>
        </w:rPr>
        <w:tab/>
      </w:r>
      <w:r w:rsidRPr="00DD3D02">
        <w:rPr>
          <w:sz w:val="22"/>
          <w:szCs w:val="22"/>
        </w:rPr>
        <w:tab/>
      </w:r>
      <w:r w:rsidRPr="00DD3D02">
        <w:rPr>
          <w:sz w:val="22"/>
          <w:szCs w:val="22"/>
        </w:rPr>
        <w:tab/>
      </w:r>
      <w:r w:rsidRPr="00DD3D02">
        <w:rPr>
          <w:sz w:val="22"/>
          <w:szCs w:val="22"/>
        </w:rPr>
        <w:tab/>
      </w:r>
      <w:r w:rsidRPr="00DD3D02">
        <w:rPr>
          <w:sz w:val="22"/>
          <w:szCs w:val="22"/>
        </w:rPr>
        <w:tab/>
      </w:r>
      <w:r w:rsidRPr="00DD3D02">
        <w:rPr>
          <w:sz w:val="22"/>
          <w:szCs w:val="22"/>
        </w:rPr>
        <w:tab/>
        <w:t>File No.:    SES-LIC-20160121-00081</w:t>
      </w:r>
    </w:p>
    <w:p w:rsidR="0096751E" w:rsidRPr="00DD3D02" w:rsidRDefault="0096751E" w:rsidP="0096751E">
      <w:pPr>
        <w:rPr>
          <w:sz w:val="22"/>
          <w:szCs w:val="22"/>
        </w:rPr>
      </w:pPr>
    </w:p>
    <w:p w:rsidR="0096751E" w:rsidRPr="00DD3D02" w:rsidRDefault="0096751E" w:rsidP="0096751E">
      <w:pPr>
        <w:rPr>
          <w:sz w:val="22"/>
          <w:szCs w:val="22"/>
        </w:rPr>
      </w:pPr>
      <w:r w:rsidRPr="00DD3D02">
        <w:rPr>
          <w:sz w:val="22"/>
          <w:szCs w:val="22"/>
        </w:rPr>
        <w:t>Dear Mr. Dunn:</w:t>
      </w:r>
    </w:p>
    <w:p w:rsidR="0096751E" w:rsidRPr="00DD3D02" w:rsidRDefault="0096751E" w:rsidP="0096751E">
      <w:pPr>
        <w:rPr>
          <w:sz w:val="22"/>
          <w:szCs w:val="22"/>
        </w:rPr>
      </w:pPr>
    </w:p>
    <w:p w:rsidR="0096751E" w:rsidRPr="00DD3D02" w:rsidRDefault="0096751E" w:rsidP="0096751E">
      <w:pPr>
        <w:pStyle w:val="BodyText"/>
        <w:spacing w:line="252" w:lineRule="auto"/>
        <w:ind w:right="239" w:firstLine="720"/>
        <w:rPr>
          <w:snapToGrid/>
          <w:color w:val="auto"/>
          <w:sz w:val="22"/>
        </w:rPr>
      </w:pPr>
      <w:r w:rsidRPr="00DD3D02">
        <w:rPr>
          <w:snapToGrid/>
          <w:color w:val="auto"/>
          <w:sz w:val="22"/>
        </w:rPr>
        <w:t>On January 21, 2016, TelAlaska Cellular, Inc. (TelAlaska Cellular) filed the above-captioned application for a license to operate a 4.5 meter antenna fixed earth station in Teller, Alaska with the Permitted List satellites in the 5925-6425 GHz (Earth-to-space) and 3700-4200 GHz (space-to-Earth) frequency bands.  Pursuant to Section 25.112(a)(2)</w:t>
      </w:r>
      <w:r w:rsidRPr="00DD3D02">
        <w:rPr>
          <w:sz w:val="22"/>
        </w:rPr>
        <w:t xml:space="preserve"> </w:t>
      </w:r>
      <w:r w:rsidRPr="00DD3D02">
        <w:rPr>
          <w:snapToGrid/>
          <w:color w:val="auto"/>
          <w:sz w:val="22"/>
        </w:rPr>
        <w:t>of the Commission’s rules, 47 C.F.R. § 25.112(a)(2), we dismiss the application as defective without prejudice to refiling.</w:t>
      </w:r>
      <w:r w:rsidRPr="00DD3D02">
        <w:rPr>
          <w:snapToGrid/>
          <w:color w:val="auto"/>
          <w:sz w:val="22"/>
          <w:vertAlign w:val="superscript"/>
        </w:rPr>
        <w:footnoteReference w:id="1"/>
      </w:r>
    </w:p>
    <w:p w:rsidR="0096751E" w:rsidRPr="00DD3D02" w:rsidRDefault="0096751E" w:rsidP="0096751E">
      <w:pPr>
        <w:spacing w:before="3"/>
        <w:rPr>
          <w:sz w:val="22"/>
          <w:szCs w:val="22"/>
        </w:rPr>
      </w:pPr>
    </w:p>
    <w:p w:rsidR="0096751E" w:rsidRPr="00DD3D02" w:rsidRDefault="0096751E" w:rsidP="0096751E">
      <w:pPr>
        <w:pStyle w:val="BodyText"/>
        <w:spacing w:line="252" w:lineRule="auto"/>
        <w:ind w:right="239" w:firstLine="742"/>
        <w:rPr>
          <w:snapToGrid/>
          <w:color w:val="auto"/>
          <w:sz w:val="22"/>
        </w:rPr>
      </w:pPr>
      <w:r w:rsidRPr="00DD3D02">
        <w:rPr>
          <w:snapToGrid/>
          <w:color w:val="auto"/>
          <w:sz w:val="22"/>
        </w:rPr>
        <w:t>Section 25.112(a) of the Commission's rules, 47 C.F.R. § 25.112(a), requires the Commission to return as unacceptable for filing any earth station application that is not substantially complete, contains internal inconsistencies, or does not substantially comply with the Commission's rules.  TelAlaska Cellular's application does not comply with the Commission's rules, as outlined below.</w:t>
      </w:r>
    </w:p>
    <w:p w:rsidR="0096751E" w:rsidRPr="00DD3D02" w:rsidRDefault="0096751E" w:rsidP="0096751E">
      <w:pPr>
        <w:pStyle w:val="BodyText"/>
        <w:spacing w:line="252" w:lineRule="auto"/>
        <w:ind w:left="262" w:right="239" w:firstLine="742"/>
        <w:rPr>
          <w:snapToGrid/>
          <w:color w:val="auto"/>
          <w:sz w:val="22"/>
        </w:rPr>
      </w:pPr>
    </w:p>
    <w:p w:rsidR="0096751E" w:rsidRPr="00DD3D02" w:rsidRDefault="0096751E" w:rsidP="0096751E">
      <w:pPr>
        <w:pStyle w:val="BodyText"/>
        <w:widowControl w:val="0"/>
        <w:tabs>
          <w:tab w:val="left" w:pos="0"/>
        </w:tabs>
        <w:spacing w:line="253" w:lineRule="auto"/>
        <w:ind w:right="106"/>
        <w:rPr>
          <w:snapToGrid/>
          <w:color w:val="auto"/>
          <w:sz w:val="22"/>
        </w:rPr>
      </w:pPr>
      <w:r w:rsidRPr="00DD3D02">
        <w:rPr>
          <w:snapToGrid/>
          <w:color w:val="auto"/>
          <w:sz w:val="22"/>
        </w:rPr>
        <w:tab/>
        <w:t>Section 25.205(a) of the Commission's rules, 47 C.F.R. § 25.205(a), states that earth station antennas shall not normally be authorized for transmission at angles less than 5° measured from the horizontal plane to the direction of maximum radiation.  Nonetheless, an antenna may be authorized between 3° and 5° in the relevant directions in two cases:  (1) upon a showing by the applicant that the transmission path will be seaward and away from land masses; or (2) upon a special showing by the applicant of a need for such angles.  In this case, TelAlaska Cellular, however, has applied for an even lower antenna elevation angle, in the Eastern Limit of 2.1° degrees, which is below the threshold contemplated by this rule.</w:t>
      </w:r>
      <w:r w:rsidRPr="00DD3D02">
        <w:rPr>
          <w:rStyle w:val="FootnoteReference"/>
          <w:snapToGrid/>
          <w:color w:val="auto"/>
          <w:sz w:val="22"/>
        </w:rPr>
        <w:footnoteReference w:id="2"/>
      </w:r>
      <w:r w:rsidRPr="00DD3D02">
        <w:rPr>
          <w:snapToGrid/>
          <w:color w:val="auto"/>
          <w:sz w:val="22"/>
        </w:rPr>
        <w:t xml:space="preserve">   </w:t>
      </w:r>
    </w:p>
    <w:p w:rsidR="0096751E" w:rsidRPr="00DD3D02" w:rsidRDefault="0096751E" w:rsidP="0096751E">
      <w:pPr>
        <w:pStyle w:val="BodyText"/>
        <w:widowControl w:val="0"/>
        <w:tabs>
          <w:tab w:val="left" w:pos="948"/>
        </w:tabs>
        <w:spacing w:line="253" w:lineRule="auto"/>
        <w:ind w:right="106"/>
        <w:rPr>
          <w:snapToGrid/>
          <w:color w:val="auto"/>
          <w:sz w:val="22"/>
        </w:rPr>
      </w:pPr>
      <w:r w:rsidRPr="00DD3D02">
        <w:rPr>
          <w:snapToGrid/>
          <w:color w:val="auto"/>
          <w:sz w:val="22"/>
        </w:rPr>
        <w:tab/>
      </w:r>
    </w:p>
    <w:p w:rsidR="0096751E" w:rsidRPr="00DD3D02" w:rsidRDefault="0096751E" w:rsidP="0096751E">
      <w:pPr>
        <w:pStyle w:val="BodyText"/>
        <w:widowControl w:val="0"/>
        <w:tabs>
          <w:tab w:val="left" w:pos="948"/>
        </w:tabs>
        <w:spacing w:line="253" w:lineRule="auto"/>
        <w:ind w:right="106"/>
        <w:rPr>
          <w:snapToGrid/>
          <w:color w:val="auto"/>
          <w:sz w:val="22"/>
        </w:rPr>
      </w:pPr>
      <w:r w:rsidRPr="00DD3D02">
        <w:rPr>
          <w:sz w:val="22"/>
        </w:rPr>
        <w:tab/>
      </w:r>
      <w:r w:rsidRPr="00DD3D02">
        <w:rPr>
          <w:color w:val="auto"/>
          <w:sz w:val="22"/>
        </w:rPr>
        <w:t xml:space="preserve">In addition, Section 25.115(k)(1) of the Commission's rules, 47 C.F.R. § 25.115(k)(1), </w:t>
      </w:r>
      <w:r w:rsidRPr="00DD3D02">
        <w:rPr>
          <w:color w:val="auto"/>
          <w:sz w:val="22"/>
        </w:rPr>
        <w:lastRenderedPageBreak/>
        <w:t xml:space="preserve">requires that earth station applications requesting authority to operate with the Permitted List satellites must qualify for routine processing.  An application requesting an antenna elevation angle of less than </w:t>
      </w:r>
      <w:r w:rsidRPr="00DD3D02">
        <w:rPr>
          <w:snapToGrid/>
          <w:color w:val="auto"/>
          <w:sz w:val="22"/>
        </w:rPr>
        <w:t>5° does not qualify for routine processing.  Therefore, if TelAlaska Cellular re-files an application for authority to communicate with satellites at an antenna elevation angle of less than 5°, TelAlaska Cellular must list on Schedule B the specific satellite(s) with which it will communicate.</w:t>
      </w:r>
    </w:p>
    <w:p w:rsidR="0096751E" w:rsidRPr="00DD3D02" w:rsidRDefault="0096751E" w:rsidP="0096751E">
      <w:pPr>
        <w:pStyle w:val="BodyText"/>
        <w:widowControl w:val="0"/>
        <w:tabs>
          <w:tab w:val="left" w:pos="948"/>
        </w:tabs>
        <w:spacing w:line="253" w:lineRule="auto"/>
        <w:ind w:left="990" w:right="106"/>
        <w:rPr>
          <w:snapToGrid/>
          <w:color w:val="auto"/>
          <w:sz w:val="22"/>
        </w:rPr>
      </w:pPr>
    </w:p>
    <w:p w:rsidR="0096751E" w:rsidRPr="00DD3D02" w:rsidRDefault="0096751E" w:rsidP="0096751E">
      <w:pPr>
        <w:pStyle w:val="BodyText"/>
        <w:ind w:firstLine="990"/>
        <w:rPr>
          <w:snapToGrid/>
          <w:color w:val="auto"/>
          <w:sz w:val="22"/>
        </w:rPr>
      </w:pPr>
      <w:r w:rsidRPr="00DD3D02">
        <w:rPr>
          <w:snapToGrid/>
          <w:color w:val="auto"/>
          <w:sz w:val="22"/>
        </w:rPr>
        <w:t>Accordingly, pursuant to Section 25.l 12(a)(l) of the Commission's rules, 47 C.F.R. § 25.112(a)(l) and Section 0.261 of the Commission's rules on delegations of authority, 47 C.F.R. § 0.261, we dismiss TelAlaska Cellular application without prejudice to re</w:t>
      </w:r>
      <w:r w:rsidR="00DB21F0">
        <w:rPr>
          <w:snapToGrid/>
          <w:color w:val="auto"/>
          <w:sz w:val="22"/>
        </w:rPr>
        <w:t>-</w:t>
      </w:r>
      <w:r w:rsidRPr="00DD3D02">
        <w:rPr>
          <w:snapToGrid/>
          <w:color w:val="auto"/>
          <w:sz w:val="22"/>
        </w:rPr>
        <w:t>filing.</w:t>
      </w:r>
    </w:p>
    <w:p w:rsidR="0096751E" w:rsidRPr="00DD3D02" w:rsidRDefault="0096751E" w:rsidP="0096751E">
      <w:pPr>
        <w:pStyle w:val="BodyText"/>
        <w:ind w:left="913"/>
        <w:rPr>
          <w:snapToGrid/>
          <w:color w:val="auto"/>
          <w:sz w:val="22"/>
        </w:rPr>
      </w:pPr>
    </w:p>
    <w:p w:rsidR="0096751E" w:rsidRPr="00DD3D02" w:rsidRDefault="0096751E" w:rsidP="0096751E">
      <w:pPr>
        <w:pStyle w:val="BodyText"/>
        <w:ind w:left="4274" w:right="3278"/>
        <w:rPr>
          <w:color w:val="auto"/>
          <w:sz w:val="22"/>
        </w:rPr>
      </w:pPr>
      <w:r w:rsidRPr="00DD3D02">
        <w:rPr>
          <w:color w:val="auto"/>
          <w:sz w:val="22"/>
        </w:rPr>
        <w:t>Sincerely,</w:t>
      </w:r>
    </w:p>
    <w:p w:rsidR="0096751E" w:rsidRPr="00DD3D02" w:rsidRDefault="0096751E" w:rsidP="0096751E">
      <w:pPr>
        <w:pStyle w:val="BodyText"/>
        <w:ind w:left="4274" w:right="3278"/>
        <w:jc w:val="center"/>
        <w:rPr>
          <w:color w:val="auto"/>
          <w:sz w:val="22"/>
        </w:rPr>
      </w:pPr>
      <w:r w:rsidRPr="00DD3D02">
        <w:rPr>
          <w:color w:val="auto"/>
          <w:sz w:val="22"/>
        </w:rPr>
        <w:t xml:space="preserve"> </w:t>
      </w:r>
    </w:p>
    <w:p w:rsidR="0096751E" w:rsidRPr="00DD3D02" w:rsidRDefault="0096751E" w:rsidP="0096751E">
      <w:pPr>
        <w:spacing w:before="7"/>
        <w:rPr>
          <w:sz w:val="22"/>
          <w:szCs w:val="22"/>
        </w:rPr>
      </w:pPr>
    </w:p>
    <w:p w:rsidR="00DB21F0" w:rsidRDefault="0096751E" w:rsidP="0096751E">
      <w:pPr>
        <w:spacing w:before="7"/>
        <w:rPr>
          <w:sz w:val="22"/>
          <w:szCs w:val="22"/>
        </w:rPr>
      </w:pPr>
      <w:r w:rsidRPr="00DD3D02">
        <w:rPr>
          <w:sz w:val="22"/>
          <w:szCs w:val="22"/>
        </w:rPr>
        <w:tab/>
      </w:r>
      <w:r w:rsidRPr="00DD3D02">
        <w:rPr>
          <w:sz w:val="22"/>
          <w:szCs w:val="22"/>
        </w:rPr>
        <w:tab/>
      </w:r>
      <w:r w:rsidRPr="00DD3D02">
        <w:rPr>
          <w:sz w:val="22"/>
          <w:szCs w:val="22"/>
        </w:rPr>
        <w:tab/>
      </w:r>
      <w:r w:rsidRPr="00DD3D02">
        <w:rPr>
          <w:sz w:val="22"/>
          <w:szCs w:val="22"/>
        </w:rPr>
        <w:tab/>
      </w:r>
      <w:r w:rsidRPr="00DD3D02">
        <w:rPr>
          <w:sz w:val="22"/>
          <w:szCs w:val="22"/>
        </w:rPr>
        <w:tab/>
      </w:r>
      <w:r w:rsidRPr="00DD3D02">
        <w:rPr>
          <w:sz w:val="22"/>
          <w:szCs w:val="22"/>
        </w:rPr>
        <w:tab/>
      </w:r>
    </w:p>
    <w:p w:rsidR="0096751E" w:rsidRPr="00DD3D02" w:rsidRDefault="0096751E" w:rsidP="00DB21F0">
      <w:pPr>
        <w:spacing w:before="7"/>
        <w:ind w:left="3554" w:firstLine="720"/>
        <w:rPr>
          <w:sz w:val="22"/>
          <w:szCs w:val="22"/>
        </w:rPr>
      </w:pPr>
      <w:r w:rsidRPr="00DD3D02">
        <w:rPr>
          <w:sz w:val="22"/>
          <w:szCs w:val="22"/>
        </w:rPr>
        <w:t>Paul E. Blais</w:t>
      </w:r>
    </w:p>
    <w:p w:rsidR="00DB21F0" w:rsidRDefault="0096751E" w:rsidP="00DB21F0">
      <w:pPr>
        <w:pStyle w:val="BodyText"/>
        <w:spacing w:before="12" w:line="252" w:lineRule="auto"/>
        <w:ind w:left="3554" w:right="894" w:firstLine="720"/>
        <w:rPr>
          <w:color w:val="auto"/>
          <w:w w:val="104"/>
          <w:sz w:val="22"/>
        </w:rPr>
      </w:pPr>
      <w:r w:rsidRPr="00DD3D02">
        <w:rPr>
          <w:color w:val="auto"/>
          <w:w w:val="105"/>
          <w:sz w:val="22"/>
        </w:rPr>
        <w:t>Chief,</w:t>
      </w:r>
      <w:r w:rsidRPr="00DD3D02">
        <w:rPr>
          <w:color w:val="auto"/>
          <w:spacing w:val="-1"/>
          <w:w w:val="105"/>
          <w:sz w:val="22"/>
        </w:rPr>
        <w:t xml:space="preserve"> </w:t>
      </w:r>
      <w:r w:rsidRPr="00DD3D02">
        <w:rPr>
          <w:color w:val="auto"/>
          <w:w w:val="105"/>
          <w:sz w:val="22"/>
        </w:rPr>
        <w:t>Systems</w:t>
      </w:r>
      <w:r w:rsidRPr="00DD3D02">
        <w:rPr>
          <w:color w:val="auto"/>
          <w:spacing w:val="-13"/>
          <w:w w:val="105"/>
          <w:sz w:val="22"/>
        </w:rPr>
        <w:t xml:space="preserve"> </w:t>
      </w:r>
      <w:r w:rsidRPr="00DD3D02">
        <w:rPr>
          <w:color w:val="auto"/>
          <w:w w:val="105"/>
          <w:sz w:val="22"/>
        </w:rPr>
        <w:t>Analysis</w:t>
      </w:r>
      <w:r w:rsidRPr="00DD3D02">
        <w:rPr>
          <w:color w:val="auto"/>
          <w:spacing w:val="-2"/>
          <w:w w:val="105"/>
          <w:sz w:val="22"/>
        </w:rPr>
        <w:t xml:space="preserve"> </w:t>
      </w:r>
      <w:r w:rsidRPr="00DD3D02">
        <w:rPr>
          <w:color w:val="auto"/>
          <w:w w:val="105"/>
          <w:sz w:val="22"/>
        </w:rPr>
        <w:t>Branch</w:t>
      </w:r>
      <w:r w:rsidRPr="00DD3D02">
        <w:rPr>
          <w:color w:val="auto"/>
          <w:w w:val="104"/>
          <w:sz w:val="22"/>
        </w:rPr>
        <w:t xml:space="preserve"> </w:t>
      </w:r>
    </w:p>
    <w:p w:rsidR="0096751E" w:rsidRPr="00DD3D02" w:rsidRDefault="0096751E" w:rsidP="00DB21F0">
      <w:pPr>
        <w:pStyle w:val="BodyText"/>
        <w:spacing w:before="12" w:line="252" w:lineRule="auto"/>
        <w:ind w:left="2880" w:right="894" w:firstLine="1394"/>
        <w:rPr>
          <w:color w:val="auto"/>
          <w:sz w:val="22"/>
        </w:rPr>
      </w:pPr>
      <w:r w:rsidRPr="00DD3D02">
        <w:rPr>
          <w:color w:val="auto"/>
          <w:w w:val="105"/>
          <w:sz w:val="22"/>
        </w:rPr>
        <w:t>Satellite</w:t>
      </w:r>
      <w:r w:rsidRPr="00DD3D02">
        <w:rPr>
          <w:color w:val="auto"/>
          <w:spacing w:val="-20"/>
          <w:w w:val="105"/>
          <w:sz w:val="22"/>
        </w:rPr>
        <w:t xml:space="preserve"> </w:t>
      </w:r>
      <w:r w:rsidRPr="00DD3D02">
        <w:rPr>
          <w:color w:val="auto"/>
          <w:w w:val="105"/>
          <w:sz w:val="22"/>
        </w:rPr>
        <w:t>Division</w:t>
      </w:r>
    </w:p>
    <w:p w:rsidR="0096751E" w:rsidRPr="00DD3D02" w:rsidRDefault="00DB21F0" w:rsidP="0096751E">
      <w:pPr>
        <w:pStyle w:val="BodyText"/>
        <w:rPr>
          <w:color w:val="auto"/>
          <w:sz w:val="22"/>
        </w:rPr>
      </w:pPr>
      <w:r>
        <w:rPr>
          <w:color w:val="auto"/>
          <w:w w:val="105"/>
          <w:sz w:val="22"/>
        </w:rPr>
        <w:t xml:space="preserve">  </w:t>
      </w:r>
      <w:r>
        <w:rPr>
          <w:color w:val="auto"/>
          <w:w w:val="105"/>
          <w:sz w:val="22"/>
        </w:rPr>
        <w:tab/>
      </w:r>
      <w:r>
        <w:rPr>
          <w:color w:val="auto"/>
          <w:w w:val="105"/>
          <w:sz w:val="22"/>
        </w:rPr>
        <w:tab/>
      </w:r>
      <w:r>
        <w:rPr>
          <w:color w:val="auto"/>
          <w:w w:val="105"/>
          <w:sz w:val="22"/>
        </w:rPr>
        <w:tab/>
      </w:r>
      <w:r>
        <w:rPr>
          <w:color w:val="auto"/>
          <w:w w:val="105"/>
          <w:sz w:val="22"/>
        </w:rPr>
        <w:tab/>
      </w:r>
      <w:r>
        <w:rPr>
          <w:color w:val="auto"/>
          <w:w w:val="105"/>
          <w:sz w:val="22"/>
        </w:rPr>
        <w:tab/>
        <w:t xml:space="preserve">            </w:t>
      </w:r>
      <w:r w:rsidR="0096751E" w:rsidRPr="00DD3D02">
        <w:rPr>
          <w:color w:val="auto"/>
          <w:w w:val="105"/>
          <w:sz w:val="22"/>
        </w:rPr>
        <w:t>International</w:t>
      </w:r>
      <w:r w:rsidR="0096751E" w:rsidRPr="00DD3D02">
        <w:rPr>
          <w:color w:val="auto"/>
          <w:spacing w:val="-16"/>
          <w:w w:val="105"/>
          <w:sz w:val="22"/>
        </w:rPr>
        <w:t xml:space="preserve"> </w:t>
      </w:r>
      <w:r w:rsidR="0096751E" w:rsidRPr="00DD3D02">
        <w:rPr>
          <w:color w:val="auto"/>
          <w:w w:val="105"/>
          <w:sz w:val="22"/>
        </w:rPr>
        <w:t>Bureau</w:t>
      </w:r>
    </w:p>
    <w:p w:rsidR="0096751E" w:rsidRPr="00DD3D02" w:rsidRDefault="0096751E" w:rsidP="0096751E">
      <w:pPr>
        <w:rPr>
          <w:sz w:val="22"/>
          <w:szCs w:val="22"/>
        </w:rPr>
      </w:pPr>
    </w:p>
    <w:p w:rsidR="00204CE3" w:rsidRPr="00204CE3" w:rsidRDefault="00204CE3">
      <w:pPr>
        <w:rPr>
          <w:sz w:val="22"/>
          <w:szCs w:val="22"/>
        </w:rPr>
      </w:pPr>
    </w:p>
    <w:sectPr w:rsidR="00204CE3"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1E" w:rsidRDefault="0096751E">
      <w:r>
        <w:separator/>
      </w:r>
    </w:p>
  </w:endnote>
  <w:endnote w:type="continuationSeparator" w:id="0">
    <w:p w:rsidR="0096751E" w:rsidRDefault="0096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3" w:rsidRDefault="007B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1E" w:rsidRDefault="0096751E">
    <w:pPr>
      <w:pStyle w:val="Footer"/>
      <w:jc w:val="center"/>
    </w:pPr>
    <w:r>
      <w:fldChar w:fldCharType="begin"/>
    </w:r>
    <w:r>
      <w:instrText xml:space="preserve"> PAGE   \* MERGEFORMAT </w:instrText>
    </w:r>
    <w:r>
      <w:fldChar w:fldCharType="separate"/>
    </w:r>
    <w:r w:rsidR="0047266B">
      <w:rPr>
        <w:noProof/>
      </w:rPr>
      <w:t>2</w:t>
    </w:r>
    <w:r>
      <w:rPr>
        <w:noProof/>
      </w:rPr>
      <w:fldChar w:fldCharType="end"/>
    </w:r>
  </w:p>
  <w:p w:rsidR="0096751E" w:rsidRDefault="00967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3" w:rsidRDefault="007B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1E" w:rsidRDefault="0096751E">
      <w:r>
        <w:separator/>
      </w:r>
    </w:p>
  </w:footnote>
  <w:footnote w:type="continuationSeparator" w:id="0">
    <w:p w:rsidR="0096751E" w:rsidRDefault="0096751E">
      <w:r>
        <w:continuationSeparator/>
      </w:r>
    </w:p>
  </w:footnote>
  <w:footnote w:id="1">
    <w:p w:rsidR="0096751E" w:rsidRDefault="0096751E" w:rsidP="0096751E">
      <w:pPr>
        <w:spacing w:before="45" w:line="251" w:lineRule="auto"/>
        <w:ind w:right="239"/>
        <w:rPr>
          <w:sz w:val="19"/>
          <w:szCs w:val="19"/>
        </w:rPr>
      </w:pPr>
      <w:r>
        <w:rPr>
          <w:rStyle w:val="FootnoteReference"/>
        </w:rPr>
        <w:footnoteRef/>
      </w:r>
      <w:r>
        <w:t xml:space="preserve">  </w:t>
      </w:r>
      <w:r>
        <w:rPr>
          <w:w w:val="105"/>
          <w:sz w:val="19"/>
          <w:szCs w:val="19"/>
        </w:rPr>
        <w:t>If</w:t>
      </w:r>
      <w:r>
        <w:rPr>
          <w:spacing w:val="11"/>
          <w:w w:val="105"/>
          <w:sz w:val="19"/>
          <w:szCs w:val="19"/>
        </w:rPr>
        <w:t xml:space="preserve"> </w:t>
      </w:r>
      <w:r>
        <w:rPr>
          <w:w w:val="105"/>
        </w:rPr>
        <w:t>TelAlaska Cellular</w:t>
      </w:r>
      <w:r>
        <w:rPr>
          <w:w w:val="105"/>
          <w:sz w:val="19"/>
          <w:szCs w:val="19"/>
        </w:rPr>
        <w:t xml:space="preserve"> refiles</w:t>
      </w:r>
      <w:r>
        <w:rPr>
          <w:spacing w:val="8"/>
          <w:w w:val="105"/>
          <w:sz w:val="19"/>
          <w:szCs w:val="19"/>
        </w:rPr>
        <w:t xml:space="preserve"> </w:t>
      </w:r>
      <w:r>
        <w:rPr>
          <w:w w:val="105"/>
          <w:sz w:val="19"/>
          <w:szCs w:val="19"/>
        </w:rPr>
        <w:t>an</w:t>
      </w:r>
      <w:r>
        <w:rPr>
          <w:spacing w:val="-1"/>
          <w:w w:val="105"/>
          <w:sz w:val="19"/>
          <w:szCs w:val="19"/>
        </w:rPr>
        <w:t xml:space="preserve"> </w:t>
      </w:r>
      <w:r>
        <w:rPr>
          <w:w w:val="105"/>
          <w:sz w:val="19"/>
          <w:szCs w:val="19"/>
        </w:rPr>
        <w:t>application</w:t>
      </w:r>
      <w:r>
        <w:rPr>
          <w:spacing w:val="2"/>
          <w:w w:val="105"/>
          <w:sz w:val="19"/>
          <w:szCs w:val="19"/>
        </w:rPr>
        <w:t xml:space="preserve"> </w:t>
      </w:r>
      <w:r>
        <w:rPr>
          <w:w w:val="105"/>
          <w:sz w:val="19"/>
          <w:szCs w:val="19"/>
        </w:rPr>
        <w:t>in</w:t>
      </w:r>
      <w:r>
        <w:rPr>
          <w:spacing w:val="-10"/>
          <w:w w:val="105"/>
          <w:sz w:val="19"/>
          <w:szCs w:val="19"/>
        </w:rPr>
        <w:t xml:space="preserve"> </w:t>
      </w:r>
      <w:r>
        <w:rPr>
          <w:w w:val="105"/>
          <w:sz w:val="19"/>
          <w:szCs w:val="19"/>
        </w:rPr>
        <w:t>which the</w:t>
      </w:r>
      <w:r>
        <w:rPr>
          <w:spacing w:val="-1"/>
          <w:w w:val="105"/>
          <w:sz w:val="19"/>
          <w:szCs w:val="19"/>
        </w:rPr>
        <w:t xml:space="preserve"> </w:t>
      </w:r>
      <w:r>
        <w:rPr>
          <w:w w:val="105"/>
          <w:sz w:val="19"/>
          <w:szCs w:val="19"/>
        </w:rPr>
        <w:t>deficiencies</w:t>
      </w:r>
      <w:r>
        <w:rPr>
          <w:spacing w:val="14"/>
          <w:w w:val="105"/>
          <w:sz w:val="19"/>
          <w:szCs w:val="19"/>
        </w:rPr>
        <w:t xml:space="preserve"> </w:t>
      </w:r>
      <w:r>
        <w:rPr>
          <w:w w:val="105"/>
          <w:sz w:val="19"/>
          <w:szCs w:val="19"/>
        </w:rPr>
        <w:t>identified</w:t>
      </w:r>
      <w:r>
        <w:rPr>
          <w:spacing w:val="15"/>
          <w:w w:val="105"/>
          <w:sz w:val="19"/>
          <w:szCs w:val="19"/>
        </w:rPr>
        <w:t xml:space="preserve"> </w:t>
      </w:r>
      <w:r>
        <w:rPr>
          <w:w w:val="105"/>
          <w:sz w:val="19"/>
          <w:szCs w:val="19"/>
        </w:rPr>
        <w:t>in</w:t>
      </w:r>
      <w:r>
        <w:rPr>
          <w:spacing w:val="-11"/>
          <w:w w:val="105"/>
          <w:sz w:val="19"/>
          <w:szCs w:val="19"/>
        </w:rPr>
        <w:t xml:space="preserve"> </w:t>
      </w:r>
      <w:r>
        <w:rPr>
          <w:w w:val="105"/>
          <w:sz w:val="19"/>
          <w:szCs w:val="19"/>
        </w:rPr>
        <w:t>this</w:t>
      </w:r>
      <w:r>
        <w:rPr>
          <w:spacing w:val="4"/>
          <w:w w:val="105"/>
          <w:sz w:val="19"/>
          <w:szCs w:val="19"/>
        </w:rPr>
        <w:t xml:space="preserve"> </w:t>
      </w:r>
      <w:r>
        <w:rPr>
          <w:w w:val="105"/>
          <w:sz w:val="19"/>
          <w:szCs w:val="19"/>
        </w:rPr>
        <w:t>letter</w:t>
      </w:r>
      <w:r>
        <w:rPr>
          <w:spacing w:val="-7"/>
          <w:w w:val="105"/>
          <w:sz w:val="19"/>
          <w:szCs w:val="19"/>
        </w:rPr>
        <w:t xml:space="preserve"> </w:t>
      </w:r>
      <w:r>
        <w:rPr>
          <w:w w:val="105"/>
          <w:sz w:val="19"/>
          <w:szCs w:val="19"/>
        </w:rPr>
        <w:t>have</w:t>
      </w:r>
      <w:r>
        <w:rPr>
          <w:spacing w:val="2"/>
          <w:w w:val="105"/>
          <w:sz w:val="19"/>
          <w:szCs w:val="19"/>
        </w:rPr>
        <w:t xml:space="preserve"> </w:t>
      </w:r>
      <w:r>
        <w:rPr>
          <w:w w:val="105"/>
          <w:sz w:val="19"/>
          <w:szCs w:val="19"/>
        </w:rPr>
        <w:t>been</w:t>
      </w:r>
      <w:r>
        <w:rPr>
          <w:spacing w:val="5"/>
          <w:w w:val="105"/>
          <w:sz w:val="19"/>
          <w:szCs w:val="19"/>
        </w:rPr>
        <w:t xml:space="preserve"> </w:t>
      </w:r>
      <w:r>
        <w:rPr>
          <w:w w:val="105"/>
          <w:sz w:val="19"/>
          <w:szCs w:val="19"/>
        </w:rPr>
        <w:t>corrected</w:t>
      </w:r>
      <w:r>
        <w:rPr>
          <w:w w:val="103"/>
          <w:sz w:val="19"/>
          <w:szCs w:val="19"/>
        </w:rPr>
        <w:t xml:space="preserve"> </w:t>
      </w:r>
      <w:r>
        <w:rPr>
          <w:w w:val="105"/>
          <w:sz w:val="19"/>
          <w:szCs w:val="19"/>
        </w:rPr>
        <w:t>but</w:t>
      </w:r>
      <w:r>
        <w:rPr>
          <w:spacing w:val="7"/>
          <w:w w:val="105"/>
          <w:sz w:val="19"/>
          <w:szCs w:val="19"/>
        </w:rPr>
        <w:t xml:space="preserve"> is </w:t>
      </w:r>
      <w:r>
        <w:rPr>
          <w:w w:val="105"/>
          <w:sz w:val="19"/>
          <w:szCs w:val="19"/>
        </w:rPr>
        <w:t>otherwise</w:t>
      </w:r>
      <w:r>
        <w:rPr>
          <w:spacing w:val="4"/>
          <w:w w:val="105"/>
          <w:sz w:val="19"/>
          <w:szCs w:val="19"/>
        </w:rPr>
        <w:t xml:space="preserve"> </w:t>
      </w:r>
      <w:r>
        <w:rPr>
          <w:w w:val="105"/>
          <w:sz w:val="19"/>
          <w:szCs w:val="19"/>
        </w:rPr>
        <w:t>identical</w:t>
      </w:r>
      <w:r>
        <w:rPr>
          <w:spacing w:val="11"/>
          <w:w w:val="105"/>
          <w:sz w:val="19"/>
          <w:szCs w:val="19"/>
        </w:rPr>
        <w:t xml:space="preserve"> </w:t>
      </w:r>
      <w:r>
        <w:rPr>
          <w:w w:val="105"/>
          <w:sz w:val="19"/>
          <w:szCs w:val="19"/>
        </w:rPr>
        <w:t>to</w:t>
      </w:r>
      <w:r>
        <w:rPr>
          <w:spacing w:val="5"/>
          <w:w w:val="105"/>
          <w:sz w:val="19"/>
          <w:szCs w:val="19"/>
        </w:rPr>
        <w:t xml:space="preserve"> </w:t>
      </w:r>
      <w:r>
        <w:rPr>
          <w:w w:val="105"/>
          <w:sz w:val="19"/>
          <w:szCs w:val="19"/>
        </w:rPr>
        <w:t>the</w:t>
      </w:r>
      <w:r>
        <w:rPr>
          <w:spacing w:val="3"/>
          <w:w w:val="105"/>
          <w:sz w:val="19"/>
          <w:szCs w:val="19"/>
        </w:rPr>
        <w:t xml:space="preserve"> </w:t>
      </w:r>
      <w:r>
        <w:rPr>
          <w:w w:val="105"/>
          <w:sz w:val="19"/>
          <w:szCs w:val="19"/>
        </w:rPr>
        <w:t>one</w:t>
      </w:r>
      <w:r>
        <w:rPr>
          <w:spacing w:val="-2"/>
          <w:w w:val="105"/>
          <w:sz w:val="19"/>
          <w:szCs w:val="19"/>
        </w:rPr>
        <w:t xml:space="preserve"> </w:t>
      </w:r>
      <w:r>
        <w:rPr>
          <w:w w:val="105"/>
          <w:sz w:val="19"/>
          <w:szCs w:val="19"/>
        </w:rPr>
        <w:t>dismissed,</w:t>
      </w:r>
      <w:r>
        <w:rPr>
          <w:spacing w:val="11"/>
          <w:w w:val="105"/>
          <w:sz w:val="19"/>
          <w:szCs w:val="19"/>
        </w:rPr>
        <w:t xml:space="preserve"> </w:t>
      </w:r>
      <w:r>
        <w:rPr>
          <w:w w:val="105"/>
          <w:sz w:val="19"/>
          <w:szCs w:val="19"/>
        </w:rPr>
        <w:t>it</w:t>
      </w:r>
      <w:r>
        <w:rPr>
          <w:spacing w:val="-7"/>
          <w:w w:val="105"/>
          <w:sz w:val="19"/>
          <w:szCs w:val="19"/>
        </w:rPr>
        <w:t xml:space="preserve"> </w:t>
      </w:r>
      <w:r>
        <w:rPr>
          <w:w w:val="105"/>
          <w:sz w:val="19"/>
          <w:szCs w:val="19"/>
        </w:rPr>
        <w:t>need</w:t>
      </w:r>
      <w:r>
        <w:rPr>
          <w:spacing w:val="12"/>
          <w:w w:val="105"/>
          <w:sz w:val="19"/>
          <w:szCs w:val="19"/>
        </w:rPr>
        <w:t xml:space="preserve"> </w:t>
      </w:r>
      <w:r>
        <w:rPr>
          <w:w w:val="105"/>
          <w:sz w:val="19"/>
          <w:szCs w:val="19"/>
        </w:rPr>
        <w:t>not pay</w:t>
      </w:r>
      <w:r>
        <w:rPr>
          <w:spacing w:val="6"/>
          <w:w w:val="105"/>
          <w:sz w:val="19"/>
          <w:szCs w:val="19"/>
        </w:rPr>
        <w:t xml:space="preserve"> </w:t>
      </w:r>
      <w:r>
        <w:rPr>
          <w:w w:val="105"/>
          <w:sz w:val="19"/>
          <w:szCs w:val="19"/>
        </w:rPr>
        <w:t>an</w:t>
      </w:r>
      <w:r>
        <w:rPr>
          <w:spacing w:val="-4"/>
          <w:w w:val="105"/>
          <w:sz w:val="19"/>
          <w:szCs w:val="19"/>
        </w:rPr>
        <w:t xml:space="preserve"> </w:t>
      </w:r>
      <w:r>
        <w:rPr>
          <w:w w:val="105"/>
          <w:sz w:val="19"/>
          <w:szCs w:val="19"/>
        </w:rPr>
        <w:t>application</w:t>
      </w:r>
      <w:r>
        <w:rPr>
          <w:spacing w:val="10"/>
          <w:w w:val="105"/>
          <w:sz w:val="19"/>
          <w:szCs w:val="19"/>
        </w:rPr>
        <w:t xml:space="preserve"> </w:t>
      </w:r>
      <w:r>
        <w:rPr>
          <w:w w:val="105"/>
          <w:sz w:val="19"/>
          <w:szCs w:val="19"/>
        </w:rPr>
        <w:t>fee.</w:t>
      </w:r>
      <w:r>
        <w:rPr>
          <w:spacing w:val="40"/>
          <w:w w:val="105"/>
          <w:sz w:val="19"/>
          <w:szCs w:val="19"/>
        </w:rPr>
        <w:t xml:space="preserve"> </w:t>
      </w:r>
      <w:r>
        <w:rPr>
          <w:i/>
          <w:w w:val="105"/>
        </w:rPr>
        <w:t>See</w:t>
      </w:r>
      <w:r>
        <w:rPr>
          <w:i/>
          <w:spacing w:val="-18"/>
          <w:w w:val="105"/>
        </w:rPr>
        <w:t xml:space="preserve"> </w:t>
      </w:r>
      <w:r w:rsidRPr="00F0413E">
        <w:rPr>
          <w:w w:val="105"/>
        </w:rPr>
        <w:t>47</w:t>
      </w:r>
      <w:r>
        <w:rPr>
          <w:i/>
          <w:spacing w:val="14"/>
          <w:w w:val="105"/>
        </w:rPr>
        <w:t xml:space="preserve"> </w:t>
      </w:r>
      <w:r>
        <w:rPr>
          <w:w w:val="105"/>
          <w:sz w:val="19"/>
          <w:szCs w:val="19"/>
        </w:rPr>
        <w:t>C.F.R.</w:t>
      </w:r>
      <w:r>
        <w:rPr>
          <w:spacing w:val="12"/>
          <w:w w:val="105"/>
          <w:sz w:val="19"/>
          <w:szCs w:val="19"/>
        </w:rPr>
        <w:t xml:space="preserve"> </w:t>
      </w:r>
      <w:r>
        <w:rPr>
          <w:w w:val="105"/>
          <w:sz w:val="21"/>
          <w:szCs w:val="21"/>
        </w:rPr>
        <w:t>§</w:t>
      </w:r>
      <w:r>
        <w:rPr>
          <w:spacing w:val="-11"/>
          <w:w w:val="105"/>
          <w:sz w:val="21"/>
          <w:szCs w:val="21"/>
        </w:rPr>
        <w:t xml:space="preserve"> </w:t>
      </w:r>
      <w:r>
        <w:rPr>
          <w:w w:val="105"/>
          <w:sz w:val="19"/>
          <w:szCs w:val="19"/>
        </w:rPr>
        <w:t>1.1111(d).</w:t>
      </w:r>
    </w:p>
    <w:p w:rsidR="0096751E" w:rsidRDefault="0096751E" w:rsidP="0096751E">
      <w:pPr>
        <w:pStyle w:val="FootnoteText"/>
      </w:pPr>
    </w:p>
  </w:footnote>
  <w:footnote w:id="2">
    <w:p w:rsidR="0096751E" w:rsidRDefault="0096751E" w:rsidP="0096751E">
      <w:pPr>
        <w:pStyle w:val="FootnoteText"/>
      </w:pPr>
      <w:r>
        <w:rPr>
          <w:rStyle w:val="FootnoteReference"/>
        </w:rPr>
        <w:footnoteRef/>
      </w:r>
      <w:r>
        <w:t xml:space="preserve"> </w:t>
      </w:r>
      <w:r w:rsidRPr="009C4F76">
        <w:rPr>
          <w:i/>
          <w:snapToGrid/>
          <w:color w:val="auto"/>
          <w:szCs w:val="24"/>
        </w:rPr>
        <w:t>See</w:t>
      </w:r>
      <w:r>
        <w:rPr>
          <w:snapToGrid/>
          <w:color w:val="auto"/>
          <w:szCs w:val="24"/>
        </w:rPr>
        <w:t xml:space="preserve"> I</w:t>
      </w:r>
      <w:r w:rsidRPr="00AD603A">
        <w:rPr>
          <w:snapToGrid/>
          <w:color w:val="auto"/>
          <w:szCs w:val="24"/>
        </w:rPr>
        <w:t xml:space="preserve">tem E57 of </w:t>
      </w:r>
      <w:r>
        <w:rPr>
          <w:snapToGrid/>
          <w:color w:val="auto"/>
          <w:szCs w:val="24"/>
        </w:rPr>
        <w:t xml:space="preserve">the applicant’s </w:t>
      </w:r>
      <w:r w:rsidRPr="00AD603A">
        <w:rPr>
          <w:snapToGrid/>
          <w:color w:val="auto"/>
          <w:szCs w:val="24"/>
        </w:rPr>
        <w:t>Schedule B</w:t>
      </w:r>
      <w:r>
        <w:rPr>
          <w:snapToGrid/>
          <w:color w:val="auto"/>
          <w:szCs w:val="24"/>
        </w:rPr>
        <w:t xml:space="preserve"> to Form 312.  Should TelAlaska choose to resubmit this application with an antenna angle elevation below 3°, it must request a waiver of </w:t>
      </w:r>
      <w:r w:rsidRPr="00AD603A">
        <w:rPr>
          <w:snapToGrid/>
          <w:color w:val="auto"/>
          <w:szCs w:val="24"/>
        </w:rPr>
        <w:t>Section 25.205(a)</w:t>
      </w:r>
      <w:r>
        <w:rPr>
          <w:snapToGrid/>
          <w:color w:val="auto"/>
          <w:szCs w:val="24"/>
        </w:rPr>
        <w:t>, and provide the requisite waiver analyses</w:t>
      </w:r>
      <w:r w:rsidRPr="00AD603A">
        <w:rPr>
          <w:snapToGrid/>
          <w:color w:val="auto"/>
          <w:szCs w:val="24"/>
        </w:rPr>
        <w:t>.</w:t>
      </w:r>
      <w:r>
        <w:rPr>
          <w:snapToGrid/>
          <w:color w:val="auto"/>
          <w:szCs w:val="24"/>
        </w:rPr>
        <w:t xml:space="preserve">  </w:t>
      </w:r>
      <w:r>
        <w:t>The Commission may waive its rules for good cause.  47 CFR § 1.3.  W</w:t>
      </w:r>
      <w:r>
        <w:rPr>
          <w:szCs w:val="22"/>
        </w:rPr>
        <w:t>aiver is appropriate if special circumstances warrant a deviation from the general rule, and the deviation will serve the public interest</w:t>
      </w:r>
      <w:r w:rsidRPr="00C45B39">
        <w:rPr>
          <w:szCs w:val="22"/>
        </w:rPr>
        <w:t>.</w:t>
      </w:r>
      <w:r>
        <w:rPr>
          <w:szCs w:val="22"/>
        </w:rPr>
        <w:t xml:space="preserve">  </w:t>
      </w:r>
      <w:r>
        <w:rPr>
          <w:i/>
        </w:rPr>
        <w:t xml:space="preserve"> WAIT Radio v. FCC,</w:t>
      </w:r>
      <w:r>
        <w:t xml:space="preserve"> 418 F.2d 1153, 1159 (D.C. Cir. 1969); </w:t>
      </w:r>
      <w:r>
        <w:rPr>
          <w:i/>
        </w:rPr>
        <w:t xml:space="preserve">Northeast Cellular Telephone Co. v. FCC, </w:t>
      </w:r>
      <w:r>
        <w:t>897 F.2d 1164, 1166 (D.C.  Cir.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63" w:rsidRDefault="007B7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1E" w:rsidRPr="0096751E" w:rsidRDefault="0096751E" w:rsidP="0096751E">
    <w:pPr>
      <w:tabs>
        <w:tab w:val="center" w:pos="4680"/>
        <w:tab w:val="right" w:pos="9360"/>
      </w:tabs>
      <w:rPr>
        <w:b/>
        <w:u w:val="single"/>
      </w:rPr>
    </w:pPr>
    <w:r w:rsidRPr="0096751E">
      <w:rPr>
        <w:b/>
        <w:u w:val="single"/>
      </w:rPr>
      <w:tab/>
      <w:t xml:space="preserve">                                         Federal Communications Commission                  DA 16-</w:t>
    </w:r>
    <w:r w:rsidR="00DB21F0">
      <w:rPr>
        <w:b/>
        <w:u w:val="single"/>
      </w:rPr>
      <w:t>321</w:t>
    </w:r>
    <w:r w:rsidRPr="0096751E">
      <w:rPr>
        <w:b/>
        <w:u w:val="single"/>
      </w:rPr>
      <w:t xml:space="preserve"> </w:t>
    </w:r>
  </w:p>
  <w:p w:rsidR="0096751E" w:rsidRDefault="00967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47266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042697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rsidP="0096751E">
    <w:pPr>
      <w:pStyle w:val="Header"/>
      <w:tabs>
        <w:tab w:val="clear" w:pos="432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51E"/>
    <w:rsid w:val="00204CE3"/>
    <w:rsid w:val="002B54DB"/>
    <w:rsid w:val="0047266B"/>
    <w:rsid w:val="004D3B53"/>
    <w:rsid w:val="007B7A63"/>
    <w:rsid w:val="0096751E"/>
    <w:rsid w:val="00DB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Footnote Text Char2"/>
    <w:basedOn w:val="Normal"/>
    <w:link w:val="FootnoteTextChar1"/>
    <w:rsid w:val="0096751E"/>
    <w:rPr>
      <w:snapToGrid w:val="0"/>
      <w:color w:val="000000"/>
    </w:rPr>
  </w:style>
  <w:style w:type="character" w:customStyle="1" w:styleId="FootnoteTextChar">
    <w:name w:val="Footnote Text Char"/>
    <w:basedOn w:val="DefaultParagraphFont"/>
    <w:uiPriority w:val="99"/>
    <w:semiHidden/>
    <w:rsid w:val="0096751E"/>
  </w:style>
  <w:style w:type="character" w:styleId="FootnoteReference">
    <w:name w:val="footnote reference"/>
    <w:aliases w:val="Appel note de bas de p,Style 12,(NECG) Footnote Reference,Style 124,Style 13,o,fr,Style 3,Style 17,FR,Footnote Reference/,Style 6"/>
    <w:rsid w:val="0096751E"/>
    <w:rPr>
      <w:vertAlign w:val="superscript"/>
    </w:rPr>
  </w:style>
  <w:style w:type="paragraph" w:styleId="BodyText">
    <w:name w:val="Body Text"/>
    <w:basedOn w:val="Normal"/>
    <w:link w:val="BodyTextChar"/>
    <w:rsid w:val="0096751E"/>
    <w:rPr>
      <w:snapToGrid w:val="0"/>
      <w:color w:val="FF00FF"/>
      <w:sz w:val="24"/>
      <w:szCs w:val="22"/>
    </w:rPr>
  </w:style>
  <w:style w:type="character" w:customStyle="1" w:styleId="BodyTextChar">
    <w:name w:val="Body Text Char"/>
    <w:link w:val="BodyText"/>
    <w:rsid w:val="0096751E"/>
    <w:rPr>
      <w:snapToGrid w:val="0"/>
      <w:color w:val="FF00FF"/>
      <w:sz w:val="24"/>
      <w:szCs w:val="22"/>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rsid w:val="0096751E"/>
    <w:rPr>
      <w:snapToGrid w:val="0"/>
      <w:color w:val="000000"/>
    </w:rPr>
  </w:style>
  <w:style w:type="character" w:styleId="Hyperlink">
    <w:name w:val="Hyperlink"/>
    <w:unhideWhenUsed/>
    <w:rsid w:val="0096751E"/>
    <w:rPr>
      <w:color w:val="0000FF"/>
      <w:u w:val="single"/>
    </w:rPr>
  </w:style>
  <w:style w:type="character" w:customStyle="1" w:styleId="FooterChar">
    <w:name w:val="Footer Char"/>
    <w:link w:val="Footer"/>
    <w:uiPriority w:val="99"/>
    <w:rsid w:val="00967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istration@telalaska.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402</Words>
  <Characters>2333</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2016-03-25T20:03:00Z</dcterms:created>
  <dcterms:modified xsi:type="dcterms:W3CDTF">2016-03-25T20:03:00Z</dcterms:modified>
  <cp:category> </cp:category>
  <cp:contentStatus> </cp:contentStatus>
</cp:coreProperties>
</file>