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3A0EA" w14:textId="77777777" w:rsidR="002E73C1" w:rsidRPr="00643FB4" w:rsidRDefault="002E73C1" w:rsidP="005D0346">
      <w:pPr>
        <w:rPr>
          <w:sz w:val="24"/>
          <w:szCs w:val="24"/>
        </w:rPr>
      </w:pPr>
      <w:bookmarkStart w:id="0" w:name="_GoBack"/>
      <w:bookmarkEnd w:id="0"/>
    </w:p>
    <w:p w14:paraId="23C0F51F" w14:textId="0AA484E2" w:rsidR="002E73C1" w:rsidRPr="004103DB" w:rsidRDefault="00880A58" w:rsidP="005D0346">
      <w:pPr>
        <w:jc w:val="right"/>
        <w:rPr>
          <w:b/>
          <w:sz w:val="24"/>
          <w:szCs w:val="24"/>
        </w:rPr>
      </w:pPr>
      <w:r w:rsidRPr="004103DB">
        <w:rPr>
          <w:b/>
          <w:sz w:val="24"/>
          <w:szCs w:val="24"/>
        </w:rPr>
        <w:t xml:space="preserve">DA </w:t>
      </w:r>
      <w:r w:rsidR="00F0491E" w:rsidRPr="00F0491E">
        <w:rPr>
          <w:b/>
          <w:sz w:val="24"/>
          <w:szCs w:val="24"/>
        </w:rPr>
        <w:t>16-329</w:t>
      </w:r>
    </w:p>
    <w:p w14:paraId="3C885E02" w14:textId="77777777" w:rsidR="002E73C1" w:rsidRPr="00643FB4" w:rsidRDefault="002E73C1" w:rsidP="005D0346">
      <w:pPr>
        <w:jc w:val="center"/>
        <w:rPr>
          <w:sz w:val="24"/>
          <w:szCs w:val="24"/>
        </w:rPr>
      </w:pPr>
    </w:p>
    <w:p w14:paraId="568B51F6" w14:textId="77777777" w:rsidR="002E73C1" w:rsidRPr="00490863" w:rsidRDefault="002E73C1" w:rsidP="005D0346">
      <w:pPr>
        <w:jc w:val="center"/>
        <w:rPr>
          <w:b/>
          <w:sz w:val="36"/>
          <w:szCs w:val="36"/>
        </w:rPr>
      </w:pPr>
      <w:r w:rsidRPr="00490863">
        <w:rPr>
          <w:b/>
          <w:sz w:val="36"/>
          <w:szCs w:val="36"/>
        </w:rPr>
        <w:t>Small Entity Compliance Guide</w:t>
      </w:r>
    </w:p>
    <w:p w14:paraId="39D41F09" w14:textId="77777777" w:rsidR="002E73C1" w:rsidRPr="00490863" w:rsidRDefault="002E73C1" w:rsidP="005D0346">
      <w:pPr>
        <w:jc w:val="center"/>
        <w:rPr>
          <w:sz w:val="22"/>
          <w:szCs w:val="22"/>
        </w:rPr>
      </w:pPr>
    </w:p>
    <w:p w14:paraId="19B77FDA" w14:textId="77777777" w:rsidR="00226909" w:rsidRPr="00E144FD" w:rsidRDefault="00B96983" w:rsidP="005D0346">
      <w:pPr>
        <w:jc w:val="center"/>
        <w:rPr>
          <w:b/>
          <w:sz w:val="28"/>
          <w:szCs w:val="28"/>
        </w:rPr>
      </w:pPr>
      <w:r>
        <w:rPr>
          <w:b/>
          <w:sz w:val="28"/>
          <w:szCs w:val="28"/>
        </w:rPr>
        <w:t xml:space="preserve">Expanding the Economic </w:t>
      </w:r>
      <w:r w:rsidR="0048448D" w:rsidRPr="00E144FD">
        <w:rPr>
          <w:b/>
          <w:sz w:val="28"/>
          <w:szCs w:val="28"/>
        </w:rPr>
        <w:t xml:space="preserve">and Innovation Opportunities of </w:t>
      </w:r>
    </w:p>
    <w:p w14:paraId="2FB09108" w14:textId="77777777" w:rsidR="002E73C1" w:rsidRPr="00E144FD" w:rsidRDefault="0048448D" w:rsidP="005D0346">
      <w:pPr>
        <w:jc w:val="center"/>
        <w:rPr>
          <w:b/>
          <w:sz w:val="28"/>
          <w:szCs w:val="28"/>
        </w:rPr>
      </w:pPr>
      <w:r w:rsidRPr="00E144FD">
        <w:rPr>
          <w:b/>
          <w:sz w:val="28"/>
          <w:szCs w:val="28"/>
        </w:rPr>
        <w:t>Spectrum Through Incentive Auctions</w:t>
      </w:r>
    </w:p>
    <w:p w14:paraId="23B8BAA5" w14:textId="77777777" w:rsidR="0048448D" w:rsidRPr="00490863" w:rsidRDefault="0048448D" w:rsidP="005D0346">
      <w:pPr>
        <w:jc w:val="center"/>
        <w:rPr>
          <w:b/>
          <w:sz w:val="22"/>
          <w:szCs w:val="22"/>
        </w:rPr>
      </w:pPr>
    </w:p>
    <w:p w14:paraId="00DD2483" w14:textId="77777777" w:rsidR="0082280C" w:rsidRPr="00E144FD" w:rsidRDefault="00197DF0" w:rsidP="005D0346">
      <w:pPr>
        <w:jc w:val="center"/>
        <w:rPr>
          <w:sz w:val="24"/>
          <w:szCs w:val="24"/>
        </w:rPr>
      </w:pPr>
      <w:r>
        <w:rPr>
          <w:sz w:val="24"/>
          <w:szCs w:val="24"/>
        </w:rPr>
        <w:t>Thir</w:t>
      </w:r>
      <w:r w:rsidR="00867182">
        <w:rPr>
          <w:sz w:val="24"/>
          <w:szCs w:val="24"/>
        </w:rPr>
        <w:t xml:space="preserve">d </w:t>
      </w:r>
      <w:r w:rsidR="0082280C" w:rsidRPr="00E144FD">
        <w:rPr>
          <w:sz w:val="24"/>
          <w:szCs w:val="24"/>
        </w:rPr>
        <w:t>Report and Order</w:t>
      </w:r>
      <w:r>
        <w:rPr>
          <w:sz w:val="24"/>
          <w:szCs w:val="24"/>
        </w:rPr>
        <w:t xml:space="preserve"> and First Reconsideration Order </w:t>
      </w:r>
    </w:p>
    <w:p w14:paraId="3ECE5D87" w14:textId="77777777" w:rsidR="008202D3" w:rsidRPr="00E144FD" w:rsidRDefault="0048448D" w:rsidP="005D0346">
      <w:pPr>
        <w:jc w:val="center"/>
        <w:rPr>
          <w:spacing w:val="-2"/>
          <w:sz w:val="24"/>
          <w:szCs w:val="24"/>
        </w:rPr>
      </w:pPr>
      <w:r w:rsidRPr="00E144FD">
        <w:rPr>
          <w:spacing w:val="-2"/>
          <w:sz w:val="24"/>
          <w:szCs w:val="24"/>
        </w:rPr>
        <w:t xml:space="preserve">GN </w:t>
      </w:r>
      <w:r w:rsidR="00145E0A" w:rsidRPr="00E144FD">
        <w:rPr>
          <w:spacing w:val="-2"/>
          <w:sz w:val="24"/>
          <w:szCs w:val="24"/>
        </w:rPr>
        <w:t>Docket No. 12-</w:t>
      </w:r>
      <w:r w:rsidR="0082280C" w:rsidRPr="00E144FD">
        <w:rPr>
          <w:spacing w:val="-2"/>
          <w:sz w:val="24"/>
          <w:szCs w:val="24"/>
        </w:rPr>
        <w:t>2</w:t>
      </w:r>
      <w:r w:rsidRPr="00E144FD">
        <w:rPr>
          <w:spacing w:val="-2"/>
          <w:sz w:val="24"/>
          <w:szCs w:val="24"/>
        </w:rPr>
        <w:t>68</w:t>
      </w:r>
      <w:r w:rsidR="00437E6D">
        <w:rPr>
          <w:spacing w:val="-2"/>
          <w:sz w:val="24"/>
          <w:szCs w:val="24"/>
        </w:rPr>
        <w:t>; ET Docket Nos. 13-26 and 14-14</w:t>
      </w:r>
    </w:p>
    <w:p w14:paraId="0DE6D6C5" w14:textId="77777777" w:rsidR="002E73C1" w:rsidRDefault="002E73C1" w:rsidP="005D0346">
      <w:pPr>
        <w:jc w:val="center"/>
        <w:rPr>
          <w:spacing w:val="-2"/>
          <w:sz w:val="24"/>
          <w:szCs w:val="24"/>
        </w:rPr>
      </w:pPr>
      <w:r w:rsidRPr="00E144FD">
        <w:rPr>
          <w:spacing w:val="-2"/>
          <w:sz w:val="24"/>
          <w:szCs w:val="24"/>
        </w:rPr>
        <w:t xml:space="preserve">FCC </w:t>
      </w:r>
      <w:r w:rsidR="009354CE">
        <w:rPr>
          <w:spacing w:val="-2"/>
          <w:sz w:val="24"/>
          <w:szCs w:val="24"/>
        </w:rPr>
        <w:t>15</w:t>
      </w:r>
      <w:r w:rsidR="0048448D" w:rsidRPr="00E144FD">
        <w:rPr>
          <w:spacing w:val="-2"/>
          <w:sz w:val="24"/>
          <w:szCs w:val="24"/>
        </w:rPr>
        <w:t>-</w:t>
      </w:r>
      <w:r w:rsidR="00867182">
        <w:rPr>
          <w:spacing w:val="-2"/>
          <w:sz w:val="24"/>
          <w:szCs w:val="24"/>
        </w:rPr>
        <w:t>1</w:t>
      </w:r>
      <w:r w:rsidR="009354CE">
        <w:rPr>
          <w:spacing w:val="-2"/>
          <w:sz w:val="24"/>
          <w:szCs w:val="24"/>
        </w:rPr>
        <w:t>41</w:t>
      </w:r>
    </w:p>
    <w:p w14:paraId="6BC9F085" w14:textId="77777777" w:rsidR="0082280C" w:rsidRPr="00E144FD" w:rsidRDefault="0082280C" w:rsidP="005D0346">
      <w:pPr>
        <w:jc w:val="center"/>
        <w:rPr>
          <w:sz w:val="24"/>
          <w:szCs w:val="24"/>
        </w:rPr>
      </w:pPr>
      <w:r w:rsidRPr="00E144FD">
        <w:rPr>
          <w:spacing w:val="-2"/>
          <w:sz w:val="24"/>
          <w:szCs w:val="24"/>
        </w:rPr>
        <w:t xml:space="preserve">Released </w:t>
      </w:r>
      <w:r w:rsidR="00867182">
        <w:rPr>
          <w:spacing w:val="-2"/>
          <w:sz w:val="24"/>
          <w:szCs w:val="24"/>
        </w:rPr>
        <w:t xml:space="preserve">October </w:t>
      </w:r>
      <w:r w:rsidR="009354CE">
        <w:rPr>
          <w:spacing w:val="-2"/>
          <w:sz w:val="24"/>
          <w:szCs w:val="24"/>
        </w:rPr>
        <w:t>26, 2015</w:t>
      </w:r>
    </w:p>
    <w:p w14:paraId="3D1D1DEB" w14:textId="77777777" w:rsidR="002E73C1" w:rsidRPr="00643FB4" w:rsidRDefault="002E73C1" w:rsidP="005D0346">
      <w:pPr>
        <w:rPr>
          <w:sz w:val="24"/>
          <w:szCs w:val="24"/>
        </w:rPr>
      </w:pPr>
    </w:p>
    <w:p w14:paraId="23A40ECB" w14:textId="77777777" w:rsidR="00607268" w:rsidRPr="00262313" w:rsidRDefault="00607268" w:rsidP="00607268">
      <w:pPr>
        <w:tabs>
          <w:tab w:val="left" w:pos="360"/>
        </w:tabs>
        <w:ind w:left="1080" w:right="648"/>
        <w:jc w:val="both"/>
        <w:rPr>
          <w:b/>
          <w:sz w:val="22"/>
          <w:szCs w:val="22"/>
        </w:rPr>
      </w:pPr>
      <w:r w:rsidRPr="00262313">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14:paraId="67D84EB2" w14:textId="77777777" w:rsidR="00607268" w:rsidRPr="00262313" w:rsidRDefault="00607268" w:rsidP="00607268">
      <w:pPr>
        <w:tabs>
          <w:tab w:val="left" w:pos="360"/>
        </w:tabs>
        <w:ind w:left="1080" w:right="720"/>
        <w:jc w:val="both"/>
        <w:rPr>
          <w:b/>
          <w:sz w:val="22"/>
          <w:szCs w:val="22"/>
        </w:rPr>
      </w:pPr>
    </w:p>
    <w:p w14:paraId="704FF168" w14:textId="77777777" w:rsidR="00607268" w:rsidRPr="00262313" w:rsidRDefault="00607268" w:rsidP="00607268">
      <w:pPr>
        <w:tabs>
          <w:tab w:val="left" w:pos="360"/>
        </w:tabs>
        <w:ind w:left="1080" w:right="720"/>
        <w:jc w:val="both"/>
        <w:rPr>
          <w:b/>
          <w:sz w:val="22"/>
          <w:szCs w:val="22"/>
        </w:rPr>
      </w:pPr>
      <w:r w:rsidRPr="00262313">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14:paraId="45ED0E74" w14:textId="77777777" w:rsidR="00607268" w:rsidRPr="00262313" w:rsidRDefault="00607268" w:rsidP="00607268">
      <w:pPr>
        <w:rPr>
          <w:b/>
          <w:sz w:val="22"/>
          <w:szCs w:val="22"/>
        </w:rPr>
      </w:pPr>
    </w:p>
    <w:p w14:paraId="1A8FA241" w14:textId="325052BB" w:rsidR="000719E1" w:rsidRPr="00262313" w:rsidRDefault="00607268" w:rsidP="00607268">
      <w:pPr>
        <w:jc w:val="center"/>
        <w:rPr>
          <w:b/>
          <w:color w:val="000000"/>
          <w:sz w:val="22"/>
          <w:szCs w:val="22"/>
        </w:rPr>
      </w:pPr>
      <w:r w:rsidRPr="00262313">
        <w:rPr>
          <w:b/>
          <w:color w:val="000000"/>
          <w:sz w:val="22"/>
          <w:szCs w:val="22"/>
        </w:rPr>
        <w:t>1</w:t>
      </w:r>
      <w:r>
        <w:rPr>
          <w:b/>
          <w:color w:val="000000"/>
          <w:sz w:val="22"/>
          <w:szCs w:val="22"/>
        </w:rPr>
        <w:t>-888-CALL-FCC (1-888-225-5322)</w:t>
      </w:r>
      <w:r w:rsidRPr="00262313">
        <w:rPr>
          <w:b/>
          <w:color w:val="000000"/>
          <w:sz w:val="22"/>
          <w:szCs w:val="22"/>
        </w:rPr>
        <w:br/>
        <w:t>TTY: 1-888-TELL-FCC  (1-888-835-5322)  </w:t>
      </w:r>
      <w:r w:rsidRPr="00262313">
        <w:rPr>
          <w:b/>
          <w:color w:val="000000"/>
          <w:sz w:val="22"/>
          <w:szCs w:val="22"/>
        </w:rPr>
        <w:br/>
        <w:t>Fax: 1-866-418-0232</w:t>
      </w:r>
    </w:p>
    <w:p w14:paraId="135054E8" w14:textId="77777777" w:rsidR="00606041" w:rsidRPr="00B0005A" w:rsidRDefault="000719E1" w:rsidP="00B0005A">
      <w:pPr>
        <w:spacing w:after="200" w:line="276" w:lineRule="auto"/>
        <w:ind w:left="720" w:firstLine="720"/>
        <w:rPr>
          <w:b/>
          <w:color w:val="0000FF"/>
          <w:sz w:val="22"/>
          <w:szCs w:val="22"/>
          <w:u w:val="single"/>
        </w:rPr>
      </w:pPr>
      <w:r>
        <w:rPr>
          <w:b/>
          <w:color w:val="0000FF"/>
          <w:sz w:val="24"/>
          <w:szCs w:val="24"/>
          <w:u w:val="single"/>
        </w:rPr>
        <w:br w:type="page"/>
      </w:r>
      <w:r w:rsidR="00B0005A">
        <w:rPr>
          <w:b/>
          <w:color w:val="0000FF"/>
          <w:sz w:val="24"/>
          <w:szCs w:val="24"/>
        </w:rPr>
        <w:lastRenderedPageBreak/>
        <w:t xml:space="preserve">                                   </w:t>
      </w:r>
      <w:r w:rsidR="00B0005A">
        <w:rPr>
          <w:b/>
          <w:sz w:val="22"/>
          <w:szCs w:val="22"/>
        </w:rPr>
        <w:t>TABLE OF CONTENTS</w:t>
      </w:r>
    </w:p>
    <w:p w14:paraId="0BD61217" w14:textId="77777777" w:rsidR="00606041" w:rsidRPr="00AC29B5" w:rsidRDefault="00663E6C" w:rsidP="00606041">
      <w:pPr>
        <w:pStyle w:val="Paratitle"/>
        <w:rPr>
          <w:b/>
          <w:szCs w:val="22"/>
        </w:rPr>
      </w:pPr>
      <w:r>
        <w:rPr>
          <w:b/>
          <w:szCs w:val="22"/>
        </w:rPr>
        <w:t xml:space="preserve">Heading                                                                                              </w:t>
      </w:r>
      <w:r w:rsidR="00441F1E">
        <w:rPr>
          <w:b/>
          <w:szCs w:val="22"/>
        </w:rPr>
        <w:t xml:space="preserve">  </w:t>
      </w:r>
      <w:r>
        <w:rPr>
          <w:b/>
          <w:szCs w:val="22"/>
        </w:rPr>
        <w:t xml:space="preserve">                                             </w:t>
      </w:r>
      <w:r w:rsidR="00C91D58">
        <w:rPr>
          <w:b/>
          <w:szCs w:val="22"/>
        </w:rPr>
        <w:t xml:space="preserve"> </w:t>
      </w:r>
      <w:r w:rsidR="00145642">
        <w:rPr>
          <w:b/>
          <w:szCs w:val="22"/>
        </w:rPr>
        <w:t xml:space="preserve">        </w:t>
      </w:r>
      <w:r w:rsidR="00606041" w:rsidRPr="00AC29B5">
        <w:rPr>
          <w:b/>
          <w:szCs w:val="22"/>
        </w:rPr>
        <w:t>Page #</w:t>
      </w:r>
      <w:bookmarkStart w:id="1" w:name="start_here"/>
      <w:bookmarkEnd w:id="1"/>
    </w:p>
    <w:p w14:paraId="2E80AC9C" w14:textId="77777777" w:rsidR="00AC29B5" w:rsidRDefault="00606041" w:rsidP="00AC29B5">
      <w:pPr>
        <w:pStyle w:val="TOC1"/>
        <w:spacing w:after="0"/>
        <w:rPr>
          <w:b/>
          <w:sz w:val="22"/>
          <w:szCs w:val="22"/>
        </w:rPr>
      </w:pPr>
      <w:r w:rsidRPr="00AC29B5">
        <w:rPr>
          <w:b/>
          <w:sz w:val="22"/>
          <w:szCs w:val="22"/>
        </w:rPr>
        <w:t>I.</w:t>
      </w:r>
      <w:r w:rsidRPr="00AC29B5">
        <w:rPr>
          <w:rFonts w:eastAsiaTheme="minorEastAsia"/>
          <w:b/>
          <w:sz w:val="22"/>
          <w:szCs w:val="22"/>
        </w:rPr>
        <w:tab/>
      </w:r>
      <w:r w:rsidRPr="00AC29B5">
        <w:rPr>
          <w:rFonts w:eastAsiaTheme="minorEastAsia"/>
          <w:b/>
          <w:caps/>
          <w:sz w:val="22"/>
          <w:szCs w:val="22"/>
        </w:rPr>
        <w:t>OBJECTIVES OF THE PROCEEDING</w:t>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00441F1E">
        <w:rPr>
          <w:b/>
          <w:sz w:val="22"/>
          <w:szCs w:val="22"/>
        </w:rPr>
        <w:t xml:space="preserve"> </w:t>
      </w:r>
      <w:r w:rsidR="00C91D58">
        <w:rPr>
          <w:b/>
          <w:sz w:val="22"/>
          <w:szCs w:val="22"/>
        </w:rPr>
        <w:t xml:space="preserve"> </w:t>
      </w:r>
      <w:r w:rsidR="00441F1E">
        <w:rPr>
          <w:b/>
          <w:sz w:val="22"/>
          <w:szCs w:val="22"/>
        </w:rPr>
        <w:t xml:space="preserve"> </w:t>
      </w:r>
      <w:r w:rsidR="00145642">
        <w:rPr>
          <w:b/>
          <w:sz w:val="22"/>
          <w:szCs w:val="22"/>
        </w:rPr>
        <w:t xml:space="preserve">       </w:t>
      </w:r>
      <w:r w:rsidR="00B0005A">
        <w:rPr>
          <w:b/>
          <w:sz w:val="22"/>
          <w:szCs w:val="22"/>
        </w:rPr>
        <w:t>2</w:t>
      </w:r>
    </w:p>
    <w:p w14:paraId="196AB59D" w14:textId="77777777" w:rsidR="00AC29B5" w:rsidRPr="00AC29B5" w:rsidRDefault="00AC29B5" w:rsidP="00AC29B5">
      <w:pPr>
        <w:rPr>
          <w:rFonts w:eastAsiaTheme="minorEastAsia"/>
        </w:rPr>
      </w:pPr>
    </w:p>
    <w:p w14:paraId="2DC612D1" w14:textId="77777777" w:rsidR="00AC29B5" w:rsidRDefault="00606041" w:rsidP="009E522C">
      <w:pPr>
        <w:pStyle w:val="TOC1"/>
        <w:spacing w:after="0"/>
        <w:rPr>
          <w:b/>
          <w:sz w:val="22"/>
          <w:szCs w:val="22"/>
        </w:rPr>
      </w:pPr>
      <w:r w:rsidRPr="00AC29B5">
        <w:rPr>
          <w:b/>
          <w:sz w:val="22"/>
          <w:szCs w:val="22"/>
        </w:rPr>
        <w:t>II.</w:t>
      </w:r>
      <w:r w:rsidRPr="00AC29B5">
        <w:rPr>
          <w:rFonts w:eastAsiaTheme="minorEastAsia"/>
          <w:b/>
          <w:sz w:val="22"/>
          <w:szCs w:val="22"/>
        </w:rPr>
        <w:tab/>
      </w:r>
      <w:r w:rsidRPr="00AC29B5">
        <w:rPr>
          <w:rFonts w:eastAsiaTheme="minorEastAsia"/>
          <w:b/>
          <w:caps/>
          <w:sz w:val="22"/>
          <w:szCs w:val="22"/>
        </w:rPr>
        <w:t xml:space="preserve">REGULATIONS AND POLICIES THAT THE COMMISSION ADOPTED OR </w:t>
      </w:r>
      <w:r w:rsidRPr="00AC29B5">
        <w:rPr>
          <w:rFonts w:eastAsiaTheme="minorEastAsia"/>
          <w:b/>
          <w:caps/>
          <w:sz w:val="22"/>
          <w:szCs w:val="22"/>
        </w:rPr>
        <w:tab/>
        <w:t>MODIFIED, I</w:t>
      </w:r>
      <w:r w:rsidRPr="00AC29B5">
        <w:rPr>
          <w:b/>
          <w:sz w:val="22"/>
          <w:szCs w:val="22"/>
        </w:rPr>
        <w:t xml:space="preserve">NCLUDING COMPLIANCE REQUIREMENTS </w:t>
      </w:r>
      <w:r w:rsidRPr="00AC29B5">
        <w:rPr>
          <w:b/>
          <w:sz w:val="22"/>
          <w:szCs w:val="22"/>
        </w:rPr>
        <w:tab/>
      </w:r>
      <w:r w:rsidR="009E522C">
        <w:rPr>
          <w:b/>
          <w:sz w:val="22"/>
          <w:szCs w:val="22"/>
        </w:rPr>
        <w:t xml:space="preserve">              </w:t>
      </w:r>
      <w:r w:rsidR="009E522C">
        <w:rPr>
          <w:b/>
          <w:sz w:val="22"/>
          <w:szCs w:val="22"/>
        </w:rPr>
        <w:tab/>
        <w:t xml:space="preserve">          </w:t>
      </w:r>
      <w:r w:rsidR="002E28D6">
        <w:rPr>
          <w:b/>
          <w:sz w:val="22"/>
          <w:szCs w:val="22"/>
        </w:rPr>
        <w:t>2</w:t>
      </w:r>
    </w:p>
    <w:p w14:paraId="22CC9A0B" w14:textId="77777777" w:rsidR="009E522C" w:rsidRDefault="009E522C" w:rsidP="009E522C"/>
    <w:p w14:paraId="1E3E61BA" w14:textId="77777777" w:rsidR="00C92EA6" w:rsidRPr="00C92EA6" w:rsidRDefault="00F71B16" w:rsidP="00C92EA6">
      <w:pPr>
        <w:pStyle w:val="ListParagraph"/>
        <w:numPr>
          <w:ilvl w:val="0"/>
          <w:numId w:val="19"/>
        </w:numPr>
        <w:rPr>
          <w:b/>
          <w:sz w:val="22"/>
          <w:szCs w:val="22"/>
        </w:rPr>
      </w:pPr>
      <w:r>
        <w:rPr>
          <w:b/>
          <w:sz w:val="22"/>
          <w:szCs w:val="22"/>
        </w:rPr>
        <w:t xml:space="preserve">Protecting Broadcast Television Stations in the 600 MHz Band From Inter-Service </w:t>
      </w:r>
      <w:r w:rsidR="00C92EA6" w:rsidRPr="00C92EA6">
        <w:rPr>
          <w:b/>
          <w:sz w:val="22"/>
          <w:szCs w:val="22"/>
        </w:rPr>
        <w:t>Int</w:t>
      </w:r>
      <w:r>
        <w:rPr>
          <w:b/>
          <w:sz w:val="22"/>
          <w:szCs w:val="22"/>
        </w:rPr>
        <w:t xml:space="preserve">erference                     </w:t>
      </w:r>
      <w:r w:rsidR="00C92EA6">
        <w:rPr>
          <w:b/>
          <w:sz w:val="22"/>
          <w:szCs w:val="22"/>
        </w:rPr>
        <w:t xml:space="preserve">                                                                                                  </w:t>
      </w:r>
      <w:r w:rsidR="00D72B10">
        <w:rPr>
          <w:b/>
          <w:sz w:val="22"/>
          <w:szCs w:val="22"/>
        </w:rPr>
        <w:t xml:space="preserve"> </w:t>
      </w:r>
      <w:r w:rsidR="00C92EA6">
        <w:rPr>
          <w:b/>
          <w:sz w:val="22"/>
          <w:szCs w:val="22"/>
        </w:rPr>
        <w:t xml:space="preserve">      3          </w:t>
      </w:r>
    </w:p>
    <w:p w14:paraId="5A37EC38" w14:textId="77777777" w:rsidR="00C92EA6" w:rsidRPr="00C92EA6" w:rsidRDefault="00C92EA6" w:rsidP="00C92EA6">
      <w:pPr>
        <w:pStyle w:val="ListParagraph"/>
        <w:ind w:left="1080"/>
        <w:rPr>
          <w:b/>
          <w:sz w:val="22"/>
          <w:szCs w:val="22"/>
        </w:rPr>
      </w:pPr>
    </w:p>
    <w:p w14:paraId="2E6DFD68" w14:textId="77777777" w:rsidR="00C92EA6" w:rsidRPr="00C92EA6" w:rsidRDefault="00F71B16" w:rsidP="00C92EA6">
      <w:pPr>
        <w:pStyle w:val="ListParagraph"/>
        <w:numPr>
          <w:ilvl w:val="0"/>
          <w:numId w:val="19"/>
        </w:numPr>
        <w:rPr>
          <w:b/>
          <w:sz w:val="22"/>
          <w:szCs w:val="22"/>
        </w:rPr>
      </w:pPr>
      <w:r>
        <w:rPr>
          <w:b/>
          <w:sz w:val="22"/>
          <w:szCs w:val="22"/>
        </w:rPr>
        <w:t xml:space="preserve">Protecting </w:t>
      </w:r>
      <w:r w:rsidR="00EB1C8A">
        <w:rPr>
          <w:b/>
          <w:sz w:val="22"/>
          <w:szCs w:val="22"/>
        </w:rPr>
        <w:t>Wireless Carriers i</w:t>
      </w:r>
      <w:r>
        <w:rPr>
          <w:b/>
          <w:sz w:val="22"/>
          <w:szCs w:val="22"/>
        </w:rPr>
        <w:t xml:space="preserve">n the 600 MHz Band From Inter-Service </w:t>
      </w:r>
      <w:r w:rsidRPr="00C92EA6">
        <w:rPr>
          <w:b/>
          <w:sz w:val="22"/>
          <w:szCs w:val="22"/>
        </w:rPr>
        <w:t>Int</w:t>
      </w:r>
      <w:r>
        <w:rPr>
          <w:b/>
          <w:sz w:val="22"/>
          <w:szCs w:val="22"/>
        </w:rPr>
        <w:t xml:space="preserve">erference  </w:t>
      </w:r>
      <w:r w:rsidR="00EB1C8A">
        <w:rPr>
          <w:b/>
          <w:sz w:val="22"/>
          <w:szCs w:val="22"/>
        </w:rPr>
        <w:t xml:space="preserve">  4</w:t>
      </w:r>
      <w:r>
        <w:rPr>
          <w:b/>
          <w:sz w:val="22"/>
          <w:szCs w:val="22"/>
        </w:rPr>
        <w:t xml:space="preserve">                                                                                                                           </w:t>
      </w:r>
      <w:r w:rsidR="00C92EA6">
        <w:rPr>
          <w:b/>
          <w:sz w:val="22"/>
          <w:szCs w:val="22"/>
        </w:rPr>
        <w:t xml:space="preserve">                                                                                 </w:t>
      </w:r>
      <w:r w:rsidR="00EB1C8A">
        <w:rPr>
          <w:b/>
          <w:sz w:val="22"/>
          <w:szCs w:val="22"/>
        </w:rPr>
        <w:t xml:space="preserve">                              </w:t>
      </w:r>
    </w:p>
    <w:p w14:paraId="4C9F492F" w14:textId="77777777" w:rsidR="00C92EA6" w:rsidRPr="009E522C" w:rsidRDefault="00C92EA6" w:rsidP="009E522C"/>
    <w:p w14:paraId="15C77814" w14:textId="77777777" w:rsidR="00E005C8" w:rsidRDefault="00E005C8" w:rsidP="00606041">
      <w:pPr>
        <w:pStyle w:val="TOC1"/>
        <w:spacing w:after="0"/>
        <w:rPr>
          <w:b/>
          <w:sz w:val="22"/>
          <w:szCs w:val="22"/>
        </w:rPr>
      </w:pPr>
      <w:r>
        <w:rPr>
          <w:b/>
          <w:sz w:val="22"/>
          <w:szCs w:val="22"/>
        </w:rPr>
        <w:t>III.</w:t>
      </w:r>
      <w:r>
        <w:rPr>
          <w:b/>
          <w:sz w:val="22"/>
          <w:szCs w:val="22"/>
        </w:rPr>
        <w:tab/>
      </w:r>
      <w:r w:rsidRPr="00AC29B5">
        <w:rPr>
          <w:b/>
          <w:sz w:val="22"/>
          <w:szCs w:val="22"/>
        </w:rPr>
        <w:t xml:space="preserve">RECORDKEEPING AND OTHER COMPLIANCE </w:t>
      </w:r>
      <w:r w:rsidRPr="00AC29B5">
        <w:rPr>
          <w:b/>
          <w:sz w:val="22"/>
          <w:szCs w:val="22"/>
        </w:rPr>
        <w:tab/>
        <w:t>REQUIREMENTS</w:t>
      </w:r>
      <w:r w:rsidR="009D467B">
        <w:rPr>
          <w:b/>
          <w:sz w:val="22"/>
          <w:szCs w:val="22"/>
        </w:rPr>
        <w:t xml:space="preserve">                             </w:t>
      </w:r>
      <w:r w:rsidR="00216934">
        <w:rPr>
          <w:b/>
          <w:sz w:val="22"/>
          <w:szCs w:val="22"/>
        </w:rPr>
        <w:t>5</w:t>
      </w:r>
    </w:p>
    <w:p w14:paraId="20564F3D" w14:textId="77777777" w:rsidR="00E005C8" w:rsidRPr="00D54493" w:rsidRDefault="00E005C8" w:rsidP="00D54493"/>
    <w:p w14:paraId="2A2AA4F0" w14:textId="77777777" w:rsidR="00606041" w:rsidRPr="00AC29B5" w:rsidRDefault="00606041" w:rsidP="00606041">
      <w:pPr>
        <w:pStyle w:val="TOC1"/>
        <w:spacing w:after="0"/>
        <w:rPr>
          <w:rFonts w:eastAsiaTheme="minorEastAsia"/>
          <w:b/>
          <w:caps/>
          <w:sz w:val="22"/>
          <w:szCs w:val="22"/>
        </w:rPr>
      </w:pPr>
      <w:r w:rsidRPr="00AC29B5">
        <w:rPr>
          <w:b/>
          <w:sz w:val="22"/>
          <w:szCs w:val="22"/>
        </w:rPr>
        <w:t>I</w:t>
      </w:r>
      <w:r w:rsidR="00E005C8">
        <w:rPr>
          <w:b/>
          <w:sz w:val="22"/>
          <w:szCs w:val="22"/>
        </w:rPr>
        <w:t>V</w:t>
      </w:r>
      <w:r w:rsidRPr="00AC29B5">
        <w:rPr>
          <w:b/>
          <w:sz w:val="22"/>
          <w:szCs w:val="22"/>
        </w:rPr>
        <w:t>.</w:t>
      </w:r>
      <w:r w:rsidRPr="00AC29B5">
        <w:rPr>
          <w:rFonts w:eastAsiaTheme="minorEastAsia"/>
          <w:b/>
          <w:sz w:val="22"/>
          <w:szCs w:val="22"/>
        </w:rPr>
        <w:tab/>
      </w:r>
      <w:r w:rsidRPr="00AC29B5">
        <w:rPr>
          <w:rFonts w:eastAsiaTheme="minorEastAsia"/>
          <w:b/>
          <w:caps/>
          <w:sz w:val="22"/>
          <w:szCs w:val="22"/>
        </w:rPr>
        <w:t>INTERNET LINKS</w:t>
      </w:r>
      <w:r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145642">
        <w:rPr>
          <w:b/>
          <w:sz w:val="22"/>
          <w:szCs w:val="22"/>
        </w:rPr>
        <w:t xml:space="preserve">        </w:t>
      </w:r>
      <w:r w:rsidR="00421B3A">
        <w:rPr>
          <w:b/>
          <w:sz w:val="22"/>
          <w:szCs w:val="22"/>
        </w:rPr>
        <w:t xml:space="preserve"> </w:t>
      </w:r>
      <w:r w:rsidR="00664898">
        <w:rPr>
          <w:b/>
          <w:sz w:val="22"/>
          <w:szCs w:val="22"/>
        </w:rPr>
        <w:t>5</w:t>
      </w:r>
    </w:p>
    <w:p w14:paraId="4106537E" w14:textId="77777777" w:rsidR="002E73C1" w:rsidRPr="0043709C" w:rsidRDefault="002E73C1" w:rsidP="00DE1586">
      <w:pPr>
        <w:pStyle w:val="ListParagraph"/>
        <w:numPr>
          <w:ilvl w:val="0"/>
          <w:numId w:val="4"/>
        </w:numPr>
        <w:rPr>
          <w:b/>
          <w:sz w:val="24"/>
          <w:szCs w:val="24"/>
        </w:rPr>
      </w:pPr>
      <w:r w:rsidRPr="0043709C">
        <w:rPr>
          <w:b/>
          <w:sz w:val="24"/>
          <w:szCs w:val="24"/>
          <w:highlight w:val="yellow"/>
          <w:u w:val="single"/>
        </w:rPr>
        <w:br w:type="page"/>
      </w:r>
      <w:r w:rsidRPr="0043709C">
        <w:rPr>
          <w:b/>
          <w:sz w:val="24"/>
          <w:szCs w:val="24"/>
        </w:rPr>
        <w:lastRenderedPageBreak/>
        <w:t>OBJECTIVES OF THE PROCEEDING</w:t>
      </w:r>
    </w:p>
    <w:p w14:paraId="2ABDED7B" w14:textId="77777777" w:rsidR="0043709C" w:rsidRPr="0043709C" w:rsidRDefault="0043709C" w:rsidP="0043709C">
      <w:pPr>
        <w:pStyle w:val="ListParagraph"/>
        <w:ind w:left="1080"/>
        <w:rPr>
          <w:b/>
          <w:sz w:val="24"/>
          <w:szCs w:val="24"/>
          <w:u w:val="single"/>
        </w:rPr>
      </w:pPr>
    </w:p>
    <w:p w14:paraId="534C3FF4" w14:textId="77777777" w:rsidR="00BE50C5" w:rsidRDefault="00BE50C5" w:rsidP="00BE50C5">
      <w:pPr>
        <w:pStyle w:val="ParaNum"/>
        <w:widowControl w:val="0"/>
        <w:numPr>
          <w:ilvl w:val="0"/>
          <w:numId w:val="0"/>
        </w:numPr>
        <w:spacing w:after="240"/>
        <w:ind w:left="86" w:firstLine="720"/>
        <w:rPr>
          <w:sz w:val="24"/>
          <w:szCs w:val="24"/>
        </w:rPr>
      </w:pPr>
      <w:r>
        <w:rPr>
          <w:sz w:val="24"/>
          <w:szCs w:val="24"/>
          <w:lang w:val="en-US"/>
        </w:rPr>
        <w:t xml:space="preserve">As explained in the </w:t>
      </w:r>
      <w:r>
        <w:rPr>
          <w:rFonts w:ascii="Melior" w:eastAsiaTheme="minorHAnsi" w:hAnsi="Melior" w:cs="Melior"/>
          <w:sz w:val="24"/>
          <w:szCs w:val="24"/>
        </w:rPr>
        <w:t xml:space="preserve">initial </w:t>
      </w:r>
      <w:r w:rsidRPr="00B517B2">
        <w:rPr>
          <w:rFonts w:ascii="Melior" w:eastAsiaTheme="minorHAnsi" w:hAnsi="Melior" w:cs="Melior"/>
          <w:i/>
          <w:sz w:val="24"/>
          <w:szCs w:val="24"/>
        </w:rPr>
        <w:t>Report and Order</w:t>
      </w:r>
      <w:r>
        <w:rPr>
          <w:rFonts w:ascii="Melior" w:eastAsiaTheme="minorHAnsi" w:hAnsi="Melior" w:cs="Melior"/>
          <w:sz w:val="24"/>
          <w:szCs w:val="24"/>
        </w:rPr>
        <w:t xml:space="preserve"> in GN Docket No. 12-268 </w:t>
      </w:r>
      <w:r>
        <w:rPr>
          <w:rFonts w:ascii="Melior-Italic" w:eastAsiaTheme="minorHAnsi" w:hAnsi="Melior-Italic" w:cs="Melior-Italic"/>
          <w:i/>
          <w:iCs/>
          <w:sz w:val="24"/>
          <w:szCs w:val="24"/>
        </w:rPr>
        <w:t>(Incentive Auction R&amp;O</w:t>
      </w:r>
      <w:r>
        <w:rPr>
          <w:rFonts w:ascii="Melior" w:eastAsiaTheme="minorHAnsi" w:hAnsi="Melior" w:cs="Melior"/>
          <w:sz w:val="24"/>
          <w:szCs w:val="24"/>
        </w:rPr>
        <w:t>),</w:t>
      </w:r>
      <w:r>
        <w:rPr>
          <w:rStyle w:val="FootnoteReference"/>
          <w:szCs w:val="24"/>
        </w:rPr>
        <w:footnoteReference w:id="1"/>
      </w:r>
      <w:r>
        <w:rPr>
          <w:rFonts w:ascii="Melior" w:eastAsiaTheme="minorHAnsi" w:hAnsi="Melior" w:cs="Melior"/>
          <w:sz w:val="24"/>
          <w:szCs w:val="24"/>
        </w:rPr>
        <w:t xml:space="preserve"> </w:t>
      </w:r>
      <w:r>
        <w:rPr>
          <w:rFonts w:ascii="Melior" w:eastAsiaTheme="minorHAnsi" w:hAnsi="Melior" w:cs="Melior"/>
          <w:sz w:val="24"/>
          <w:szCs w:val="24"/>
          <w:lang w:val="en-US"/>
        </w:rPr>
        <w:t xml:space="preserve">full </w:t>
      </w:r>
      <w:r w:rsidRPr="009E7E9D">
        <w:rPr>
          <w:sz w:val="24"/>
          <w:szCs w:val="24"/>
        </w:rPr>
        <w:t xml:space="preserve">power and Class A television broadcasters will have </w:t>
      </w:r>
      <w:r>
        <w:rPr>
          <w:sz w:val="24"/>
          <w:szCs w:val="24"/>
          <w:lang w:val="en-US"/>
        </w:rPr>
        <w:t>a</w:t>
      </w:r>
      <w:r w:rsidRPr="009E7E9D">
        <w:rPr>
          <w:sz w:val="24"/>
          <w:szCs w:val="24"/>
        </w:rPr>
        <w:t xml:space="preserve"> unique financial opportunity in the “reverse auction” phase </w:t>
      </w:r>
      <w:r>
        <w:rPr>
          <w:sz w:val="24"/>
          <w:szCs w:val="24"/>
          <w:lang w:val="en-US"/>
        </w:rPr>
        <w:t xml:space="preserve">of the forthcoming </w:t>
      </w:r>
      <w:r w:rsidR="000F3CEF">
        <w:rPr>
          <w:sz w:val="24"/>
          <w:szCs w:val="24"/>
          <w:lang w:val="en-US"/>
        </w:rPr>
        <w:t>600 MHz Band</w:t>
      </w:r>
      <w:r>
        <w:rPr>
          <w:sz w:val="24"/>
          <w:szCs w:val="24"/>
          <w:lang w:val="en-US"/>
        </w:rPr>
        <w:t xml:space="preserve"> incentive auction </w:t>
      </w:r>
      <w:r w:rsidRPr="009E7E9D">
        <w:rPr>
          <w:sz w:val="24"/>
          <w:szCs w:val="24"/>
        </w:rPr>
        <w:t xml:space="preserve">to return some or all of their broadcast spectrum usage rights in exchange for incentive payments.  A broadcaster’s decision to participate in the reverse auction </w:t>
      </w:r>
      <w:r>
        <w:rPr>
          <w:sz w:val="24"/>
          <w:szCs w:val="24"/>
          <w:lang w:val="en-US"/>
        </w:rPr>
        <w:t>will be</w:t>
      </w:r>
      <w:r w:rsidRPr="009E7E9D">
        <w:rPr>
          <w:sz w:val="24"/>
          <w:szCs w:val="24"/>
        </w:rPr>
        <w:t xml:space="preserve"> wholly voluntary.  By facilitating th</w:t>
      </w:r>
      <w:r>
        <w:rPr>
          <w:sz w:val="24"/>
          <w:szCs w:val="24"/>
          <w:lang w:val="en-US"/>
        </w:rPr>
        <w:t>is</w:t>
      </w:r>
      <w:r w:rsidRPr="009E7E9D">
        <w:rPr>
          <w:sz w:val="24"/>
          <w:szCs w:val="24"/>
        </w:rPr>
        <w:t xml:space="preserve"> voluntary return of spectrum usage rights and reorganizing the broadcast television bands, the Commission can recover a portion of ultra-high frequency (“UHF”) spectrum in the 600 MHz </w:t>
      </w:r>
      <w:r w:rsidR="000F3CEF">
        <w:rPr>
          <w:sz w:val="24"/>
          <w:szCs w:val="24"/>
          <w:lang w:val="en-US"/>
        </w:rPr>
        <w:t>B</w:t>
      </w:r>
      <w:r w:rsidRPr="009E7E9D">
        <w:rPr>
          <w:sz w:val="24"/>
          <w:szCs w:val="24"/>
        </w:rPr>
        <w:t xml:space="preserve">and currently used for television broadcasting for a “forward auction” of new, flexible-use licenses suitable for providing mobile broadband services.  </w:t>
      </w:r>
    </w:p>
    <w:p w14:paraId="2F3E5D4A" w14:textId="77777777" w:rsidR="00BE50C5" w:rsidRDefault="00BD1D30" w:rsidP="005D1387">
      <w:pPr>
        <w:pStyle w:val="ParaNum"/>
        <w:widowControl w:val="0"/>
        <w:numPr>
          <w:ilvl w:val="0"/>
          <w:numId w:val="0"/>
        </w:numPr>
        <w:spacing w:after="240"/>
        <w:ind w:left="86" w:firstLine="720"/>
        <w:rPr>
          <w:rFonts w:eastAsiaTheme="minorHAnsi"/>
          <w:sz w:val="24"/>
          <w:szCs w:val="24"/>
          <w:lang w:val="en-US"/>
        </w:rPr>
      </w:pPr>
      <w:r w:rsidRPr="002D15FE">
        <w:rPr>
          <w:sz w:val="24"/>
          <w:szCs w:val="24"/>
        </w:rPr>
        <w:t xml:space="preserve">In the </w:t>
      </w:r>
      <w:r w:rsidRPr="002D15FE">
        <w:rPr>
          <w:i/>
          <w:sz w:val="24"/>
          <w:szCs w:val="24"/>
        </w:rPr>
        <w:t>Second Report and Order and Further Notice of Proposed Rulemaking</w:t>
      </w:r>
      <w:r w:rsidRPr="002D15FE">
        <w:rPr>
          <w:sz w:val="24"/>
          <w:szCs w:val="24"/>
          <w:lang w:val="en-US"/>
        </w:rPr>
        <w:t xml:space="preserve"> </w:t>
      </w:r>
      <w:r w:rsidRPr="002D15FE">
        <w:rPr>
          <w:sz w:val="24"/>
          <w:szCs w:val="24"/>
        </w:rPr>
        <w:t>in GN Docket No. 12-268 and ET Docket Nos. 13-26 and 14-14</w:t>
      </w:r>
      <w:r w:rsidRPr="002D15FE">
        <w:rPr>
          <w:sz w:val="24"/>
          <w:szCs w:val="24"/>
          <w:lang w:val="en-US"/>
        </w:rPr>
        <w:t xml:space="preserve"> </w:t>
      </w:r>
      <w:r w:rsidRPr="002D15FE">
        <w:rPr>
          <w:sz w:val="24"/>
          <w:szCs w:val="24"/>
        </w:rPr>
        <w:t>(</w:t>
      </w:r>
      <w:r w:rsidRPr="002D15FE">
        <w:rPr>
          <w:i/>
          <w:sz w:val="24"/>
          <w:szCs w:val="24"/>
        </w:rPr>
        <w:t>ISIX R&amp;O/ISIX Further Notice</w:t>
      </w:r>
      <w:r w:rsidRPr="002D15FE">
        <w:rPr>
          <w:sz w:val="24"/>
          <w:szCs w:val="24"/>
          <w:lang w:val="en-US"/>
        </w:rPr>
        <w:t>),</w:t>
      </w:r>
      <w:r w:rsidR="00865282" w:rsidRPr="002D15FE">
        <w:rPr>
          <w:rStyle w:val="FootnoteReference"/>
          <w:sz w:val="24"/>
          <w:szCs w:val="24"/>
        </w:rPr>
        <w:footnoteReference w:id="2"/>
      </w:r>
      <w:r w:rsidRPr="002D15FE">
        <w:rPr>
          <w:sz w:val="24"/>
          <w:szCs w:val="24"/>
        </w:rPr>
        <w:t xml:space="preserve"> the Commission </w:t>
      </w:r>
      <w:r w:rsidR="002D15FE" w:rsidRPr="002D15FE">
        <w:rPr>
          <w:sz w:val="24"/>
          <w:szCs w:val="24"/>
        </w:rPr>
        <w:t>propose</w:t>
      </w:r>
      <w:r w:rsidR="002D15FE" w:rsidRPr="002D15FE">
        <w:rPr>
          <w:sz w:val="24"/>
          <w:szCs w:val="24"/>
          <w:lang w:val="en-US"/>
        </w:rPr>
        <w:t>d</w:t>
      </w:r>
      <w:r w:rsidR="002D15FE" w:rsidRPr="002D15FE">
        <w:rPr>
          <w:sz w:val="24"/>
          <w:szCs w:val="24"/>
        </w:rPr>
        <w:t xml:space="preserve"> a post-auction inter-service interference methodology</w:t>
      </w:r>
      <w:r w:rsidR="00035D98">
        <w:rPr>
          <w:sz w:val="24"/>
          <w:szCs w:val="24"/>
          <w:lang w:val="en-US"/>
        </w:rPr>
        <w:t xml:space="preserve"> </w:t>
      </w:r>
      <w:r w:rsidR="002D15FE" w:rsidRPr="002D15FE">
        <w:rPr>
          <w:sz w:val="24"/>
          <w:szCs w:val="24"/>
        </w:rPr>
        <w:t>and input values, as well as protection standards for any television stations and new 600 MHz Band wireless services on co- or adjacent-channel frequencies in nearby areas</w:t>
      </w:r>
      <w:r w:rsidR="00735F17" w:rsidRPr="002D15FE">
        <w:rPr>
          <w:sz w:val="24"/>
          <w:szCs w:val="24"/>
          <w:lang w:val="en-US"/>
        </w:rPr>
        <w:t>.</w:t>
      </w:r>
      <w:r w:rsidR="00735F17">
        <w:rPr>
          <w:sz w:val="24"/>
          <w:szCs w:val="24"/>
          <w:lang w:val="en-US"/>
        </w:rPr>
        <w:t xml:space="preserve">  </w:t>
      </w:r>
      <w:r w:rsidR="00302015" w:rsidRPr="005D1387">
        <w:rPr>
          <w:sz w:val="24"/>
          <w:szCs w:val="24"/>
        </w:rPr>
        <w:t xml:space="preserve">In the </w:t>
      </w:r>
      <w:r w:rsidR="00F420BA" w:rsidRPr="005D1387">
        <w:rPr>
          <w:i/>
          <w:sz w:val="24"/>
          <w:szCs w:val="24"/>
          <w:lang w:val="en-US"/>
        </w:rPr>
        <w:t>Third</w:t>
      </w:r>
      <w:r w:rsidR="00391DC0" w:rsidRPr="005D1387">
        <w:rPr>
          <w:i/>
          <w:sz w:val="24"/>
          <w:szCs w:val="24"/>
        </w:rPr>
        <w:t xml:space="preserve"> R</w:t>
      </w:r>
      <w:r w:rsidR="00302015" w:rsidRPr="005D1387">
        <w:rPr>
          <w:i/>
          <w:sz w:val="24"/>
          <w:szCs w:val="24"/>
        </w:rPr>
        <w:t>eport and Orde</w:t>
      </w:r>
      <w:r w:rsidR="00F420BA" w:rsidRPr="005D1387">
        <w:rPr>
          <w:i/>
          <w:sz w:val="24"/>
          <w:szCs w:val="24"/>
          <w:lang w:val="en-US"/>
        </w:rPr>
        <w:t>r and Fi</w:t>
      </w:r>
      <w:r w:rsidR="00302015" w:rsidRPr="005D1387">
        <w:rPr>
          <w:i/>
          <w:sz w:val="24"/>
          <w:szCs w:val="24"/>
        </w:rPr>
        <w:t>r</w:t>
      </w:r>
      <w:r w:rsidR="00F420BA" w:rsidRPr="005D1387">
        <w:rPr>
          <w:i/>
          <w:sz w:val="24"/>
          <w:szCs w:val="24"/>
          <w:lang w:val="en-US"/>
        </w:rPr>
        <w:t>st Reconsideration Order</w:t>
      </w:r>
      <w:r w:rsidR="00302015" w:rsidRPr="005D1387">
        <w:rPr>
          <w:i/>
          <w:sz w:val="24"/>
          <w:szCs w:val="24"/>
        </w:rPr>
        <w:t xml:space="preserve"> </w:t>
      </w:r>
      <w:r w:rsidR="009F4570" w:rsidRPr="005D1387">
        <w:rPr>
          <w:sz w:val="24"/>
          <w:szCs w:val="24"/>
        </w:rPr>
        <w:t xml:space="preserve">in </w:t>
      </w:r>
      <w:r w:rsidR="0048448D" w:rsidRPr="005D1387">
        <w:rPr>
          <w:sz w:val="24"/>
          <w:szCs w:val="24"/>
        </w:rPr>
        <w:t>GN</w:t>
      </w:r>
      <w:r w:rsidR="009F4570" w:rsidRPr="005D1387">
        <w:rPr>
          <w:sz w:val="24"/>
          <w:szCs w:val="24"/>
        </w:rPr>
        <w:t xml:space="preserve"> Docket No. 12-</w:t>
      </w:r>
      <w:r w:rsidR="00490863" w:rsidRPr="005D1387">
        <w:rPr>
          <w:sz w:val="24"/>
          <w:szCs w:val="24"/>
        </w:rPr>
        <w:t>2</w:t>
      </w:r>
      <w:r w:rsidR="0048448D" w:rsidRPr="005D1387">
        <w:rPr>
          <w:sz w:val="24"/>
          <w:szCs w:val="24"/>
        </w:rPr>
        <w:t>68</w:t>
      </w:r>
      <w:r w:rsidR="00027934" w:rsidRPr="005D1387">
        <w:rPr>
          <w:sz w:val="24"/>
          <w:szCs w:val="24"/>
        </w:rPr>
        <w:t xml:space="preserve"> </w:t>
      </w:r>
      <w:r w:rsidR="00391DC0" w:rsidRPr="005D1387">
        <w:rPr>
          <w:sz w:val="24"/>
          <w:szCs w:val="24"/>
        </w:rPr>
        <w:t xml:space="preserve">and ET Docket Nos. 13-26 and </w:t>
      </w:r>
      <w:r w:rsidR="004E1669">
        <w:rPr>
          <w:sz w:val="24"/>
          <w:szCs w:val="24"/>
          <w:lang w:val="en-US"/>
        </w:rPr>
        <w:t xml:space="preserve">   </w:t>
      </w:r>
      <w:r w:rsidR="00391DC0" w:rsidRPr="005D1387">
        <w:rPr>
          <w:sz w:val="24"/>
          <w:szCs w:val="24"/>
        </w:rPr>
        <w:t>14-14</w:t>
      </w:r>
      <w:r w:rsidR="007F3CE5">
        <w:rPr>
          <w:sz w:val="24"/>
          <w:szCs w:val="24"/>
          <w:lang w:val="en-US"/>
        </w:rPr>
        <w:t xml:space="preserve"> (</w:t>
      </w:r>
      <w:r w:rsidR="005E5C66">
        <w:rPr>
          <w:sz w:val="24"/>
          <w:szCs w:val="24"/>
          <w:lang w:val="en-US"/>
        </w:rPr>
        <w:t>the “</w:t>
      </w:r>
      <w:r w:rsidR="007F3CE5">
        <w:rPr>
          <w:sz w:val="24"/>
          <w:szCs w:val="24"/>
          <w:lang w:val="en-US"/>
        </w:rPr>
        <w:t>Order</w:t>
      </w:r>
      <w:r w:rsidR="005E5C66">
        <w:rPr>
          <w:sz w:val="24"/>
          <w:szCs w:val="24"/>
          <w:lang w:val="en-US"/>
        </w:rPr>
        <w:t>”</w:t>
      </w:r>
      <w:r w:rsidR="007F3CE5">
        <w:rPr>
          <w:sz w:val="24"/>
          <w:szCs w:val="24"/>
          <w:lang w:val="en-US"/>
        </w:rPr>
        <w:t>)</w:t>
      </w:r>
      <w:r w:rsidR="0048448D" w:rsidRPr="005D1387">
        <w:rPr>
          <w:sz w:val="24"/>
          <w:szCs w:val="24"/>
        </w:rPr>
        <w:t>,</w:t>
      </w:r>
      <w:r w:rsidR="00AA46D6" w:rsidRPr="005D1387">
        <w:rPr>
          <w:rStyle w:val="FootnoteReference"/>
          <w:sz w:val="24"/>
          <w:szCs w:val="24"/>
        </w:rPr>
        <w:footnoteReference w:id="3"/>
      </w:r>
      <w:r w:rsidR="00AA46D6" w:rsidRPr="005D1387">
        <w:rPr>
          <w:rStyle w:val="CommentReference"/>
          <w:sz w:val="24"/>
          <w:szCs w:val="24"/>
        </w:rPr>
        <w:t xml:space="preserve"> </w:t>
      </w:r>
      <w:r w:rsidR="00302015" w:rsidRPr="005D1387">
        <w:rPr>
          <w:sz w:val="24"/>
          <w:szCs w:val="24"/>
        </w:rPr>
        <w:t xml:space="preserve">the Commission </w:t>
      </w:r>
      <w:r w:rsidR="005D1387" w:rsidRPr="005D1387">
        <w:rPr>
          <w:rFonts w:eastAsiaTheme="minorHAnsi"/>
          <w:sz w:val="24"/>
          <w:szCs w:val="24"/>
        </w:rPr>
        <w:t xml:space="preserve">adopted the </w:t>
      </w:r>
      <w:r w:rsidR="00000183">
        <w:rPr>
          <w:rFonts w:eastAsiaTheme="minorHAnsi"/>
          <w:sz w:val="24"/>
          <w:szCs w:val="24"/>
          <w:lang w:val="en-US"/>
        </w:rPr>
        <w:t>interference m</w:t>
      </w:r>
      <w:r w:rsidR="005D1387" w:rsidRPr="005D1387">
        <w:rPr>
          <w:rFonts w:eastAsiaTheme="minorHAnsi"/>
          <w:sz w:val="24"/>
          <w:szCs w:val="24"/>
        </w:rPr>
        <w:t>ethodology</w:t>
      </w:r>
      <w:r w:rsidR="005D1387" w:rsidRPr="005D1387">
        <w:rPr>
          <w:rFonts w:eastAsiaTheme="minorHAnsi"/>
          <w:sz w:val="24"/>
          <w:szCs w:val="24"/>
          <w:lang w:val="en-US"/>
        </w:rPr>
        <w:t xml:space="preserve"> </w:t>
      </w:r>
      <w:r w:rsidR="005D1387" w:rsidRPr="005D1387">
        <w:rPr>
          <w:rFonts w:eastAsiaTheme="minorHAnsi"/>
          <w:sz w:val="24"/>
          <w:szCs w:val="24"/>
        </w:rPr>
        <w:t>and the regulatory framework for the</w:t>
      </w:r>
      <w:r w:rsidR="005D1387" w:rsidRPr="005D1387">
        <w:rPr>
          <w:rFonts w:eastAsiaTheme="minorHAnsi"/>
          <w:sz w:val="24"/>
          <w:szCs w:val="24"/>
          <w:lang w:val="en-US"/>
        </w:rPr>
        <w:t xml:space="preserve"> </w:t>
      </w:r>
      <w:r w:rsidR="005D1387" w:rsidRPr="005D1387">
        <w:rPr>
          <w:rFonts w:eastAsiaTheme="minorHAnsi"/>
          <w:sz w:val="24"/>
          <w:szCs w:val="24"/>
        </w:rPr>
        <w:t xml:space="preserve">protection of both wireless </w:t>
      </w:r>
      <w:r w:rsidR="00AF6E93">
        <w:rPr>
          <w:rFonts w:eastAsiaTheme="minorHAnsi"/>
          <w:sz w:val="24"/>
          <w:szCs w:val="24"/>
          <w:lang w:val="en-US"/>
        </w:rPr>
        <w:t>carriers</w:t>
      </w:r>
      <w:r w:rsidR="005D1387" w:rsidRPr="005D1387">
        <w:rPr>
          <w:rFonts w:eastAsiaTheme="minorHAnsi"/>
          <w:sz w:val="24"/>
          <w:szCs w:val="24"/>
        </w:rPr>
        <w:t xml:space="preserve"> and</w:t>
      </w:r>
      <w:r w:rsidR="005D1387" w:rsidRPr="005D1387">
        <w:rPr>
          <w:rFonts w:eastAsiaTheme="minorHAnsi"/>
          <w:sz w:val="24"/>
          <w:szCs w:val="24"/>
          <w:lang w:val="en-US"/>
        </w:rPr>
        <w:t xml:space="preserve"> </w:t>
      </w:r>
      <w:r w:rsidR="007F7563">
        <w:rPr>
          <w:rFonts w:eastAsiaTheme="minorHAnsi"/>
          <w:sz w:val="24"/>
          <w:szCs w:val="24"/>
          <w:lang w:val="en-US"/>
        </w:rPr>
        <w:t xml:space="preserve">TV </w:t>
      </w:r>
      <w:r w:rsidR="005D1387" w:rsidRPr="005D1387">
        <w:rPr>
          <w:rFonts w:eastAsiaTheme="minorHAnsi"/>
          <w:sz w:val="24"/>
          <w:szCs w:val="24"/>
        </w:rPr>
        <w:t>broadcast</w:t>
      </w:r>
      <w:r w:rsidR="00AF6E93">
        <w:rPr>
          <w:rFonts w:eastAsiaTheme="minorHAnsi"/>
          <w:sz w:val="24"/>
          <w:szCs w:val="24"/>
          <w:lang w:val="en-US"/>
        </w:rPr>
        <w:t>ers</w:t>
      </w:r>
      <w:r w:rsidR="007F7563">
        <w:rPr>
          <w:rFonts w:eastAsiaTheme="minorHAnsi"/>
          <w:sz w:val="24"/>
          <w:szCs w:val="24"/>
          <w:lang w:val="en-US"/>
        </w:rPr>
        <w:t xml:space="preserve"> </w:t>
      </w:r>
      <w:r w:rsidR="005D1387" w:rsidRPr="005D1387">
        <w:rPr>
          <w:rFonts w:eastAsiaTheme="minorHAnsi"/>
          <w:sz w:val="24"/>
          <w:szCs w:val="24"/>
        </w:rPr>
        <w:t>in the post-auction</w:t>
      </w:r>
      <w:r w:rsidR="005D1387" w:rsidRPr="005D1387">
        <w:rPr>
          <w:rFonts w:eastAsiaTheme="minorHAnsi"/>
          <w:sz w:val="24"/>
          <w:szCs w:val="24"/>
          <w:lang w:val="en-US"/>
        </w:rPr>
        <w:t xml:space="preserve"> </w:t>
      </w:r>
      <w:r w:rsidR="005D1387" w:rsidRPr="005D1387">
        <w:rPr>
          <w:rFonts w:eastAsiaTheme="minorHAnsi"/>
          <w:sz w:val="24"/>
          <w:szCs w:val="24"/>
        </w:rPr>
        <w:t xml:space="preserve">environment that </w:t>
      </w:r>
      <w:r w:rsidR="00664898">
        <w:rPr>
          <w:rFonts w:eastAsiaTheme="minorHAnsi"/>
          <w:sz w:val="24"/>
          <w:szCs w:val="24"/>
          <w:lang w:val="en-US"/>
        </w:rPr>
        <w:t xml:space="preserve">it </w:t>
      </w:r>
      <w:r w:rsidR="005D1387" w:rsidRPr="005D1387">
        <w:rPr>
          <w:rFonts w:eastAsiaTheme="minorHAnsi"/>
          <w:sz w:val="24"/>
          <w:szCs w:val="24"/>
        </w:rPr>
        <w:t xml:space="preserve">proposed in </w:t>
      </w:r>
      <w:r w:rsidR="00865282">
        <w:rPr>
          <w:rFonts w:eastAsiaTheme="minorHAnsi"/>
          <w:sz w:val="24"/>
          <w:szCs w:val="24"/>
          <w:lang w:val="en-US"/>
        </w:rPr>
        <w:t xml:space="preserve">the </w:t>
      </w:r>
      <w:r w:rsidR="00865282" w:rsidRPr="008E7A5F">
        <w:rPr>
          <w:i/>
          <w:sz w:val="24"/>
          <w:szCs w:val="24"/>
        </w:rPr>
        <w:t>ISIX Further Notice</w:t>
      </w:r>
      <w:r w:rsidR="005D1387" w:rsidRPr="005D1387">
        <w:rPr>
          <w:rFonts w:eastAsiaTheme="minorHAnsi"/>
          <w:sz w:val="24"/>
          <w:szCs w:val="24"/>
        </w:rPr>
        <w:t xml:space="preserve">. </w:t>
      </w:r>
      <w:r w:rsidR="007F7563">
        <w:rPr>
          <w:rFonts w:eastAsiaTheme="minorHAnsi"/>
          <w:sz w:val="24"/>
          <w:szCs w:val="24"/>
          <w:lang w:val="en-US"/>
        </w:rPr>
        <w:t xml:space="preserve"> </w:t>
      </w:r>
    </w:p>
    <w:p w14:paraId="068DBE12" w14:textId="77777777" w:rsidR="00C91B05" w:rsidRDefault="00B62588" w:rsidP="00345DB5">
      <w:pPr>
        <w:pStyle w:val="ParaNum"/>
        <w:widowControl w:val="0"/>
        <w:numPr>
          <w:ilvl w:val="0"/>
          <w:numId w:val="0"/>
        </w:numPr>
        <w:spacing w:after="0"/>
        <w:ind w:left="86" w:firstLine="720"/>
        <w:rPr>
          <w:rFonts w:eastAsiaTheme="minorHAnsi"/>
          <w:sz w:val="24"/>
          <w:szCs w:val="24"/>
          <w:lang w:val="en-US"/>
        </w:rPr>
      </w:pPr>
      <w:r>
        <w:rPr>
          <w:rFonts w:eastAsiaTheme="minorHAnsi"/>
          <w:sz w:val="24"/>
          <w:szCs w:val="24"/>
          <w:lang w:val="en-US"/>
        </w:rPr>
        <w:t>Th</w:t>
      </w:r>
      <w:r w:rsidR="007F09C0">
        <w:rPr>
          <w:rFonts w:eastAsiaTheme="minorHAnsi"/>
          <w:sz w:val="24"/>
          <w:szCs w:val="24"/>
          <w:lang w:val="en-US"/>
        </w:rPr>
        <w:t xml:space="preserve">is </w:t>
      </w:r>
      <w:r w:rsidR="002D15FE">
        <w:rPr>
          <w:rFonts w:eastAsiaTheme="minorHAnsi"/>
          <w:sz w:val="24"/>
          <w:szCs w:val="24"/>
          <w:lang w:val="en-US"/>
        </w:rPr>
        <w:t>framework</w:t>
      </w:r>
      <w:r>
        <w:rPr>
          <w:rFonts w:eastAsiaTheme="minorHAnsi"/>
          <w:sz w:val="24"/>
          <w:szCs w:val="24"/>
          <w:lang w:val="en-US"/>
        </w:rPr>
        <w:t xml:space="preserve"> will </w:t>
      </w:r>
      <w:r w:rsidR="007F09C0">
        <w:rPr>
          <w:rFonts w:eastAsiaTheme="minorHAnsi"/>
          <w:sz w:val="24"/>
          <w:szCs w:val="24"/>
          <w:lang w:val="en-US"/>
        </w:rPr>
        <w:t xml:space="preserve">facilitate </w:t>
      </w:r>
      <w:r w:rsidR="005D148A">
        <w:rPr>
          <w:rFonts w:eastAsiaTheme="minorHAnsi"/>
          <w:sz w:val="24"/>
          <w:szCs w:val="24"/>
          <w:lang w:val="en-US"/>
        </w:rPr>
        <w:t xml:space="preserve">efficient </w:t>
      </w:r>
      <w:r>
        <w:rPr>
          <w:rFonts w:eastAsiaTheme="minorHAnsi"/>
          <w:sz w:val="24"/>
          <w:szCs w:val="24"/>
          <w:lang w:val="en-US"/>
        </w:rPr>
        <w:t xml:space="preserve">broadcast/wireless use of </w:t>
      </w:r>
      <w:r w:rsidR="005D148A">
        <w:rPr>
          <w:rFonts w:eastAsiaTheme="minorHAnsi"/>
          <w:sz w:val="24"/>
          <w:szCs w:val="24"/>
          <w:lang w:val="en-US"/>
        </w:rPr>
        <w:t xml:space="preserve">the </w:t>
      </w:r>
      <w:r w:rsidR="007708D7">
        <w:rPr>
          <w:rFonts w:eastAsiaTheme="minorHAnsi"/>
          <w:sz w:val="24"/>
          <w:szCs w:val="24"/>
          <w:lang w:val="en-US"/>
        </w:rPr>
        <w:t xml:space="preserve">600 MHz Band </w:t>
      </w:r>
      <w:r w:rsidR="00C91B05">
        <w:rPr>
          <w:rFonts w:eastAsiaTheme="minorHAnsi"/>
          <w:sz w:val="24"/>
          <w:szCs w:val="24"/>
        </w:rPr>
        <w:t>where th</w:t>
      </w:r>
      <w:r w:rsidR="00C91B05">
        <w:rPr>
          <w:rFonts w:eastAsiaTheme="minorHAnsi"/>
          <w:sz w:val="24"/>
          <w:szCs w:val="24"/>
          <w:lang w:val="en-US"/>
        </w:rPr>
        <w:t>ose</w:t>
      </w:r>
      <w:r w:rsidR="00C91B05">
        <w:rPr>
          <w:rFonts w:eastAsiaTheme="minorHAnsi"/>
          <w:sz w:val="24"/>
          <w:szCs w:val="24"/>
        </w:rPr>
        <w:t xml:space="preserve"> two different types of </w:t>
      </w:r>
      <w:r w:rsidR="00AB1F79">
        <w:rPr>
          <w:rFonts w:eastAsiaTheme="minorHAnsi"/>
          <w:sz w:val="24"/>
          <w:szCs w:val="24"/>
          <w:lang w:val="en-US"/>
        </w:rPr>
        <w:t>user</w:t>
      </w:r>
      <w:r w:rsidR="00C91B05" w:rsidRPr="005D1387">
        <w:rPr>
          <w:rFonts w:eastAsiaTheme="minorHAnsi"/>
          <w:sz w:val="24"/>
          <w:szCs w:val="24"/>
        </w:rPr>
        <w:t xml:space="preserve"> </w:t>
      </w:r>
      <w:r w:rsidR="00C91B05">
        <w:rPr>
          <w:rFonts w:eastAsiaTheme="minorHAnsi"/>
          <w:sz w:val="24"/>
          <w:szCs w:val="24"/>
          <w:lang w:val="en-US"/>
        </w:rPr>
        <w:t xml:space="preserve">will </w:t>
      </w:r>
      <w:r w:rsidR="00C91B05" w:rsidRPr="005D1387">
        <w:rPr>
          <w:rFonts w:eastAsiaTheme="minorHAnsi"/>
          <w:sz w:val="24"/>
          <w:szCs w:val="24"/>
        </w:rPr>
        <w:t xml:space="preserve">operate </w:t>
      </w:r>
      <w:r>
        <w:rPr>
          <w:rFonts w:eastAsiaTheme="minorHAnsi"/>
          <w:sz w:val="24"/>
          <w:szCs w:val="24"/>
          <w:lang w:val="en-US"/>
        </w:rPr>
        <w:t>in close geographic proximity</w:t>
      </w:r>
      <w:r w:rsidR="00AF7238">
        <w:rPr>
          <w:rFonts w:eastAsiaTheme="minorHAnsi"/>
          <w:sz w:val="24"/>
          <w:szCs w:val="24"/>
          <w:lang w:val="en-US"/>
        </w:rPr>
        <w:t xml:space="preserve"> following </w:t>
      </w:r>
      <w:r w:rsidR="005B2CF4">
        <w:rPr>
          <w:rFonts w:eastAsiaTheme="minorHAnsi"/>
          <w:sz w:val="24"/>
          <w:szCs w:val="24"/>
          <w:lang w:val="en-US"/>
        </w:rPr>
        <w:t>th</w:t>
      </w:r>
      <w:r w:rsidR="00AF7238">
        <w:rPr>
          <w:rFonts w:eastAsiaTheme="minorHAnsi"/>
          <w:sz w:val="24"/>
          <w:szCs w:val="24"/>
          <w:lang w:val="en-US"/>
        </w:rPr>
        <w:t>e incentive auction</w:t>
      </w:r>
      <w:r w:rsidR="007F7563">
        <w:rPr>
          <w:rFonts w:eastAsiaTheme="minorHAnsi"/>
          <w:sz w:val="24"/>
          <w:szCs w:val="24"/>
          <w:lang w:val="en-US"/>
        </w:rPr>
        <w:t xml:space="preserve">, thus permitting both </w:t>
      </w:r>
      <w:r w:rsidR="007708D7">
        <w:rPr>
          <w:rFonts w:eastAsiaTheme="minorHAnsi"/>
          <w:sz w:val="24"/>
          <w:szCs w:val="24"/>
          <w:lang w:val="en-US"/>
        </w:rPr>
        <w:t>broadcast</w:t>
      </w:r>
      <w:r w:rsidR="00AF6E93">
        <w:rPr>
          <w:rFonts w:eastAsiaTheme="minorHAnsi"/>
          <w:sz w:val="24"/>
          <w:szCs w:val="24"/>
          <w:lang w:val="en-US"/>
        </w:rPr>
        <w:t>ers</w:t>
      </w:r>
      <w:r w:rsidR="007708D7">
        <w:rPr>
          <w:rFonts w:eastAsiaTheme="minorHAnsi"/>
          <w:sz w:val="24"/>
          <w:szCs w:val="24"/>
          <w:lang w:val="en-US"/>
        </w:rPr>
        <w:t xml:space="preserve"> and </w:t>
      </w:r>
      <w:r w:rsidR="00AF6E93">
        <w:rPr>
          <w:rFonts w:eastAsiaTheme="minorHAnsi"/>
          <w:sz w:val="24"/>
          <w:szCs w:val="24"/>
          <w:lang w:val="en-US"/>
        </w:rPr>
        <w:t>wireless carriers</w:t>
      </w:r>
      <w:r w:rsidR="007708D7">
        <w:rPr>
          <w:rFonts w:eastAsiaTheme="minorHAnsi"/>
          <w:sz w:val="24"/>
          <w:szCs w:val="24"/>
          <w:lang w:val="en-US"/>
        </w:rPr>
        <w:t xml:space="preserve"> to operate on a non-interference basis in that spectrum</w:t>
      </w:r>
      <w:r>
        <w:rPr>
          <w:rFonts w:eastAsiaTheme="minorHAnsi"/>
          <w:sz w:val="24"/>
          <w:szCs w:val="24"/>
          <w:lang w:val="en-US"/>
        </w:rPr>
        <w:t>.</w:t>
      </w:r>
    </w:p>
    <w:p w14:paraId="06C17862" w14:textId="77777777" w:rsidR="00CE358E" w:rsidRDefault="00CE358E" w:rsidP="00345DB5">
      <w:pPr>
        <w:pStyle w:val="ParaNum"/>
        <w:widowControl w:val="0"/>
        <w:numPr>
          <w:ilvl w:val="0"/>
          <w:numId w:val="0"/>
        </w:numPr>
        <w:spacing w:after="0"/>
        <w:ind w:left="86" w:firstLine="720"/>
        <w:rPr>
          <w:rFonts w:eastAsiaTheme="minorHAnsi"/>
          <w:sz w:val="24"/>
          <w:szCs w:val="24"/>
          <w:lang w:val="en-US"/>
        </w:rPr>
      </w:pPr>
    </w:p>
    <w:p w14:paraId="4733F1C9" w14:textId="77777777" w:rsidR="00345DB5" w:rsidRPr="008A5050" w:rsidRDefault="00345DB5" w:rsidP="00345DB5">
      <w:pPr>
        <w:pStyle w:val="ParaNum"/>
        <w:widowControl w:val="0"/>
        <w:numPr>
          <w:ilvl w:val="0"/>
          <w:numId w:val="0"/>
        </w:numPr>
        <w:spacing w:after="0"/>
        <w:ind w:left="86" w:firstLine="720"/>
        <w:rPr>
          <w:rFonts w:eastAsiaTheme="minorHAnsi"/>
          <w:sz w:val="24"/>
          <w:szCs w:val="24"/>
        </w:rPr>
      </w:pPr>
    </w:p>
    <w:p w14:paraId="2ECF8FFA" w14:textId="77777777" w:rsidR="00FE7E34" w:rsidRDefault="00FE7E34" w:rsidP="00960C4D">
      <w:pPr>
        <w:pStyle w:val="ListParagraph"/>
        <w:keepNext/>
        <w:numPr>
          <w:ilvl w:val="0"/>
          <w:numId w:val="4"/>
        </w:numPr>
        <w:spacing w:after="100" w:afterAutospacing="1"/>
        <w:rPr>
          <w:b/>
          <w:sz w:val="24"/>
          <w:szCs w:val="24"/>
        </w:rPr>
      </w:pPr>
      <w:r w:rsidRPr="000846B3">
        <w:rPr>
          <w:b/>
          <w:sz w:val="24"/>
          <w:szCs w:val="24"/>
        </w:rPr>
        <w:t>REGULATIONS AND POLICIES THAT THE COMMISSION ADOPTED OR MODIFIED, INCLUDING RECORDKEEPING AND OTHER COMPLIANCE REQUIREMENTS</w:t>
      </w:r>
    </w:p>
    <w:p w14:paraId="6BD32922" w14:textId="77777777" w:rsidR="00D319C5" w:rsidRDefault="00D319C5" w:rsidP="00C9344C">
      <w:pPr>
        <w:pStyle w:val="ParaNum"/>
        <w:widowControl w:val="0"/>
        <w:numPr>
          <w:ilvl w:val="0"/>
          <w:numId w:val="0"/>
        </w:numPr>
        <w:spacing w:after="0"/>
        <w:ind w:left="86" w:firstLine="720"/>
        <w:rPr>
          <w:sz w:val="24"/>
          <w:szCs w:val="24"/>
          <w:lang w:val="en-US"/>
        </w:rPr>
      </w:pPr>
      <w:r w:rsidRPr="00D319C5">
        <w:rPr>
          <w:sz w:val="24"/>
          <w:szCs w:val="24"/>
        </w:rPr>
        <w:t>In th</w:t>
      </w:r>
      <w:r w:rsidR="00F05E1A">
        <w:rPr>
          <w:sz w:val="24"/>
          <w:szCs w:val="24"/>
          <w:lang w:val="en-US"/>
        </w:rPr>
        <w:t>e</w:t>
      </w:r>
      <w:r w:rsidR="00832290">
        <w:rPr>
          <w:sz w:val="24"/>
          <w:szCs w:val="24"/>
          <w:lang w:val="en-US"/>
        </w:rPr>
        <w:t xml:space="preserve"> </w:t>
      </w:r>
      <w:r w:rsidR="00832290" w:rsidRPr="00D44D27">
        <w:rPr>
          <w:sz w:val="24"/>
          <w:szCs w:val="24"/>
          <w:lang w:val="en-US"/>
        </w:rPr>
        <w:t>Ord</w:t>
      </w:r>
      <w:r w:rsidR="00D44D27">
        <w:rPr>
          <w:sz w:val="24"/>
          <w:szCs w:val="24"/>
          <w:lang w:val="en-US"/>
        </w:rPr>
        <w:t>er</w:t>
      </w:r>
      <w:r w:rsidR="008E7A5F">
        <w:rPr>
          <w:sz w:val="24"/>
          <w:szCs w:val="24"/>
          <w:lang w:val="en-US"/>
        </w:rPr>
        <w:t xml:space="preserve">, </w:t>
      </w:r>
      <w:r w:rsidR="00382A99">
        <w:rPr>
          <w:sz w:val="24"/>
          <w:szCs w:val="24"/>
          <w:lang w:val="en-US"/>
        </w:rPr>
        <w:t>t</w:t>
      </w:r>
      <w:r w:rsidR="00382A99">
        <w:rPr>
          <w:sz w:val="24"/>
          <w:szCs w:val="24"/>
        </w:rPr>
        <w:t>he</w:t>
      </w:r>
      <w:r w:rsidR="00CF0A40">
        <w:rPr>
          <w:sz w:val="24"/>
          <w:szCs w:val="24"/>
        </w:rPr>
        <w:t xml:space="preserve"> Commission </w:t>
      </w:r>
      <w:r w:rsidRPr="00D319C5">
        <w:rPr>
          <w:sz w:val="24"/>
          <w:szCs w:val="24"/>
        </w:rPr>
        <w:t>adopt</w:t>
      </w:r>
      <w:r w:rsidR="00832290">
        <w:rPr>
          <w:sz w:val="24"/>
          <w:szCs w:val="24"/>
          <w:lang w:val="en-US"/>
        </w:rPr>
        <w:t>ed</w:t>
      </w:r>
      <w:r w:rsidRPr="00D319C5">
        <w:rPr>
          <w:sz w:val="24"/>
          <w:szCs w:val="24"/>
        </w:rPr>
        <w:t xml:space="preserve"> the framework </w:t>
      </w:r>
      <w:r w:rsidR="00832290">
        <w:rPr>
          <w:sz w:val="24"/>
          <w:szCs w:val="24"/>
          <w:lang w:val="en-US"/>
        </w:rPr>
        <w:t>it</w:t>
      </w:r>
      <w:r w:rsidRPr="00D319C5">
        <w:rPr>
          <w:sz w:val="24"/>
          <w:szCs w:val="24"/>
        </w:rPr>
        <w:t xml:space="preserve"> proposed in the </w:t>
      </w:r>
      <w:r w:rsidRPr="00D319C5">
        <w:rPr>
          <w:i/>
          <w:sz w:val="24"/>
          <w:szCs w:val="24"/>
        </w:rPr>
        <w:t>ISIX Further Notice</w:t>
      </w:r>
      <w:r w:rsidRPr="00D319C5">
        <w:rPr>
          <w:sz w:val="24"/>
          <w:szCs w:val="24"/>
        </w:rPr>
        <w:t xml:space="preserve"> to govern the interference environment in the 600 MHz Band where market variation results in wireless</w:t>
      </w:r>
      <w:r w:rsidR="00BC38EF">
        <w:rPr>
          <w:sz w:val="24"/>
          <w:szCs w:val="24"/>
          <w:lang w:val="en-US"/>
        </w:rPr>
        <w:t xml:space="preserve"> carrier</w:t>
      </w:r>
      <w:r w:rsidRPr="00D319C5">
        <w:rPr>
          <w:sz w:val="24"/>
          <w:szCs w:val="24"/>
        </w:rPr>
        <w:t xml:space="preserve"> operations and television stations operating on the same or adjacent channels in nearby areas.  First, </w:t>
      </w:r>
      <w:r w:rsidR="00832290">
        <w:rPr>
          <w:sz w:val="24"/>
          <w:szCs w:val="24"/>
          <w:lang w:val="en-US"/>
        </w:rPr>
        <w:t xml:space="preserve">the Commission </w:t>
      </w:r>
      <w:r w:rsidRPr="00D319C5">
        <w:rPr>
          <w:sz w:val="24"/>
          <w:szCs w:val="24"/>
        </w:rPr>
        <w:t>establish</w:t>
      </w:r>
      <w:r w:rsidR="00832290">
        <w:rPr>
          <w:sz w:val="24"/>
          <w:szCs w:val="24"/>
          <w:lang w:val="en-US"/>
        </w:rPr>
        <w:t>ed</w:t>
      </w:r>
      <w:r w:rsidRPr="00D319C5">
        <w:rPr>
          <w:sz w:val="24"/>
          <w:szCs w:val="24"/>
        </w:rPr>
        <w:t xml:space="preserve"> a zero percent threshold for allowable harmful interference from 600 MHz wireless </w:t>
      </w:r>
      <w:r w:rsidR="00BC38EF">
        <w:rPr>
          <w:sz w:val="24"/>
          <w:szCs w:val="24"/>
          <w:lang w:val="en-US"/>
        </w:rPr>
        <w:t>carrier</w:t>
      </w:r>
      <w:r w:rsidRPr="00D319C5">
        <w:rPr>
          <w:sz w:val="24"/>
          <w:szCs w:val="24"/>
        </w:rPr>
        <w:t>s to television stations assigned to channels</w:t>
      </w:r>
      <w:r w:rsidR="00832290">
        <w:rPr>
          <w:sz w:val="24"/>
          <w:szCs w:val="24"/>
        </w:rPr>
        <w:t xml:space="preserve"> in the 600 MHz Band.  Second, it</w:t>
      </w:r>
      <w:r w:rsidR="00832290">
        <w:rPr>
          <w:sz w:val="24"/>
          <w:szCs w:val="24"/>
          <w:lang w:val="en-US"/>
        </w:rPr>
        <w:t xml:space="preserve"> </w:t>
      </w:r>
      <w:r w:rsidRPr="00D319C5">
        <w:rPr>
          <w:sz w:val="24"/>
          <w:szCs w:val="24"/>
        </w:rPr>
        <w:t>adopt</w:t>
      </w:r>
      <w:r w:rsidR="00832290">
        <w:rPr>
          <w:sz w:val="24"/>
          <w:szCs w:val="24"/>
          <w:lang w:val="en-US"/>
        </w:rPr>
        <w:t>ed</w:t>
      </w:r>
      <w:r w:rsidRPr="00D319C5">
        <w:rPr>
          <w:sz w:val="24"/>
          <w:szCs w:val="24"/>
        </w:rPr>
        <w:t xml:space="preserve"> with certain modifications the methodology proposed in </w:t>
      </w:r>
      <w:r w:rsidR="00B864D5">
        <w:rPr>
          <w:sz w:val="24"/>
          <w:szCs w:val="24"/>
          <w:lang w:val="en-US"/>
        </w:rPr>
        <w:t>Office of Engineering and Technology Bulletin No. 74 (“</w:t>
      </w:r>
      <w:r w:rsidRPr="00D319C5">
        <w:rPr>
          <w:sz w:val="24"/>
          <w:szCs w:val="24"/>
        </w:rPr>
        <w:t>OET-74</w:t>
      </w:r>
      <w:r w:rsidR="00B864D5">
        <w:rPr>
          <w:sz w:val="24"/>
          <w:szCs w:val="24"/>
          <w:lang w:val="en-US"/>
        </w:rPr>
        <w:t>”)</w:t>
      </w:r>
      <w:r w:rsidRPr="00D319C5">
        <w:rPr>
          <w:sz w:val="24"/>
          <w:szCs w:val="24"/>
        </w:rPr>
        <w:t xml:space="preserve"> for predicting interference from wireless </w:t>
      </w:r>
      <w:r w:rsidR="00BC38EF">
        <w:rPr>
          <w:sz w:val="24"/>
          <w:szCs w:val="24"/>
          <w:lang w:val="en-US"/>
        </w:rPr>
        <w:t xml:space="preserve">carrier </w:t>
      </w:r>
      <w:r w:rsidRPr="00D319C5">
        <w:rPr>
          <w:sz w:val="24"/>
          <w:szCs w:val="24"/>
        </w:rPr>
        <w:t xml:space="preserve">base stations to television receivers after </w:t>
      </w:r>
      <w:r w:rsidR="00645D82">
        <w:rPr>
          <w:sz w:val="24"/>
          <w:szCs w:val="24"/>
          <w:lang w:val="en-US"/>
        </w:rPr>
        <w:t xml:space="preserve">both services begin to operate in the 600 MHz Band following </w:t>
      </w:r>
      <w:r w:rsidRPr="00D319C5">
        <w:rPr>
          <w:sz w:val="24"/>
          <w:szCs w:val="24"/>
        </w:rPr>
        <w:t xml:space="preserve">the incentive auction.  Third, </w:t>
      </w:r>
      <w:r w:rsidR="00832290">
        <w:rPr>
          <w:sz w:val="24"/>
          <w:szCs w:val="24"/>
          <w:lang w:val="en-US"/>
        </w:rPr>
        <w:t>it</w:t>
      </w:r>
      <w:r w:rsidRPr="00D319C5">
        <w:rPr>
          <w:sz w:val="24"/>
          <w:szCs w:val="24"/>
        </w:rPr>
        <w:t xml:space="preserve"> require</w:t>
      </w:r>
      <w:r w:rsidR="00832290">
        <w:rPr>
          <w:sz w:val="24"/>
          <w:szCs w:val="24"/>
          <w:lang w:val="en-US"/>
        </w:rPr>
        <w:t>d</w:t>
      </w:r>
      <w:r w:rsidRPr="00D319C5">
        <w:rPr>
          <w:sz w:val="24"/>
          <w:szCs w:val="24"/>
        </w:rPr>
        <w:t xml:space="preserve"> 600 MHz </w:t>
      </w:r>
      <w:r w:rsidR="00175768">
        <w:rPr>
          <w:sz w:val="24"/>
          <w:szCs w:val="24"/>
          <w:lang w:val="en-US"/>
        </w:rPr>
        <w:t xml:space="preserve">Band </w:t>
      </w:r>
      <w:r w:rsidRPr="00D319C5">
        <w:rPr>
          <w:sz w:val="24"/>
          <w:szCs w:val="24"/>
        </w:rPr>
        <w:t xml:space="preserve">wireless </w:t>
      </w:r>
      <w:r w:rsidR="00BC38EF">
        <w:rPr>
          <w:sz w:val="24"/>
          <w:szCs w:val="24"/>
          <w:lang w:val="en-US"/>
        </w:rPr>
        <w:t>carrier</w:t>
      </w:r>
      <w:r w:rsidRPr="00D319C5">
        <w:rPr>
          <w:sz w:val="24"/>
          <w:szCs w:val="24"/>
        </w:rPr>
        <w:t>s to use OET-74 to predict potential interference to nearby co-channel or adjacent-channel television operations before deploying base stations, prohibit</w:t>
      </w:r>
      <w:r w:rsidR="009E0CA1">
        <w:rPr>
          <w:sz w:val="24"/>
          <w:szCs w:val="24"/>
          <w:lang w:val="en-US"/>
        </w:rPr>
        <w:t>ed</w:t>
      </w:r>
      <w:r w:rsidRPr="00D319C5">
        <w:rPr>
          <w:sz w:val="24"/>
          <w:szCs w:val="24"/>
        </w:rPr>
        <w:t xml:space="preserve"> operation of wireless </w:t>
      </w:r>
      <w:r w:rsidR="00BC38EF">
        <w:rPr>
          <w:sz w:val="24"/>
          <w:szCs w:val="24"/>
          <w:lang w:val="en-US"/>
        </w:rPr>
        <w:t xml:space="preserve">carrier </w:t>
      </w:r>
      <w:r w:rsidRPr="00D319C5">
        <w:rPr>
          <w:sz w:val="24"/>
          <w:szCs w:val="24"/>
        </w:rPr>
        <w:t>user equipment operating in the 600 MHz Band near these television stations’ contours</w:t>
      </w:r>
      <w:r w:rsidR="000B795B">
        <w:rPr>
          <w:sz w:val="24"/>
          <w:szCs w:val="24"/>
          <w:lang w:val="en-US"/>
        </w:rPr>
        <w:t xml:space="preserve"> by establishing small separation distances between those contours and the </w:t>
      </w:r>
      <w:r w:rsidR="000B795B" w:rsidRPr="000B795B">
        <w:rPr>
          <w:color w:val="222222"/>
          <w:sz w:val="24"/>
          <w:szCs w:val="24"/>
          <w:shd w:val="clear" w:color="auto" w:fill="FFFFFF"/>
        </w:rPr>
        <w:t xml:space="preserve">wireless user equipment </w:t>
      </w:r>
      <w:r w:rsidR="000B795B">
        <w:rPr>
          <w:color w:val="222222"/>
          <w:sz w:val="24"/>
          <w:szCs w:val="24"/>
          <w:shd w:val="clear" w:color="auto" w:fill="FFFFFF"/>
          <w:lang w:val="en-US"/>
        </w:rPr>
        <w:t>(</w:t>
      </w:r>
      <w:r w:rsidR="00664898">
        <w:rPr>
          <w:color w:val="222222"/>
          <w:sz w:val="24"/>
          <w:szCs w:val="24"/>
          <w:shd w:val="clear" w:color="auto" w:fill="FFFFFF"/>
        </w:rPr>
        <w:t>beyond which that</w:t>
      </w:r>
      <w:r w:rsidR="000B795B" w:rsidRPr="000B795B">
        <w:rPr>
          <w:color w:val="222222"/>
          <w:sz w:val="24"/>
          <w:szCs w:val="24"/>
          <w:shd w:val="clear" w:color="auto" w:fill="FFFFFF"/>
        </w:rPr>
        <w:t xml:space="preserve"> equipment can operate without causing interference to television receivers</w:t>
      </w:r>
      <w:r w:rsidR="000B795B">
        <w:rPr>
          <w:color w:val="222222"/>
          <w:sz w:val="24"/>
          <w:szCs w:val="24"/>
          <w:shd w:val="clear" w:color="auto" w:fill="FFFFFF"/>
          <w:lang w:val="en-US"/>
        </w:rPr>
        <w:t>)</w:t>
      </w:r>
      <w:r w:rsidRPr="00D319C5">
        <w:rPr>
          <w:sz w:val="24"/>
          <w:szCs w:val="24"/>
        </w:rPr>
        <w:t>, and prohibit</w:t>
      </w:r>
      <w:r w:rsidR="009E0CA1">
        <w:rPr>
          <w:sz w:val="24"/>
          <w:szCs w:val="24"/>
          <w:lang w:val="en-US"/>
        </w:rPr>
        <w:t>ed</w:t>
      </w:r>
      <w:r w:rsidRPr="00D319C5">
        <w:rPr>
          <w:sz w:val="24"/>
          <w:szCs w:val="24"/>
        </w:rPr>
        <w:t xml:space="preserve"> the expansion of television stations’ contours that would result in additional impairments to wireless </w:t>
      </w:r>
      <w:r w:rsidR="00BC38EF">
        <w:rPr>
          <w:sz w:val="24"/>
          <w:szCs w:val="24"/>
          <w:lang w:val="en-US"/>
        </w:rPr>
        <w:t xml:space="preserve">carrier </w:t>
      </w:r>
      <w:r w:rsidRPr="00D319C5">
        <w:rPr>
          <w:sz w:val="24"/>
          <w:szCs w:val="24"/>
        </w:rPr>
        <w:t>operations.</w:t>
      </w:r>
      <w:r w:rsidR="00832290">
        <w:rPr>
          <w:sz w:val="24"/>
          <w:szCs w:val="24"/>
        </w:rPr>
        <w:t xml:space="preserve"> </w:t>
      </w:r>
      <w:r w:rsidR="0083115C">
        <w:rPr>
          <w:sz w:val="24"/>
          <w:szCs w:val="24"/>
          <w:lang w:val="en-US"/>
        </w:rPr>
        <w:t xml:space="preserve"> </w:t>
      </w:r>
      <w:r w:rsidR="000B795B">
        <w:rPr>
          <w:sz w:val="24"/>
          <w:szCs w:val="24"/>
          <w:lang w:val="en-US"/>
        </w:rPr>
        <w:t>T</w:t>
      </w:r>
      <w:r w:rsidR="00832290">
        <w:rPr>
          <w:sz w:val="24"/>
          <w:szCs w:val="24"/>
        </w:rPr>
        <w:t>h</w:t>
      </w:r>
      <w:r w:rsidRPr="00D319C5">
        <w:rPr>
          <w:sz w:val="24"/>
          <w:szCs w:val="24"/>
        </w:rPr>
        <w:t xml:space="preserve">e </w:t>
      </w:r>
      <w:r w:rsidR="00832290">
        <w:rPr>
          <w:sz w:val="24"/>
          <w:szCs w:val="24"/>
          <w:lang w:val="en-US"/>
        </w:rPr>
        <w:t xml:space="preserve">Commission </w:t>
      </w:r>
      <w:r w:rsidRPr="00D319C5">
        <w:rPr>
          <w:sz w:val="24"/>
          <w:szCs w:val="24"/>
        </w:rPr>
        <w:t>also address</w:t>
      </w:r>
      <w:r w:rsidR="00832290">
        <w:rPr>
          <w:sz w:val="24"/>
          <w:szCs w:val="24"/>
          <w:lang w:val="en-US"/>
        </w:rPr>
        <w:t>ed</w:t>
      </w:r>
      <w:r w:rsidRPr="00D319C5">
        <w:rPr>
          <w:sz w:val="24"/>
          <w:szCs w:val="24"/>
        </w:rPr>
        <w:t xml:space="preserve"> the applicability of </w:t>
      </w:r>
      <w:r w:rsidR="00000183">
        <w:rPr>
          <w:sz w:val="24"/>
          <w:szCs w:val="24"/>
          <w:lang w:val="en-US"/>
        </w:rPr>
        <w:t>its inter-service interference methodology (“</w:t>
      </w:r>
      <w:r w:rsidRPr="00D319C5">
        <w:rPr>
          <w:sz w:val="24"/>
          <w:szCs w:val="24"/>
        </w:rPr>
        <w:t>ISIX Methodology</w:t>
      </w:r>
      <w:r w:rsidR="00000183">
        <w:rPr>
          <w:sz w:val="24"/>
          <w:szCs w:val="24"/>
          <w:lang w:val="en-US"/>
        </w:rPr>
        <w:t>”)</w:t>
      </w:r>
      <w:r w:rsidRPr="00D319C5">
        <w:rPr>
          <w:sz w:val="24"/>
          <w:szCs w:val="24"/>
        </w:rPr>
        <w:t xml:space="preserve"> in other interference contexts, including between </w:t>
      </w:r>
      <w:r w:rsidR="00B34CBF">
        <w:rPr>
          <w:sz w:val="24"/>
          <w:szCs w:val="24"/>
          <w:lang w:val="en-US"/>
        </w:rPr>
        <w:t>Low Power Television (</w:t>
      </w:r>
      <w:r w:rsidR="004E1669">
        <w:rPr>
          <w:sz w:val="24"/>
          <w:szCs w:val="24"/>
          <w:lang w:val="en-US"/>
        </w:rPr>
        <w:t>“</w:t>
      </w:r>
      <w:r w:rsidRPr="00D319C5">
        <w:rPr>
          <w:sz w:val="24"/>
          <w:szCs w:val="24"/>
        </w:rPr>
        <w:t>LPTV</w:t>
      </w:r>
      <w:r w:rsidR="004E1669">
        <w:rPr>
          <w:sz w:val="24"/>
          <w:szCs w:val="24"/>
          <w:lang w:val="en-US"/>
        </w:rPr>
        <w:t>”</w:t>
      </w:r>
      <w:r w:rsidR="00B34CBF">
        <w:rPr>
          <w:sz w:val="24"/>
          <w:szCs w:val="24"/>
          <w:lang w:val="en-US"/>
        </w:rPr>
        <w:t>)</w:t>
      </w:r>
      <w:r w:rsidRPr="00D319C5">
        <w:rPr>
          <w:sz w:val="24"/>
          <w:szCs w:val="24"/>
        </w:rPr>
        <w:t xml:space="preserve"> and TV translators and wireless </w:t>
      </w:r>
      <w:r w:rsidR="00BC38EF">
        <w:rPr>
          <w:sz w:val="24"/>
          <w:szCs w:val="24"/>
          <w:lang w:val="en-US"/>
        </w:rPr>
        <w:t xml:space="preserve">carrier </w:t>
      </w:r>
      <w:r w:rsidRPr="00D319C5">
        <w:rPr>
          <w:sz w:val="24"/>
          <w:szCs w:val="24"/>
        </w:rPr>
        <w:t>operations, between television and wireless operations during the post-</w:t>
      </w:r>
      <w:r w:rsidR="00645D82">
        <w:rPr>
          <w:sz w:val="24"/>
          <w:szCs w:val="24"/>
          <w:lang w:val="en-US"/>
        </w:rPr>
        <w:t xml:space="preserve">auction </w:t>
      </w:r>
      <w:r w:rsidRPr="00D319C5">
        <w:rPr>
          <w:sz w:val="24"/>
          <w:szCs w:val="24"/>
        </w:rPr>
        <w:t>transition period, and in identifying impairments to wireless licenses along the borders with Canada and Mexico</w:t>
      </w:r>
      <w:r w:rsidR="00DF08B8">
        <w:rPr>
          <w:sz w:val="24"/>
          <w:szCs w:val="24"/>
          <w:lang w:val="en-US"/>
        </w:rPr>
        <w:t>.</w:t>
      </w:r>
    </w:p>
    <w:p w14:paraId="1EDDE9DA" w14:textId="77777777" w:rsidR="00E53F09" w:rsidRDefault="00E53F09" w:rsidP="00C9344C">
      <w:pPr>
        <w:pStyle w:val="ParaNum"/>
        <w:widowControl w:val="0"/>
        <w:numPr>
          <w:ilvl w:val="0"/>
          <w:numId w:val="0"/>
        </w:numPr>
        <w:spacing w:after="0"/>
        <w:ind w:left="86" w:firstLine="720"/>
        <w:rPr>
          <w:sz w:val="24"/>
          <w:szCs w:val="24"/>
          <w:lang w:val="en-US"/>
        </w:rPr>
      </w:pPr>
    </w:p>
    <w:p w14:paraId="42610445" w14:textId="77777777" w:rsidR="00E53F09" w:rsidRPr="00E53F09" w:rsidRDefault="00E53F09" w:rsidP="00E53F09">
      <w:pPr>
        <w:pStyle w:val="ListParagraph"/>
        <w:widowControl w:val="0"/>
        <w:numPr>
          <w:ilvl w:val="0"/>
          <w:numId w:val="15"/>
        </w:numPr>
        <w:autoSpaceDE w:val="0"/>
        <w:autoSpaceDN w:val="0"/>
        <w:adjustRightInd w:val="0"/>
        <w:rPr>
          <w:b/>
          <w:sz w:val="24"/>
          <w:szCs w:val="24"/>
        </w:rPr>
      </w:pPr>
      <w:r w:rsidRPr="00AB4406">
        <w:rPr>
          <w:rFonts w:eastAsiaTheme="minorHAnsi"/>
          <w:b/>
          <w:iCs/>
          <w:sz w:val="24"/>
          <w:szCs w:val="24"/>
        </w:rPr>
        <w:t xml:space="preserve">      </w:t>
      </w:r>
      <w:r w:rsidR="009F761A" w:rsidRPr="00E53F09">
        <w:rPr>
          <w:rFonts w:eastAsiaTheme="minorHAnsi"/>
          <w:b/>
          <w:iCs/>
          <w:sz w:val="24"/>
          <w:szCs w:val="24"/>
        </w:rPr>
        <w:t xml:space="preserve">Protecting Broadcast Television </w:t>
      </w:r>
      <w:r w:rsidR="00BC2962" w:rsidRPr="00E53F09">
        <w:rPr>
          <w:rFonts w:eastAsiaTheme="minorHAnsi"/>
          <w:b/>
          <w:iCs/>
          <w:sz w:val="24"/>
          <w:szCs w:val="24"/>
        </w:rPr>
        <w:t>Stations</w:t>
      </w:r>
      <w:r w:rsidR="009F761A" w:rsidRPr="00E53F09">
        <w:rPr>
          <w:rFonts w:eastAsiaTheme="minorHAnsi"/>
          <w:b/>
          <w:iCs/>
          <w:sz w:val="24"/>
          <w:szCs w:val="24"/>
        </w:rPr>
        <w:t xml:space="preserve"> </w:t>
      </w:r>
      <w:r w:rsidR="00ED49CE" w:rsidRPr="00E53F09">
        <w:rPr>
          <w:rFonts w:eastAsiaTheme="minorHAnsi"/>
          <w:b/>
          <w:iCs/>
          <w:sz w:val="24"/>
          <w:szCs w:val="24"/>
        </w:rPr>
        <w:t xml:space="preserve">in the 600 MHz Band </w:t>
      </w:r>
      <w:r w:rsidR="009F761A" w:rsidRPr="00E53F09">
        <w:rPr>
          <w:rFonts w:eastAsiaTheme="minorHAnsi"/>
          <w:b/>
          <w:iCs/>
          <w:sz w:val="24"/>
          <w:szCs w:val="24"/>
        </w:rPr>
        <w:t>From Inter-</w:t>
      </w:r>
      <w:r>
        <w:rPr>
          <w:rFonts w:eastAsiaTheme="minorHAnsi"/>
          <w:b/>
          <w:iCs/>
          <w:sz w:val="24"/>
          <w:szCs w:val="24"/>
        </w:rPr>
        <w:t xml:space="preserve">   </w:t>
      </w:r>
    </w:p>
    <w:p w14:paraId="1EEDAE20" w14:textId="77777777" w:rsidR="00DF08B8" w:rsidRPr="00E53F09" w:rsidRDefault="00E53F09" w:rsidP="00E53F09">
      <w:pPr>
        <w:pStyle w:val="ListParagraph"/>
        <w:widowControl w:val="0"/>
        <w:autoSpaceDE w:val="0"/>
        <w:autoSpaceDN w:val="0"/>
        <w:adjustRightInd w:val="0"/>
        <w:rPr>
          <w:b/>
          <w:sz w:val="24"/>
          <w:szCs w:val="24"/>
        </w:rPr>
      </w:pPr>
      <w:r>
        <w:rPr>
          <w:rFonts w:eastAsiaTheme="minorHAnsi"/>
          <w:b/>
          <w:iCs/>
          <w:sz w:val="24"/>
          <w:szCs w:val="24"/>
        </w:rPr>
        <w:t xml:space="preserve">      </w:t>
      </w:r>
      <w:r w:rsidR="009F761A" w:rsidRPr="00E53F09">
        <w:rPr>
          <w:rFonts w:eastAsiaTheme="minorHAnsi"/>
          <w:b/>
          <w:iCs/>
          <w:sz w:val="24"/>
          <w:szCs w:val="24"/>
        </w:rPr>
        <w:t>Service Interference</w:t>
      </w:r>
    </w:p>
    <w:p w14:paraId="1F3DBA0C" w14:textId="77777777" w:rsidR="009F761A" w:rsidRPr="009F761A" w:rsidRDefault="009F761A" w:rsidP="009F761A">
      <w:pPr>
        <w:pStyle w:val="ListParagraph"/>
        <w:widowControl w:val="0"/>
        <w:autoSpaceDE w:val="0"/>
        <w:autoSpaceDN w:val="0"/>
        <w:adjustRightInd w:val="0"/>
        <w:ind w:left="1800"/>
        <w:rPr>
          <w:b/>
          <w:sz w:val="24"/>
          <w:szCs w:val="24"/>
        </w:rPr>
      </w:pPr>
    </w:p>
    <w:p w14:paraId="1E172F96" w14:textId="77777777" w:rsidR="009F761A" w:rsidRDefault="009F761A" w:rsidP="009F761A">
      <w:pPr>
        <w:autoSpaceDE w:val="0"/>
        <w:autoSpaceDN w:val="0"/>
        <w:adjustRightInd w:val="0"/>
        <w:ind w:firstLine="720"/>
        <w:rPr>
          <w:rFonts w:eastAsiaTheme="minorHAnsi"/>
          <w:sz w:val="24"/>
          <w:szCs w:val="24"/>
        </w:rPr>
      </w:pPr>
      <w:r w:rsidRPr="009F761A">
        <w:rPr>
          <w:rFonts w:eastAsiaTheme="minorHAnsi"/>
          <w:sz w:val="24"/>
          <w:szCs w:val="24"/>
        </w:rPr>
        <w:t>The Commission adopt</w:t>
      </w:r>
      <w:r w:rsidR="00690489">
        <w:rPr>
          <w:rFonts w:eastAsiaTheme="minorHAnsi"/>
          <w:sz w:val="24"/>
          <w:szCs w:val="24"/>
        </w:rPr>
        <w:t>ed</w:t>
      </w:r>
      <w:r w:rsidRPr="009F761A">
        <w:rPr>
          <w:rFonts w:eastAsiaTheme="minorHAnsi"/>
          <w:sz w:val="24"/>
          <w:szCs w:val="24"/>
        </w:rPr>
        <w:t xml:space="preserve"> a zero percent threshold for harmful interference from wireless </w:t>
      </w:r>
      <w:r w:rsidR="00BC38EF">
        <w:rPr>
          <w:rFonts w:eastAsiaTheme="minorHAnsi"/>
          <w:sz w:val="24"/>
          <w:szCs w:val="24"/>
        </w:rPr>
        <w:t xml:space="preserve">carrier </w:t>
      </w:r>
      <w:r w:rsidRPr="009F761A">
        <w:rPr>
          <w:rFonts w:eastAsiaTheme="minorHAnsi"/>
          <w:sz w:val="24"/>
          <w:szCs w:val="24"/>
        </w:rPr>
        <w:t>operations to</w:t>
      </w:r>
      <w:r>
        <w:rPr>
          <w:rFonts w:eastAsiaTheme="minorHAnsi"/>
          <w:sz w:val="24"/>
          <w:szCs w:val="24"/>
        </w:rPr>
        <w:t xml:space="preserve"> </w:t>
      </w:r>
      <w:r w:rsidRPr="009F761A">
        <w:rPr>
          <w:rFonts w:eastAsiaTheme="minorHAnsi"/>
          <w:sz w:val="24"/>
          <w:szCs w:val="24"/>
        </w:rPr>
        <w:t>the reception of television stations</w:t>
      </w:r>
      <w:r w:rsidR="00645D82">
        <w:rPr>
          <w:rFonts w:eastAsiaTheme="minorHAnsi"/>
          <w:sz w:val="24"/>
          <w:szCs w:val="24"/>
        </w:rPr>
        <w:t>’</w:t>
      </w:r>
      <w:r>
        <w:rPr>
          <w:rFonts w:eastAsiaTheme="minorHAnsi"/>
          <w:sz w:val="24"/>
          <w:szCs w:val="24"/>
        </w:rPr>
        <w:t xml:space="preserve"> </w:t>
      </w:r>
      <w:r w:rsidRPr="009F761A">
        <w:rPr>
          <w:rFonts w:eastAsiaTheme="minorHAnsi"/>
          <w:sz w:val="24"/>
          <w:szCs w:val="24"/>
        </w:rPr>
        <w:t xml:space="preserve">signals in the 600 MHz Band. </w:t>
      </w:r>
      <w:r w:rsidR="0083115C">
        <w:rPr>
          <w:rFonts w:eastAsiaTheme="minorHAnsi"/>
          <w:sz w:val="24"/>
          <w:szCs w:val="24"/>
        </w:rPr>
        <w:t xml:space="preserve"> </w:t>
      </w:r>
      <w:r w:rsidRPr="009F761A">
        <w:rPr>
          <w:rFonts w:eastAsiaTheme="minorHAnsi"/>
          <w:sz w:val="24"/>
          <w:szCs w:val="24"/>
        </w:rPr>
        <w:t>Under this</w:t>
      </w:r>
      <w:r>
        <w:rPr>
          <w:rFonts w:eastAsiaTheme="minorHAnsi"/>
          <w:sz w:val="24"/>
          <w:szCs w:val="24"/>
        </w:rPr>
        <w:t xml:space="preserve"> </w:t>
      </w:r>
      <w:r w:rsidRPr="009F761A">
        <w:rPr>
          <w:rFonts w:eastAsiaTheme="minorHAnsi"/>
          <w:sz w:val="24"/>
          <w:szCs w:val="24"/>
        </w:rPr>
        <w:t xml:space="preserve">standard, </w:t>
      </w:r>
      <w:r w:rsidR="00AB27B7">
        <w:rPr>
          <w:rFonts w:eastAsiaTheme="minorHAnsi"/>
          <w:sz w:val="24"/>
          <w:szCs w:val="24"/>
        </w:rPr>
        <w:t xml:space="preserve">a </w:t>
      </w:r>
      <w:r w:rsidRPr="009F761A">
        <w:rPr>
          <w:rFonts w:eastAsiaTheme="minorHAnsi"/>
          <w:sz w:val="24"/>
          <w:szCs w:val="24"/>
        </w:rPr>
        <w:t xml:space="preserve">600 MHz </w:t>
      </w:r>
      <w:r w:rsidR="004F2923">
        <w:rPr>
          <w:rFonts w:eastAsiaTheme="minorHAnsi"/>
          <w:sz w:val="24"/>
          <w:szCs w:val="24"/>
        </w:rPr>
        <w:t xml:space="preserve">Band </w:t>
      </w:r>
      <w:r w:rsidRPr="009F761A">
        <w:rPr>
          <w:rFonts w:eastAsiaTheme="minorHAnsi"/>
          <w:sz w:val="24"/>
          <w:szCs w:val="24"/>
        </w:rPr>
        <w:t xml:space="preserve">wireless </w:t>
      </w:r>
      <w:r w:rsidR="00BC38EF">
        <w:rPr>
          <w:rFonts w:eastAsiaTheme="minorHAnsi"/>
          <w:sz w:val="24"/>
          <w:szCs w:val="24"/>
        </w:rPr>
        <w:t>carrier</w:t>
      </w:r>
      <w:r>
        <w:rPr>
          <w:rFonts w:eastAsiaTheme="minorHAnsi"/>
          <w:sz w:val="24"/>
          <w:szCs w:val="24"/>
        </w:rPr>
        <w:t xml:space="preserve"> </w:t>
      </w:r>
      <w:r w:rsidRPr="009F761A">
        <w:rPr>
          <w:rFonts w:eastAsiaTheme="minorHAnsi"/>
          <w:sz w:val="24"/>
          <w:szCs w:val="24"/>
        </w:rPr>
        <w:t>will not be permitted to cause harmful</w:t>
      </w:r>
      <w:r>
        <w:rPr>
          <w:rFonts w:eastAsiaTheme="minorHAnsi"/>
          <w:sz w:val="24"/>
          <w:szCs w:val="24"/>
        </w:rPr>
        <w:t xml:space="preserve"> </w:t>
      </w:r>
      <w:r w:rsidRPr="009F761A">
        <w:rPr>
          <w:rFonts w:eastAsiaTheme="minorHAnsi"/>
          <w:sz w:val="24"/>
          <w:szCs w:val="24"/>
        </w:rPr>
        <w:t>interference at any level within the</w:t>
      </w:r>
      <w:r>
        <w:rPr>
          <w:rFonts w:eastAsiaTheme="minorHAnsi"/>
          <w:sz w:val="24"/>
          <w:szCs w:val="24"/>
        </w:rPr>
        <w:t xml:space="preserve"> </w:t>
      </w:r>
      <w:r w:rsidRPr="009F761A">
        <w:rPr>
          <w:rFonts w:eastAsiaTheme="minorHAnsi"/>
          <w:sz w:val="24"/>
          <w:szCs w:val="24"/>
        </w:rPr>
        <w:t>noise-limited contour of a full power</w:t>
      </w:r>
      <w:r>
        <w:rPr>
          <w:rFonts w:eastAsiaTheme="minorHAnsi"/>
          <w:sz w:val="24"/>
          <w:szCs w:val="24"/>
        </w:rPr>
        <w:t xml:space="preserve"> </w:t>
      </w:r>
      <w:r w:rsidRPr="009F761A">
        <w:rPr>
          <w:rFonts w:eastAsiaTheme="minorHAnsi"/>
          <w:sz w:val="24"/>
          <w:szCs w:val="24"/>
        </w:rPr>
        <w:t>television station or the protected</w:t>
      </w:r>
      <w:r>
        <w:rPr>
          <w:rFonts w:eastAsiaTheme="minorHAnsi"/>
          <w:sz w:val="24"/>
          <w:szCs w:val="24"/>
        </w:rPr>
        <w:t xml:space="preserve"> </w:t>
      </w:r>
      <w:r w:rsidRPr="009F761A">
        <w:rPr>
          <w:rFonts w:eastAsiaTheme="minorHAnsi"/>
          <w:sz w:val="24"/>
          <w:szCs w:val="24"/>
        </w:rPr>
        <w:t>contour of a Class A television station</w:t>
      </w:r>
      <w:r>
        <w:rPr>
          <w:rFonts w:eastAsiaTheme="minorHAnsi"/>
          <w:sz w:val="24"/>
          <w:szCs w:val="24"/>
        </w:rPr>
        <w:t xml:space="preserve"> </w:t>
      </w:r>
      <w:r w:rsidRPr="009F761A">
        <w:rPr>
          <w:rFonts w:eastAsiaTheme="minorHAnsi"/>
          <w:sz w:val="24"/>
          <w:szCs w:val="24"/>
        </w:rPr>
        <w:t xml:space="preserve">to the degree </w:t>
      </w:r>
      <w:r w:rsidR="00AB27B7">
        <w:rPr>
          <w:rFonts w:eastAsiaTheme="minorHAnsi"/>
          <w:sz w:val="24"/>
          <w:szCs w:val="24"/>
        </w:rPr>
        <w:t xml:space="preserve">that </w:t>
      </w:r>
      <w:r w:rsidR="00BC38EF">
        <w:rPr>
          <w:rFonts w:eastAsiaTheme="minorHAnsi"/>
          <w:sz w:val="24"/>
          <w:szCs w:val="24"/>
        </w:rPr>
        <w:t xml:space="preserve">the </w:t>
      </w:r>
      <w:r w:rsidR="00AB27B7">
        <w:rPr>
          <w:rFonts w:eastAsiaTheme="minorHAnsi"/>
          <w:sz w:val="24"/>
          <w:szCs w:val="24"/>
        </w:rPr>
        <w:t xml:space="preserve">wireless </w:t>
      </w:r>
      <w:r w:rsidR="00BC38EF">
        <w:rPr>
          <w:rFonts w:eastAsiaTheme="minorHAnsi"/>
          <w:sz w:val="24"/>
          <w:szCs w:val="24"/>
        </w:rPr>
        <w:t>carrier</w:t>
      </w:r>
      <w:r w:rsidR="00AB27B7">
        <w:rPr>
          <w:rFonts w:eastAsiaTheme="minorHAnsi"/>
          <w:sz w:val="24"/>
          <w:szCs w:val="24"/>
        </w:rPr>
        <w:t xml:space="preserve"> would </w:t>
      </w:r>
      <w:r w:rsidRPr="009F761A">
        <w:rPr>
          <w:rFonts w:eastAsiaTheme="minorHAnsi"/>
          <w:sz w:val="24"/>
          <w:szCs w:val="24"/>
        </w:rPr>
        <w:t>affect populated areas</w:t>
      </w:r>
      <w:r>
        <w:rPr>
          <w:rFonts w:eastAsiaTheme="minorHAnsi"/>
          <w:sz w:val="24"/>
          <w:szCs w:val="24"/>
        </w:rPr>
        <w:t xml:space="preserve"> </w:t>
      </w:r>
      <w:r w:rsidRPr="009F761A">
        <w:rPr>
          <w:rFonts w:eastAsiaTheme="minorHAnsi"/>
          <w:sz w:val="24"/>
          <w:szCs w:val="24"/>
        </w:rPr>
        <w:t xml:space="preserve">within those contours. </w:t>
      </w:r>
      <w:r w:rsidR="0083115C">
        <w:rPr>
          <w:rFonts w:eastAsiaTheme="minorHAnsi"/>
          <w:sz w:val="24"/>
          <w:szCs w:val="24"/>
        </w:rPr>
        <w:t xml:space="preserve"> </w:t>
      </w:r>
      <w:r w:rsidRPr="009F761A">
        <w:rPr>
          <w:rFonts w:eastAsiaTheme="minorHAnsi"/>
          <w:sz w:val="24"/>
          <w:szCs w:val="24"/>
        </w:rPr>
        <w:t>The Commission</w:t>
      </w:r>
      <w:r>
        <w:rPr>
          <w:rFonts w:eastAsiaTheme="minorHAnsi"/>
          <w:sz w:val="24"/>
          <w:szCs w:val="24"/>
        </w:rPr>
        <w:t xml:space="preserve"> </w:t>
      </w:r>
      <w:r w:rsidRPr="009F761A">
        <w:rPr>
          <w:rFonts w:eastAsiaTheme="minorHAnsi"/>
          <w:sz w:val="24"/>
          <w:szCs w:val="24"/>
        </w:rPr>
        <w:t>f</w:t>
      </w:r>
      <w:r w:rsidR="00690489">
        <w:rPr>
          <w:rFonts w:eastAsiaTheme="minorHAnsi"/>
          <w:sz w:val="24"/>
          <w:szCs w:val="24"/>
        </w:rPr>
        <w:t>ound</w:t>
      </w:r>
      <w:r w:rsidRPr="009F761A">
        <w:rPr>
          <w:rFonts w:eastAsiaTheme="minorHAnsi"/>
          <w:sz w:val="24"/>
          <w:szCs w:val="24"/>
        </w:rPr>
        <w:t xml:space="preserve"> that a zero percent threshold, with</w:t>
      </w:r>
      <w:r>
        <w:rPr>
          <w:rFonts w:eastAsiaTheme="minorHAnsi"/>
          <w:sz w:val="24"/>
          <w:szCs w:val="24"/>
        </w:rPr>
        <w:t xml:space="preserve"> </w:t>
      </w:r>
      <w:r w:rsidRPr="009F761A">
        <w:rPr>
          <w:rFonts w:eastAsiaTheme="minorHAnsi"/>
          <w:sz w:val="24"/>
          <w:szCs w:val="24"/>
        </w:rPr>
        <w:t>no rounding tolerance, is warranted in</w:t>
      </w:r>
      <w:r>
        <w:rPr>
          <w:rFonts w:eastAsiaTheme="minorHAnsi"/>
          <w:sz w:val="24"/>
          <w:szCs w:val="24"/>
        </w:rPr>
        <w:t xml:space="preserve"> </w:t>
      </w:r>
      <w:r w:rsidRPr="009F761A">
        <w:rPr>
          <w:rFonts w:eastAsiaTheme="minorHAnsi"/>
          <w:sz w:val="24"/>
          <w:szCs w:val="24"/>
        </w:rPr>
        <w:t xml:space="preserve">the post-auction environment. </w:t>
      </w:r>
      <w:r w:rsidR="0083115C">
        <w:rPr>
          <w:rFonts w:eastAsiaTheme="minorHAnsi"/>
          <w:sz w:val="24"/>
          <w:szCs w:val="24"/>
        </w:rPr>
        <w:t xml:space="preserve"> </w:t>
      </w:r>
      <w:r w:rsidRPr="009F761A">
        <w:rPr>
          <w:rFonts w:eastAsiaTheme="minorHAnsi"/>
          <w:sz w:val="24"/>
          <w:szCs w:val="24"/>
        </w:rPr>
        <w:t>Any interference standard other than zero</w:t>
      </w:r>
      <w:r>
        <w:rPr>
          <w:rFonts w:eastAsiaTheme="minorHAnsi"/>
          <w:sz w:val="24"/>
          <w:szCs w:val="24"/>
        </w:rPr>
        <w:t xml:space="preserve"> </w:t>
      </w:r>
      <w:r w:rsidR="00690489">
        <w:rPr>
          <w:rFonts w:eastAsiaTheme="minorHAnsi"/>
          <w:sz w:val="24"/>
          <w:szCs w:val="24"/>
        </w:rPr>
        <w:t xml:space="preserve">would </w:t>
      </w:r>
      <w:r w:rsidRPr="009F761A">
        <w:rPr>
          <w:rFonts w:eastAsiaTheme="minorHAnsi"/>
          <w:sz w:val="24"/>
          <w:szCs w:val="24"/>
        </w:rPr>
        <w:t xml:space="preserve">present practical </w:t>
      </w:r>
      <w:r>
        <w:rPr>
          <w:rFonts w:eastAsiaTheme="minorHAnsi"/>
          <w:sz w:val="24"/>
          <w:szCs w:val="24"/>
        </w:rPr>
        <w:t>d</w:t>
      </w:r>
      <w:r w:rsidRPr="009F761A">
        <w:rPr>
          <w:rFonts w:eastAsiaTheme="minorHAnsi"/>
          <w:sz w:val="24"/>
          <w:szCs w:val="24"/>
        </w:rPr>
        <w:t>ifficulties</w:t>
      </w:r>
      <w:r w:rsidR="00BF353D">
        <w:rPr>
          <w:rFonts w:eastAsiaTheme="minorHAnsi"/>
          <w:sz w:val="24"/>
          <w:szCs w:val="24"/>
        </w:rPr>
        <w:t>,</w:t>
      </w:r>
      <w:r w:rsidRPr="009F761A">
        <w:rPr>
          <w:rFonts w:eastAsiaTheme="minorHAnsi"/>
          <w:sz w:val="24"/>
          <w:szCs w:val="24"/>
        </w:rPr>
        <w:t xml:space="preserve"> given the</w:t>
      </w:r>
      <w:r>
        <w:rPr>
          <w:rFonts w:eastAsiaTheme="minorHAnsi"/>
          <w:sz w:val="24"/>
          <w:szCs w:val="24"/>
        </w:rPr>
        <w:t xml:space="preserve"> </w:t>
      </w:r>
      <w:r w:rsidRPr="009F761A">
        <w:rPr>
          <w:rFonts w:eastAsiaTheme="minorHAnsi"/>
          <w:sz w:val="24"/>
          <w:szCs w:val="24"/>
        </w:rPr>
        <w:t>multiple sources of potential</w:t>
      </w:r>
      <w:r>
        <w:rPr>
          <w:rFonts w:eastAsiaTheme="minorHAnsi"/>
          <w:sz w:val="24"/>
          <w:szCs w:val="24"/>
        </w:rPr>
        <w:t xml:space="preserve"> </w:t>
      </w:r>
      <w:r w:rsidRPr="009F761A">
        <w:rPr>
          <w:rFonts w:eastAsiaTheme="minorHAnsi"/>
          <w:sz w:val="24"/>
          <w:szCs w:val="24"/>
        </w:rPr>
        <w:t>interference to the reception of signals</w:t>
      </w:r>
      <w:r>
        <w:rPr>
          <w:rFonts w:eastAsiaTheme="minorHAnsi"/>
          <w:sz w:val="24"/>
          <w:szCs w:val="24"/>
        </w:rPr>
        <w:t xml:space="preserve"> </w:t>
      </w:r>
      <w:r w:rsidRPr="009F761A">
        <w:rPr>
          <w:rFonts w:eastAsiaTheme="minorHAnsi"/>
          <w:sz w:val="24"/>
          <w:szCs w:val="24"/>
        </w:rPr>
        <w:t>from television stations assigned to the</w:t>
      </w:r>
      <w:r>
        <w:rPr>
          <w:rFonts w:eastAsiaTheme="minorHAnsi"/>
          <w:sz w:val="24"/>
          <w:szCs w:val="24"/>
        </w:rPr>
        <w:t xml:space="preserve"> </w:t>
      </w:r>
      <w:r w:rsidRPr="009F761A">
        <w:rPr>
          <w:rFonts w:eastAsiaTheme="minorHAnsi"/>
          <w:sz w:val="24"/>
          <w:szCs w:val="24"/>
        </w:rPr>
        <w:t>600 MHz Band and the continuing</w:t>
      </w:r>
      <w:r>
        <w:rPr>
          <w:rFonts w:eastAsiaTheme="minorHAnsi"/>
          <w:sz w:val="24"/>
          <w:szCs w:val="24"/>
        </w:rPr>
        <w:t xml:space="preserve"> </w:t>
      </w:r>
      <w:r w:rsidRPr="009F761A">
        <w:rPr>
          <w:rFonts w:eastAsiaTheme="minorHAnsi"/>
          <w:sz w:val="24"/>
          <w:szCs w:val="24"/>
        </w:rPr>
        <w:t xml:space="preserve">evolution of wireless </w:t>
      </w:r>
      <w:r w:rsidR="00BC38EF">
        <w:rPr>
          <w:rFonts w:eastAsiaTheme="minorHAnsi"/>
          <w:sz w:val="24"/>
          <w:szCs w:val="24"/>
        </w:rPr>
        <w:t xml:space="preserve">carrier </w:t>
      </w:r>
      <w:r w:rsidRPr="009F761A">
        <w:rPr>
          <w:rFonts w:eastAsiaTheme="minorHAnsi"/>
          <w:sz w:val="24"/>
          <w:szCs w:val="24"/>
        </w:rPr>
        <w:t>networks.</w:t>
      </w:r>
    </w:p>
    <w:p w14:paraId="7A893D12" w14:textId="77777777" w:rsidR="00CE358E" w:rsidRDefault="00CE358E" w:rsidP="00AB4406">
      <w:pPr>
        <w:pStyle w:val="ListParagraph"/>
        <w:widowControl w:val="0"/>
        <w:autoSpaceDE w:val="0"/>
        <w:autoSpaceDN w:val="0"/>
        <w:adjustRightInd w:val="0"/>
        <w:rPr>
          <w:rFonts w:eastAsiaTheme="minorHAnsi"/>
          <w:b/>
          <w:iCs/>
          <w:sz w:val="24"/>
          <w:szCs w:val="24"/>
        </w:rPr>
      </w:pPr>
    </w:p>
    <w:p w14:paraId="7DF8C27D" w14:textId="77777777" w:rsidR="00271C03" w:rsidRPr="009F761A" w:rsidRDefault="00271C03" w:rsidP="00271C03">
      <w:pPr>
        <w:pStyle w:val="ListParagraph"/>
        <w:widowControl w:val="0"/>
        <w:numPr>
          <w:ilvl w:val="0"/>
          <w:numId w:val="17"/>
        </w:numPr>
        <w:autoSpaceDE w:val="0"/>
        <w:autoSpaceDN w:val="0"/>
        <w:adjustRightInd w:val="0"/>
        <w:rPr>
          <w:b/>
          <w:sz w:val="24"/>
          <w:szCs w:val="24"/>
        </w:rPr>
      </w:pPr>
      <w:r>
        <w:rPr>
          <w:rFonts w:eastAsiaTheme="minorHAnsi"/>
          <w:b/>
          <w:iCs/>
          <w:sz w:val="24"/>
          <w:szCs w:val="24"/>
        </w:rPr>
        <w:t>Wireless Carrier Obligations</w:t>
      </w:r>
    </w:p>
    <w:p w14:paraId="4B4A256D" w14:textId="77777777" w:rsidR="00271C03" w:rsidRDefault="00271C03" w:rsidP="00AB4406">
      <w:pPr>
        <w:pStyle w:val="ListParagraph"/>
        <w:widowControl w:val="0"/>
        <w:autoSpaceDE w:val="0"/>
        <w:autoSpaceDN w:val="0"/>
        <w:adjustRightInd w:val="0"/>
        <w:rPr>
          <w:rFonts w:eastAsiaTheme="minorHAnsi"/>
          <w:b/>
          <w:iCs/>
          <w:sz w:val="24"/>
          <w:szCs w:val="24"/>
        </w:rPr>
      </w:pPr>
    </w:p>
    <w:p w14:paraId="768AB5B7" w14:textId="441218F1" w:rsidR="00643741" w:rsidRDefault="00CE358E" w:rsidP="00643741">
      <w:pPr>
        <w:autoSpaceDE w:val="0"/>
        <w:autoSpaceDN w:val="0"/>
        <w:adjustRightInd w:val="0"/>
        <w:ind w:firstLine="720"/>
        <w:rPr>
          <w:sz w:val="24"/>
          <w:szCs w:val="24"/>
        </w:rPr>
      </w:pPr>
      <w:r>
        <w:rPr>
          <w:sz w:val="24"/>
          <w:szCs w:val="24"/>
        </w:rPr>
        <w:t>In t</w:t>
      </w:r>
      <w:r w:rsidR="00C40E30">
        <w:rPr>
          <w:sz w:val="24"/>
          <w:szCs w:val="24"/>
        </w:rPr>
        <w:t>he Order</w:t>
      </w:r>
      <w:r>
        <w:rPr>
          <w:sz w:val="24"/>
          <w:szCs w:val="24"/>
        </w:rPr>
        <w:t>,</w:t>
      </w:r>
      <w:r w:rsidR="00C40E30">
        <w:rPr>
          <w:sz w:val="24"/>
          <w:szCs w:val="24"/>
        </w:rPr>
        <w:t xml:space="preserve"> t</w:t>
      </w:r>
      <w:r w:rsidR="00105F55">
        <w:rPr>
          <w:sz w:val="24"/>
          <w:szCs w:val="24"/>
        </w:rPr>
        <w:t>he Commission required w</w:t>
      </w:r>
      <w:r w:rsidR="00760A14" w:rsidRPr="008450B3">
        <w:rPr>
          <w:sz w:val="24"/>
          <w:szCs w:val="24"/>
        </w:rPr>
        <w:t xml:space="preserve">ireless carriers that are co-channel or adjacent channel to a TV station in the 600 MHz Band </w:t>
      </w:r>
      <w:r w:rsidR="008450B3">
        <w:rPr>
          <w:sz w:val="24"/>
          <w:szCs w:val="24"/>
        </w:rPr>
        <w:t xml:space="preserve">in nearby markets </w:t>
      </w:r>
      <w:r w:rsidR="00105F55">
        <w:rPr>
          <w:sz w:val="24"/>
          <w:szCs w:val="24"/>
        </w:rPr>
        <w:t>to</w:t>
      </w:r>
      <w:r w:rsidR="00760A14" w:rsidRPr="008450B3">
        <w:rPr>
          <w:sz w:val="24"/>
          <w:szCs w:val="24"/>
        </w:rPr>
        <w:t xml:space="preserve"> </w:t>
      </w:r>
      <w:r w:rsidR="008450B3" w:rsidRPr="008450B3">
        <w:rPr>
          <w:sz w:val="24"/>
          <w:szCs w:val="24"/>
        </w:rPr>
        <w:t xml:space="preserve">use OET-74 following the incentive auction to predict interference to </w:t>
      </w:r>
      <w:r w:rsidR="008450B3">
        <w:rPr>
          <w:sz w:val="24"/>
          <w:szCs w:val="24"/>
        </w:rPr>
        <w:t xml:space="preserve">that station’s </w:t>
      </w:r>
      <w:r>
        <w:rPr>
          <w:sz w:val="24"/>
          <w:szCs w:val="24"/>
        </w:rPr>
        <w:t xml:space="preserve">television receivers. </w:t>
      </w:r>
      <w:r w:rsidR="009E0CA1">
        <w:rPr>
          <w:sz w:val="24"/>
          <w:szCs w:val="24"/>
        </w:rPr>
        <w:t xml:space="preserve"> </w:t>
      </w:r>
      <w:r w:rsidR="00105F55" w:rsidRPr="00105F55">
        <w:rPr>
          <w:sz w:val="24"/>
          <w:szCs w:val="24"/>
        </w:rPr>
        <w:t xml:space="preserve">600 MHz </w:t>
      </w:r>
      <w:r w:rsidR="00105F55">
        <w:rPr>
          <w:sz w:val="24"/>
          <w:szCs w:val="24"/>
        </w:rPr>
        <w:t xml:space="preserve">Band </w:t>
      </w:r>
      <w:r w:rsidR="00105F55" w:rsidRPr="00105F55">
        <w:rPr>
          <w:sz w:val="24"/>
          <w:szCs w:val="24"/>
        </w:rPr>
        <w:t xml:space="preserve">wireless </w:t>
      </w:r>
      <w:r w:rsidR="00BC38EF">
        <w:rPr>
          <w:sz w:val="24"/>
          <w:szCs w:val="24"/>
        </w:rPr>
        <w:t>carrier</w:t>
      </w:r>
      <w:r>
        <w:rPr>
          <w:sz w:val="24"/>
          <w:szCs w:val="24"/>
        </w:rPr>
        <w:t>s must r</w:t>
      </w:r>
      <w:r w:rsidR="00105F55" w:rsidRPr="00105F55">
        <w:rPr>
          <w:sz w:val="24"/>
          <w:szCs w:val="24"/>
        </w:rPr>
        <w:t xml:space="preserve">etain the latest copy of </w:t>
      </w:r>
      <w:r>
        <w:rPr>
          <w:sz w:val="24"/>
          <w:szCs w:val="24"/>
        </w:rPr>
        <w:t>their</w:t>
      </w:r>
      <w:r w:rsidR="00105F55" w:rsidRPr="00105F55">
        <w:rPr>
          <w:sz w:val="24"/>
          <w:szCs w:val="24"/>
        </w:rPr>
        <w:t xml:space="preserve"> OET-74 interference analysis for each co-channel or adjacent channel </w:t>
      </w:r>
      <w:r w:rsidR="00DE22FD">
        <w:rPr>
          <w:sz w:val="24"/>
          <w:szCs w:val="24"/>
        </w:rPr>
        <w:t>license area (p</w:t>
      </w:r>
      <w:r w:rsidR="00105F55" w:rsidRPr="00105F55">
        <w:rPr>
          <w:sz w:val="24"/>
          <w:szCs w:val="24"/>
        </w:rPr>
        <w:t>artial economic area</w:t>
      </w:r>
      <w:r w:rsidR="00DE22FD">
        <w:rPr>
          <w:sz w:val="24"/>
          <w:szCs w:val="24"/>
        </w:rPr>
        <w:t>),</w:t>
      </w:r>
      <w:r w:rsidR="00105F55" w:rsidRPr="00105F55">
        <w:rPr>
          <w:sz w:val="24"/>
          <w:szCs w:val="24"/>
        </w:rPr>
        <w:t xml:space="preserve"> where any of t</w:t>
      </w:r>
      <w:r>
        <w:rPr>
          <w:sz w:val="24"/>
          <w:szCs w:val="24"/>
        </w:rPr>
        <w:t>heir</w:t>
      </w:r>
      <w:r w:rsidR="00105F55" w:rsidRPr="00105F55">
        <w:rPr>
          <w:sz w:val="24"/>
          <w:szCs w:val="24"/>
        </w:rPr>
        <w:t xml:space="preserve"> base stations fall within the </w:t>
      </w:r>
      <w:r w:rsidR="00927ED9">
        <w:rPr>
          <w:sz w:val="24"/>
          <w:szCs w:val="24"/>
        </w:rPr>
        <w:t xml:space="preserve">distances </w:t>
      </w:r>
      <w:r w:rsidR="00105F55" w:rsidRPr="00105F55">
        <w:rPr>
          <w:sz w:val="24"/>
          <w:szCs w:val="24"/>
        </w:rPr>
        <w:t xml:space="preserve">specified </w:t>
      </w:r>
      <w:r w:rsidR="00927ED9">
        <w:rPr>
          <w:sz w:val="24"/>
          <w:szCs w:val="24"/>
        </w:rPr>
        <w:t xml:space="preserve">in </w:t>
      </w:r>
      <w:r w:rsidR="00105F55" w:rsidRPr="00105F55">
        <w:rPr>
          <w:sz w:val="24"/>
          <w:szCs w:val="24"/>
        </w:rPr>
        <w:t xml:space="preserve">OET-74.  </w:t>
      </w:r>
      <w:r w:rsidR="00175768">
        <w:rPr>
          <w:sz w:val="24"/>
          <w:szCs w:val="24"/>
        </w:rPr>
        <w:t>Moreover, t</w:t>
      </w:r>
      <w:r w:rsidR="00105F55" w:rsidRPr="00105F55">
        <w:rPr>
          <w:sz w:val="24"/>
          <w:szCs w:val="24"/>
        </w:rPr>
        <w:t xml:space="preserve">he </w:t>
      </w:r>
      <w:r w:rsidR="00175768">
        <w:rPr>
          <w:sz w:val="24"/>
          <w:szCs w:val="24"/>
        </w:rPr>
        <w:t>Order</w:t>
      </w:r>
      <w:r w:rsidR="009E0CA1">
        <w:rPr>
          <w:sz w:val="24"/>
          <w:szCs w:val="24"/>
        </w:rPr>
        <w:t xml:space="preserve"> require</w:t>
      </w:r>
      <w:r w:rsidR="00264DB7">
        <w:rPr>
          <w:sz w:val="24"/>
          <w:szCs w:val="24"/>
        </w:rPr>
        <w:t>d</w:t>
      </w:r>
      <w:r w:rsidR="009E0CA1">
        <w:rPr>
          <w:sz w:val="24"/>
          <w:szCs w:val="24"/>
        </w:rPr>
        <w:t xml:space="preserve"> that a </w:t>
      </w:r>
      <w:r w:rsidR="004F2923">
        <w:rPr>
          <w:sz w:val="24"/>
          <w:szCs w:val="24"/>
        </w:rPr>
        <w:t xml:space="preserve">600 MHz Band </w:t>
      </w:r>
      <w:r w:rsidR="00105F55" w:rsidRPr="00105F55">
        <w:rPr>
          <w:sz w:val="24"/>
          <w:szCs w:val="24"/>
        </w:rPr>
        <w:t xml:space="preserve">wireless </w:t>
      </w:r>
      <w:r w:rsidR="00BC38EF">
        <w:rPr>
          <w:sz w:val="24"/>
          <w:szCs w:val="24"/>
        </w:rPr>
        <w:t>carrier</w:t>
      </w:r>
      <w:r w:rsidR="00105F55" w:rsidRPr="00105F55">
        <w:rPr>
          <w:sz w:val="24"/>
          <w:szCs w:val="24"/>
        </w:rPr>
        <w:t xml:space="preserve"> </w:t>
      </w:r>
      <w:r w:rsidR="009E0CA1">
        <w:rPr>
          <w:sz w:val="24"/>
          <w:szCs w:val="24"/>
        </w:rPr>
        <w:t>make this</w:t>
      </w:r>
      <w:r w:rsidR="00105F55" w:rsidRPr="00105F55">
        <w:rPr>
          <w:sz w:val="24"/>
          <w:szCs w:val="24"/>
        </w:rPr>
        <w:t xml:space="preserve"> analysis available for inspection by the Commission at any time and</w:t>
      </w:r>
      <w:r w:rsidR="009E0CA1">
        <w:rPr>
          <w:sz w:val="24"/>
          <w:szCs w:val="24"/>
        </w:rPr>
        <w:t xml:space="preserve"> to further make this analysis available</w:t>
      </w:r>
      <w:r w:rsidR="00105F55" w:rsidRPr="00105F55">
        <w:rPr>
          <w:sz w:val="24"/>
          <w:szCs w:val="24"/>
        </w:rPr>
        <w:t xml:space="preserve"> to a television station upon request when there are complaints of interference either from the subject television station or a station viewer</w:t>
      </w:r>
      <w:r w:rsidR="00105F55">
        <w:rPr>
          <w:sz w:val="24"/>
          <w:szCs w:val="24"/>
        </w:rPr>
        <w:t>.</w:t>
      </w:r>
      <w:r w:rsidR="00C7742B" w:rsidRPr="00C7742B">
        <w:t xml:space="preserve"> </w:t>
      </w:r>
      <w:r w:rsidR="00C40E30">
        <w:t xml:space="preserve"> </w:t>
      </w:r>
      <w:r w:rsidR="00E6501C">
        <w:rPr>
          <w:sz w:val="24"/>
          <w:szCs w:val="24"/>
        </w:rPr>
        <w:t xml:space="preserve">The </w:t>
      </w:r>
      <w:r w:rsidR="009E0CA1">
        <w:rPr>
          <w:sz w:val="24"/>
          <w:szCs w:val="24"/>
        </w:rPr>
        <w:t>Order anticipate</w:t>
      </w:r>
      <w:r w:rsidR="00264DB7">
        <w:rPr>
          <w:sz w:val="24"/>
          <w:szCs w:val="24"/>
        </w:rPr>
        <w:t>d</w:t>
      </w:r>
      <w:r w:rsidR="009E0CA1">
        <w:rPr>
          <w:sz w:val="24"/>
          <w:szCs w:val="24"/>
        </w:rPr>
        <w:t xml:space="preserve"> t</w:t>
      </w:r>
      <w:r w:rsidR="00C7742B" w:rsidRPr="00C7742B">
        <w:rPr>
          <w:sz w:val="24"/>
          <w:szCs w:val="24"/>
        </w:rPr>
        <w:t xml:space="preserve">hat </w:t>
      </w:r>
      <w:r w:rsidR="00BC38EF">
        <w:rPr>
          <w:sz w:val="24"/>
          <w:szCs w:val="24"/>
        </w:rPr>
        <w:t xml:space="preserve">600 MHz Band </w:t>
      </w:r>
      <w:r w:rsidR="00E6501C">
        <w:rPr>
          <w:sz w:val="24"/>
          <w:szCs w:val="24"/>
        </w:rPr>
        <w:t xml:space="preserve">wireless </w:t>
      </w:r>
      <w:r w:rsidR="00BC38EF">
        <w:rPr>
          <w:sz w:val="24"/>
          <w:szCs w:val="24"/>
        </w:rPr>
        <w:t>carrier</w:t>
      </w:r>
      <w:r w:rsidR="00C7742B" w:rsidRPr="00C7742B">
        <w:rPr>
          <w:sz w:val="24"/>
          <w:szCs w:val="24"/>
        </w:rPr>
        <w:t xml:space="preserve">s will implement the OET-74 methodology through use of a computer program that uses as inputs a database of the </w:t>
      </w:r>
      <w:r w:rsidR="00BC38EF">
        <w:rPr>
          <w:sz w:val="24"/>
          <w:szCs w:val="24"/>
        </w:rPr>
        <w:t>carriers</w:t>
      </w:r>
      <w:r w:rsidR="00C7742B" w:rsidRPr="00C7742B">
        <w:rPr>
          <w:sz w:val="24"/>
          <w:szCs w:val="24"/>
        </w:rPr>
        <w:t>’ base station t</w:t>
      </w:r>
      <w:r w:rsidR="00E6501C">
        <w:rPr>
          <w:sz w:val="24"/>
          <w:szCs w:val="24"/>
        </w:rPr>
        <w:t xml:space="preserve">echnical parameters.  The </w:t>
      </w:r>
      <w:r w:rsidR="009E0CA1">
        <w:rPr>
          <w:sz w:val="24"/>
          <w:szCs w:val="24"/>
        </w:rPr>
        <w:t xml:space="preserve">Order further </w:t>
      </w:r>
      <w:r w:rsidR="00C7742B" w:rsidRPr="00C7742B">
        <w:rPr>
          <w:sz w:val="24"/>
          <w:szCs w:val="24"/>
        </w:rPr>
        <w:t>anticipate</w:t>
      </w:r>
      <w:r w:rsidR="00264DB7">
        <w:rPr>
          <w:sz w:val="24"/>
          <w:szCs w:val="24"/>
        </w:rPr>
        <w:t>d</w:t>
      </w:r>
      <w:r w:rsidR="00C7742B" w:rsidRPr="00C7742B">
        <w:rPr>
          <w:sz w:val="24"/>
          <w:szCs w:val="24"/>
        </w:rPr>
        <w:t xml:space="preserve"> </w:t>
      </w:r>
      <w:r w:rsidR="009E0CA1">
        <w:rPr>
          <w:sz w:val="24"/>
          <w:szCs w:val="24"/>
        </w:rPr>
        <w:t xml:space="preserve">that the Commission will </w:t>
      </w:r>
      <w:r w:rsidR="00C7742B" w:rsidRPr="00C7742B">
        <w:rPr>
          <w:sz w:val="24"/>
          <w:szCs w:val="24"/>
        </w:rPr>
        <w:t>releas</w:t>
      </w:r>
      <w:r w:rsidR="009E0CA1">
        <w:rPr>
          <w:sz w:val="24"/>
          <w:szCs w:val="24"/>
        </w:rPr>
        <w:t>e</w:t>
      </w:r>
      <w:r w:rsidR="00C7742B" w:rsidRPr="00C7742B">
        <w:rPr>
          <w:sz w:val="24"/>
          <w:szCs w:val="24"/>
        </w:rPr>
        <w:t xml:space="preserve"> </w:t>
      </w:r>
      <w:r w:rsidR="00E6501C" w:rsidRPr="00C7742B">
        <w:rPr>
          <w:sz w:val="24"/>
          <w:szCs w:val="24"/>
        </w:rPr>
        <w:t xml:space="preserve">prior to the incentive auction </w:t>
      </w:r>
      <w:r w:rsidR="00C7742B" w:rsidRPr="00C7742B">
        <w:rPr>
          <w:sz w:val="24"/>
          <w:szCs w:val="24"/>
        </w:rPr>
        <w:t xml:space="preserve">a version of the </w:t>
      </w:r>
      <w:r w:rsidR="00E6501C">
        <w:rPr>
          <w:sz w:val="24"/>
          <w:szCs w:val="24"/>
        </w:rPr>
        <w:t xml:space="preserve">relevant software, called </w:t>
      </w:r>
      <w:r w:rsidR="00C7742B" w:rsidRPr="00C7742B">
        <w:rPr>
          <w:i/>
          <w:sz w:val="24"/>
          <w:szCs w:val="24"/>
        </w:rPr>
        <w:t>TVStudy</w:t>
      </w:r>
      <w:r w:rsidR="00E6501C">
        <w:rPr>
          <w:sz w:val="24"/>
          <w:szCs w:val="24"/>
        </w:rPr>
        <w:t>, which</w:t>
      </w:r>
      <w:r w:rsidR="00C7742B" w:rsidRPr="00C7742B">
        <w:rPr>
          <w:sz w:val="24"/>
          <w:szCs w:val="24"/>
        </w:rPr>
        <w:t xml:space="preserve"> performs these analyses</w:t>
      </w:r>
      <w:r w:rsidR="009E0CA1">
        <w:rPr>
          <w:sz w:val="24"/>
          <w:szCs w:val="24"/>
        </w:rPr>
        <w:t>, and that</w:t>
      </w:r>
      <w:r w:rsidR="00BC38EF">
        <w:rPr>
          <w:sz w:val="24"/>
          <w:szCs w:val="24"/>
        </w:rPr>
        <w:t xml:space="preserve"> </w:t>
      </w:r>
      <w:r w:rsidR="00293E20">
        <w:rPr>
          <w:sz w:val="24"/>
          <w:szCs w:val="24"/>
        </w:rPr>
        <w:t xml:space="preserve">600 MHz Band </w:t>
      </w:r>
      <w:r w:rsidR="00BC38EF">
        <w:rPr>
          <w:sz w:val="24"/>
          <w:szCs w:val="24"/>
        </w:rPr>
        <w:t>wireless carrier</w:t>
      </w:r>
      <w:r w:rsidR="00C7742B" w:rsidRPr="00C7742B">
        <w:rPr>
          <w:sz w:val="24"/>
          <w:szCs w:val="24"/>
        </w:rPr>
        <w:t xml:space="preserve">s will use their own network planning software for this purpose.  </w:t>
      </w:r>
      <w:r w:rsidR="00F35BD0">
        <w:rPr>
          <w:sz w:val="24"/>
          <w:szCs w:val="24"/>
        </w:rPr>
        <w:t xml:space="preserve">Finally, </w:t>
      </w:r>
      <w:r w:rsidR="00C40E30">
        <w:rPr>
          <w:sz w:val="24"/>
          <w:szCs w:val="24"/>
        </w:rPr>
        <w:t>t</w:t>
      </w:r>
      <w:r w:rsidR="00E6501C">
        <w:rPr>
          <w:sz w:val="24"/>
          <w:szCs w:val="24"/>
        </w:rPr>
        <w:t xml:space="preserve">he </w:t>
      </w:r>
      <w:r w:rsidR="009E0CA1">
        <w:rPr>
          <w:sz w:val="24"/>
          <w:szCs w:val="24"/>
        </w:rPr>
        <w:t xml:space="preserve">Order </w:t>
      </w:r>
      <w:r w:rsidR="00E6501C">
        <w:rPr>
          <w:sz w:val="24"/>
          <w:szCs w:val="24"/>
        </w:rPr>
        <w:t>observe</w:t>
      </w:r>
      <w:r w:rsidR="00264DB7">
        <w:rPr>
          <w:sz w:val="24"/>
          <w:szCs w:val="24"/>
        </w:rPr>
        <w:t>d</w:t>
      </w:r>
      <w:r w:rsidR="00E6501C">
        <w:rPr>
          <w:sz w:val="24"/>
          <w:szCs w:val="24"/>
        </w:rPr>
        <w:t xml:space="preserve"> that </w:t>
      </w:r>
      <w:r w:rsidR="004F2923">
        <w:rPr>
          <w:sz w:val="24"/>
          <w:szCs w:val="24"/>
        </w:rPr>
        <w:t xml:space="preserve">600 MHz Band </w:t>
      </w:r>
      <w:r w:rsidR="00C7742B" w:rsidRPr="00C7742B">
        <w:rPr>
          <w:sz w:val="24"/>
          <w:szCs w:val="24"/>
        </w:rPr>
        <w:t xml:space="preserve">wireless </w:t>
      </w:r>
      <w:r w:rsidR="00BC38EF">
        <w:rPr>
          <w:sz w:val="24"/>
          <w:szCs w:val="24"/>
        </w:rPr>
        <w:t>carrier</w:t>
      </w:r>
      <w:r w:rsidR="00C7742B" w:rsidRPr="00C7742B">
        <w:rPr>
          <w:sz w:val="24"/>
          <w:szCs w:val="24"/>
        </w:rPr>
        <w:t>s will need to update the</w:t>
      </w:r>
      <w:r w:rsidR="00264DB7">
        <w:rPr>
          <w:sz w:val="24"/>
          <w:szCs w:val="24"/>
        </w:rPr>
        <w:t>ir</w:t>
      </w:r>
      <w:r w:rsidR="00C7742B" w:rsidRPr="00C7742B">
        <w:rPr>
          <w:sz w:val="24"/>
          <w:szCs w:val="24"/>
        </w:rPr>
        <w:t xml:space="preserve"> analys</w:t>
      </w:r>
      <w:r w:rsidR="00264DB7">
        <w:rPr>
          <w:sz w:val="24"/>
          <w:szCs w:val="24"/>
        </w:rPr>
        <w:t>e</w:t>
      </w:r>
      <w:r w:rsidR="00C7742B" w:rsidRPr="00C7742B">
        <w:rPr>
          <w:sz w:val="24"/>
          <w:szCs w:val="24"/>
        </w:rPr>
        <w:t xml:space="preserve">s only when they add new base stations or modify existing ones in a manner that increases energy in the direction of a DTV station’s contour.  </w:t>
      </w:r>
      <w:r w:rsidR="008A00D8" w:rsidRPr="008A00D8">
        <w:rPr>
          <w:sz w:val="24"/>
          <w:szCs w:val="24"/>
        </w:rPr>
        <w:t xml:space="preserve">These changes could include, for example, an increase in transmitted power, use of a higher antenna, or a change in the antenna pattern.  To eliminate the need for future revisions, </w:t>
      </w:r>
      <w:r w:rsidR="00293E20">
        <w:rPr>
          <w:sz w:val="24"/>
          <w:szCs w:val="24"/>
        </w:rPr>
        <w:t xml:space="preserve">600 MHz Band </w:t>
      </w:r>
      <w:r w:rsidR="008A00D8" w:rsidRPr="008A00D8">
        <w:rPr>
          <w:sz w:val="24"/>
          <w:szCs w:val="24"/>
        </w:rPr>
        <w:t xml:space="preserve">wireless </w:t>
      </w:r>
      <w:r w:rsidR="00BC38EF">
        <w:rPr>
          <w:sz w:val="24"/>
          <w:szCs w:val="24"/>
        </w:rPr>
        <w:t>carrier</w:t>
      </w:r>
      <w:r w:rsidR="008A00D8" w:rsidRPr="008A00D8">
        <w:rPr>
          <w:sz w:val="24"/>
          <w:szCs w:val="24"/>
        </w:rPr>
        <w:t xml:space="preserve">s could perform an initial “worst case” OET-74 analysis that includes the possible future technical parameters that would potentially cause the most interference, so that any subsequent changes to the technical parameters that would reduce the interference potential would not require an additional analysis.  For example, OET-74 specifically allows for the use of an omnidirectional antenna rather than actual </w:t>
      </w:r>
      <w:r w:rsidR="002D0885">
        <w:rPr>
          <w:sz w:val="24"/>
          <w:szCs w:val="24"/>
        </w:rPr>
        <w:t>antenna pattern, which wou</w:t>
      </w:r>
      <w:r w:rsidR="008A00D8" w:rsidRPr="008A00D8">
        <w:rPr>
          <w:sz w:val="24"/>
          <w:szCs w:val="24"/>
        </w:rPr>
        <w:t>l</w:t>
      </w:r>
      <w:r w:rsidR="002D0885">
        <w:rPr>
          <w:sz w:val="24"/>
          <w:szCs w:val="24"/>
        </w:rPr>
        <w:t>d</w:t>
      </w:r>
      <w:r w:rsidR="008A00D8" w:rsidRPr="008A00D8">
        <w:rPr>
          <w:sz w:val="24"/>
          <w:szCs w:val="24"/>
        </w:rPr>
        <w:t xml:space="preserve"> make the analysis more conservative and less prone to change with network adjustments</w:t>
      </w:r>
      <w:r w:rsidR="00643741">
        <w:rPr>
          <w:sz w:val="24"/>
          <w:szCs w:val="24"/>
        </w:rPr>
        <w:t>.</w:t>
      </w:r>
    </w:p>
    <w:p w14:paraId="426A15A2" w14:textId="77777777" w:rsidR="00643741" w:rsidRDefault="00643741" w:rsidP="00643741">
      <w:pPr>
        <w:autoSpaceDE w:val="0"/>
        <w:autoSpaceDN w:val="0"/>
        <w:adjustRightInd w:val="0"/>
        <w:ind w:firstLine="720"/>
        <w:rPr>
          <w:sz w:val="24"/>
          <w:szCs w:val="24"/>
        </w:rPr>
      </w:pPr>
    </w:p>
    <w:p w14:paraId="7ACCADE8" w14:textId="77777777" w:rsidR="00271C03" w:rsidRPr="009F761A" w:rsidRDefault="00271C03" w:rsidP="00271C03">
      <w:pPr>
        <w:pStyle w:val="ListParagraph"/>
        <w:widowControl w:val="0"/>
        <w:numPr>
          <w:ilvl w:val="0"/>
          <w:numId w:val="17"/>
        </w:numPr>
        <w:autoSpaceDE w:val="0"/>
        <w:autoSpaceDN w:val="0"/>
        <w:adjustRightInd w:val="0"/>
        <w:rPr>
          <w:b/>
          <w:sz w:val="24"/>
          <w:szCs w:val="24"/>
        </w:rPr>
      </w:pPr>
      <w:r>
        <w:rPr>
          <w:rFonts w:eastAsiaTheme="minorHAnsi"/>
          <w:b/>
          <w:iCs/>
          <w:sz w:val="24"/>
          <w:szCs w:val="24"/>
        </w:rPr>
        <w:t>Resolving Interference Disputes</w:t>
      </w:r>
    </w:p>
    <w:p w14:paraId="1938971E" w14:textId="77777777" w:rsidR="00271C03" w:rsidRDefault="00271C03" w:rsidP="00643741">
      <w:pPr>
        <w:autoSpaceDE w:val="0"/>
        <w:autoSpaceDN w:val="0"/>
        <w:adjustRightInd w:val="0"/>
        <w:ind w:firstLine="720"/>
        <w:rPr>
          <w:sz w:val="24"/>
          <w:szCs w:val="24"/>
        </w:rPr>
      </w:pPr>
    </w:p>
    <w:p w14:paraId="2B0A1ADD" w14:textId="0553A594" w:rsidR="00643741" w:rsidRDefault="00CE358E" w:rsidP="00643741">
      <w:pPr>
        <w:autoSpaceDE w:val="0"/>
        <w:autoSpaceDN w:val="0"/>
        <w:adjustRightInd w:val="0"/>
        <w:ind w:firstLine="720"/>
        <w:rPr>
          <w:sz w:val="24"/>
          <w:szCs w:val="24"/>
        </w:rPr>
      </w:pPr>
      <w:r>
        <w:rPr>
          <w:sz w:val="24"/>
          <w:szCs w:val="24"/>
        </w:rPr>
        <w:t>A</w:t>
      </w:r>
      <w:r w:rsidR="00643741">
        <w:rPr>
          <w:sz w:val="24"/>
          <w:szCs w:val="24"/>
        </w:rPr>
        <w:t>ny t</w:t>
      </w:r>
      <w:r w:rsidR="00643741" w:rsidRPr="00643741">
        <w:rPr>
          <w:sz w:val="24"/>
          <w:szCs w:val="24"/>
        </w:rPr>
        <w:t xml:space="preserve">elevision station </w:t>
      </w:r>
      <w:r w:rsidR="00036C0E">
        <w:rPr>
          <w:sz w:val="24"/>
          <w:szCs w:val="24"/>
        </w:rPr>
        <w:t>broadcas</w:t>
      </w:r>
      <w:r w:rsidR="00643741" w:rsidRPr="00643741">
        <w:rPr>
          <w:sz w:val="24"/>
          <w:szCs w:val="24"/>
        </w:rPr>
        <w:t xml:space="preserve">ting in the 600 MHz Band that experiences harmful interference from co-channel or adjacent channel wireless </w:t>
      </w:r>
      <w:r w:rsidR="00293E20">
        <w:rPr>
          <w:sz w:val="24"/>
          <w:szCs w:val="24"/>
        </w:rPr>
        <w:t xml:space="preserve">carrier </w:t>
      </w:r>
      <w:r w:rsidR="00643741" w:rsidRPr="00643741">
        <w:rPr>
          <w:sz w:val="24"/>
          <w:szCs w:val="24"/>
        </w:rPr>
        <w:t xml:space="preserve">operations </w:t>
      </w:r>
      <w:r>
        <w:rPr>
          <w:sz w:val="24"/>
          <w:szCs w:val="24"/>
        </w:rPr>
        <w:t xml:space="preserve">must </w:t>
      </w:r>
      <w:r w:rsidR="004F2923">
        <w:rPr>
          <w:sz w:val="24"/>
          <w:szCs w:val="24"/>
        </w:rPr>
        <w:t>contact that</w:t>
      </w:r>
      <w:r w:rsidR="00643741" w:rsidRPr="00643741">
        <w:rPr>
          <w:sz w:val="24"/>
          <w:szCs w:val="24"/>
        </w:rPr>
        <w:t xml:space="preserve"> </w:t>
      </w:r>
      <w:r w:rsidR="00466F33">
        <w:rPr>
          <w:sz w:val="24"/>
          <w:szCs w:val="24"/>
        </w:rPr>
        <w:t xml:space="preserve">co-channel or adjacent channel </w:t>
      </w:r>
      <w:r w:rsidR="00643741" w:rsidRPr="00643741">
        <w:rPr>
          <w:sz w:val="24"/>
          <w:szCs w:val="24"/>
        </w:rPr>
        <w:t xml:space="preserve">wireless </w:t>
      </w:r>
      <w:r w:rsidR="00293E20">
        <w:rPr>
          <w:sz w:val="24"/>
          <w:szCs w:val="24"/>
        </w:rPr>
        <w:t>carrier</w:t>
      </w:r>
      <w:r w:rsidR="00643741" w:rsidRPr="00643741">
        <w:rPr>
          <w:sz w:val="24"/>
          <w:szCs w:val="24"/>
        </w:rPr>
        <w:t xml:space="preserve"> to resolve the issue.  The wireless </w:t>
      </w:r>
      <w:r w:rsidR="00293E20">
        <w:rPr>
          <w:sz w:val="24"/>
          <w:szCs w:val="24"/>
        </w:rPr>
        <w:t>carrier</w:t>
      </w:r>
      <w:r w:rsidR="00643741" w:rsidRPr="00643741">
        <w:rPr>
          <w:sz w:val="24"/>
          <w:szCs w:val="24"/>
        </w:rPr>
        <w:t xml:space="preserve"> </w:t>
      </w:r>
      <w:r>
        <w:rPr>
          <w:sz w:val="24"/>
          <w:szCs w:val="24"/>
        </w:rPr>
        <w:t>is</w:t>
      </w:r>
      <w:r w:rsidR="00643741">
        <w:rPr>
          <w:sz w:val="24"/>
          <w:szCs w:val="24"/>
        </w:rPr>
        <w:t xml:space="preserve"> required to</w:t>
      </w:r>
      <w:r w:rsidR="00643741" w:rsidRPr="00643741">
        <w:rPr>
          <w:sz w:val="24"/>
          <w:szCs w:val="24"/>
        </w:rPr>
        <w:t xml:space="preserve"> provide to the </w:t>
      </w:r>
      <w:r w:rsidR="00036C0E">
        <w:rPr>
          <w:sz w:val="24"/>
          <w:szCs w:val="24"/>
        </w:rPr>
        <w:t>affected broadcaster</w:t>
      </w:r>
      <w:r w:rsidR="00643741" w:rsidRPr="00643741">
        <w:rPr>
          <w:sz w:val="24"/>
          <w:szCs w:val="24"/>
        </w:rPr>
        <w:t xml:space="preserve"> the latest OET-74 analysis </w:t>
      </w:r>
      <w:r w:rsidR="00B77744">
        <w:rPr>
          <w:sz w:val="24"/>
          <w:szCs w:val="24"/>
        </w:rPr>
        <w:t>indicating</w:t>
      </w:r>
      <w:r w:rsidR="00643741" w:rsidRPr="00643741">
        <w:rPr>
          <w:sz w:val="24"/>
          <w:szCs w:val="24"/>
        </w:rPr>
        <w:t xml:space="preserve"> that no harmful interference was predicted to occur in the specific geographic area at issue.  </w:t>
      </w:r>
      <w:r w:rsidR="00B77744">
        <w:rPr>
          <w:sz w:val="24"/>
          <w:szCs w:val="24"/>
        </w:rPr>
        <w:t xml:space="preserve">However, </w:t>
      </w:r>
      <w:r w:rsidR="00AF2509">
        <w:rPr>
          <w:sz w:val="24"/>
          <w:szCs w:val="24"/>
        </w:rPr>
        <w:t>t</w:t>
      </w:r>
      <w:r w:rsidR="00AF2509" w:rsidRPr="00AF2509">
        <w:rPr>
          <w:sz w:val="24"/>
          <w:szCs w:val="24"/>
        </w:rPr>
        <w:t>h</w:t>
      </w:r>
      <w:r w:rsidR="00AF2509">
        <w:rPr>
          <w:sz w:val="24"/>
          <w:szCs w:val="24"/>
        </w:rPr>
        <w:t>e</w:t>
      </w:r>
      <w:r w:rsidR="00B77744">
        <w:rPr>
          <w:sz w:val="24"/>
          <w:szCs w:val="24"/>
        </w:rPr>
        <w:t xml:space="preserve"> </w:t>
      </w:r>
      <w:r w:rsidR="004F2923">
        <w:rPr>
          <w:sz w:val="24"/>
          <w:szCs w:val="24"/>
        </w:rPr>
        <w:t xml:space="preserve">obligation </w:t>
      </w:r>
      <w:r w:rsidR="00B77744">
        <w:rPr>
          <w:sz w:val="24"/>
          <w:szCs w:val="24"/>
        </w:rPr>
        <w:t xml:space="preserve">of the wireless carrier </w:t>
      </w:r>
      <w:r w:rsidR="00AF2509" w:rsidRPr="00AF2509">
        <w:rPr>
          <w:sz w:val="24"/>
          <w:szCs w:val="24"/>
        </w:rPr>
        <w:t xml:space="preserve">to eliminate </w:t>
      </w:r>
      <w:r w:rsidR="005D685E">
        <w:rPr>
          <w:sz w:val="24"/>
          <w:szCs w:val="24"/>
        </w:rPr>
        <w:t xml:space="preserve">any </w:t>
      </w:r>
      <w:r w:rsidR="00AF2509" w:rsidRPr="00AF2509">
        <w:rPr>
          <w:sz w:val="24"/>
          <w:szCs w:val="24"/>
        </w:rPr>
        <w:t>harmful interference</w:t>
      </w:r>
      <w:r w:rsidR="00036C0E">
        <w:rPr>
          <w:sz w:val="24"/>
          <w:szCs w:val="24"/>
        </w:rPr>
        <w:t xml:space="preserve"> </w:t>
      </w:r>
      <w:r w:rsidR="005D685E">
        <w:rPr>
          <w:sz w:val="24"/>
          <w:szCs w:val="24"/>
        </w:rPr>
        <w:t xml:space="preserve">it </w:t>
      </w:r>
      <w:r w:rsidR="00D2236A">
        <w:rPr>
          <w:sz w:val="24"/>
          <w:szCs w:val="24"/>
        </w:rPr>
        <w:t>is</w:t>
      </w:r>
      <w:r w:rsidR="005D685E">
        <w:rPr>
          <w:sz w:val="24"/>
          <w:szCs w:val="24"/>
        </w:rPr>
        <w:t xml:space="preserve"> causing </w:t>
      </w:r>
      <w:r w:rsidR="00036C0E">
        <w:rPr>
          <w:sz w:val="24"/>
          <w:szCs w:val="24"/>
        </w:rPr>
        <w:t>to the television station</w:t>
      </w:r>
      <w:r w:rsidR="00AF2509">
        <w:rPr>
          <w:sz w:val="24"/>
          <w:szCs w:val="24"/>
        </w:rPr>
        <w:t xml:space="preserve"> w</w:t>
      </w:r>
      <w:r w:rsidR="00D2236A">
        <w:rPr>
          <w:sz w:val="24"/>
          <w:szCs w:val="24"/>
        </w:rPr>
        <w:t>ill</w:t>
      </w:r>
      <w:r w:rsidR="00AF2509">
        <w:rPr>
          <w:sz w:val="24"/>
          <w:szCs w:val="24"/>
        </w:rPr>
        <w:t xml:space="preserve"> </w:t>
      </w:r>
      <w:r w:rsidR="00B77744">
        <w:rPr>
          <w:sz w:val="24"/>
          <w:szCs w:val="24"/>
        </w:rPr>
        <w:t>remain</w:t>
      </w:r>
      <w:r w:rsidR="004F2923">
        <w:rPr>
          <w:sz w:val="24"/>
          <w:szCs w:val="24"/>
        </w:rPr>
        <w:t>,</w:t>
      </w:r>
      <w:r w:rsidR="00AF2509" w:rsidRPr="00AF2509">
        <w:rPr>
          <w:sz w:val="24"/>
          <w:szCs w:val="24"/>
        </w:rPr>
        <w:t xml:space="preserve"> even if the OET-74 analysis </w:t>
      </w:r>
      <w:r w:rsidR="005D685E">
        <w:rPr>
          <w:sz w:val="24"/>
          <w:szCs w:val="24"/>
        </w:rPr>
        <w:t xml:space="preserve">had predicted </w:t>
      </w:r>
      <w:r w:rsidR="00AF2509">
        <w:rPr>
          <w:sz w:val="24"/>
          <w:szCs w:val="24"/>
        </w:rPr>
        <w:t>that no harmful interference w</w:t>
      </w:r>
      <w:r w:rsidR="005D685E">
        <w:rPr>
          <w:sz w:val="24"/>
          <w:szCs w:val="24"/>
        </w:rPr>
        <w:t>ould</w:t>
      </w:r>
      <w:r w:rsidR="00AF2509">
        <w:rPr>
          <w:sz w:val="24"/>
          <w:szCs w:val="24"/>
        </w:rPr>
        <w:t xml:space="preserve"> </w:t>
      </w:r>
      <w:r w:rsidR="00AF2509" w:rsidRPr="00AF2509">
        <w:rPr>
          <w:sz w:val="24"/>
          <w:szCs w:val="24"/>
        </w:rPr>
        <w:t>occur</w:t>
      </w:r>
      <w:r w:rsidR="00AF2509">
        <w:t xml:space="preserve">.  </w:t>
      </w:r>
      <w:r w:rsidR="00643741">
        <w:rPr>
          <w:sz w:val="24"/>
          <w:szCs w:val="24"/>
        </w:rPr>
        <w:t>The Order further require</w:t>
      </w:r>
      <w:r w:rsidR="00D2236A">
        <w:rPr>
          <w:sz w:val="24"/>
          <w:szCs w:val="24"/>
        </w:rPr>
        <w:t>s</w:t>
      </w:r>
      <w:r w:rsidR="00643741">
        <w:rPr>
          <w:sz w:val="24"/>
          <w:szCs w:val="24"/>
        </w:rPr>
        <w:t xml:space="preserve"> that w</w:t>
      </w:r>
      <w:r w:rsidR="00643741" w:rsidRPr="00643741">
        <w:rPr>
          <w:sz w:val="24"/>
          <w:szCs w:val="24"/>
        </w:rPr>
        <w:t xml:space="preserve">ireless </w:t>
      </w:r>
      <w:r w:rsidR="00293E20">
        <w:rPr>
          <w:sz w:val="24"/>
          <w:szCs w:val="24"/>
        </w:rPr>
        <w:t>carrier</w:t>
      </w:r>
      <w:r w:rsidR="00643741" w:rsidRPr="00643741">
        <w:rPr>
          <w:sz w:val="24"/>
          <w:szCs w:val="24"/>
        </w:rPr>
        <w:t xml:space="preserve">s and </w:t>
      </w:r>
      <w:r w:rsidR="00036C0E">
        <w:rPr>
          <w:sz w:val="24"/>
          <w:szCs w:val="24"/>
        </w:rPr>
        <w:t>broadcasters</w:t>
      </w:r>
      <w:r w:rsidR="00643741" w:rsidRPr="00643741">
        <w:rPr>
          <w:sz w:val="24"/>
          <w:szCs w:val="24"/>
        </w:rPr>
        <w:t xml:space="preserve"> </w:t>
      </w:r>
      <w:r w:rsidR="00643741">
        <w:rPr>
          <w:sz w:val="24"/>
          <w:szCs w:val="24"/>
        </w:rPr>
        <w:t>c</w:t>
      </w:r>
      <w:r w:rsidR="00643741" w:rsidRPr="00643741">
        <w:rPr>
          <w:sz w:val="24"/>
          <w:szCs w:val="24"/>
        </w:rPr>
        <w:t xml:space="preserve">ooperate in good faith to resolve any disputes, so as not to unreasonably disrupt wireless and broadcast operations.  </w:t>
      </w:r>
      <w:r w:rsidR="00981017">
        <w:rPr>
          <w:sz w:val="24"/>
          <w:szCs w:val="24"/>
        </w:rPr>
        <w:t>In</w:t>
      </w:r>
      <w:r w:rsidR="00643741" w:rsidRPr="00643741">
        <w:rPr>
          <w:sz w:val="24"/>
          <w:szCs w:val="24"/>
        </w:rPr>
        <w:t xml:space="preserve"> the event </w:t>
      </w:r>
      <w:r w:rsidR="00643741">
        <w:rPr>
          <w:sz w:val="24"/>
          <w:szCs w:val="24"/>
        </w:rPr>
        <w:t xml:space="preserve">that </w:t>
      </w:r>
      <w:r w:rsidR="00643741" w:rsidRPr="00643741">
        <w:rPr>
          <w:sz w:val="24"/>
          <w:szCs w:val="24"/>
        </w:rPr>
        <w:t xml:space="preserve">the parties </w:t>
      </w:r>
      <w:r w:rsidR="004F2923">
        <w:rPr>
          <w:sz w:val="24"/>
          <w:szCs w:val="24"/>
        </w:rPr>
        <w:t xml:space="preserve">are unable to </w:t>
      </w:r>
      <w:r w:rsidR="00643741" w:rsidRPr="00643741">
        <w:rPr>
          <w:sz w:val="24"/>
          <w:szCs w:val="24"/>
        </w:rPr>
        <w:t xml:space="preserve">reach resolution, the </w:t>
      </w:r>
      <w:r w:rsidR="00643741">
        <w:rPr>
          <w:sz w:val="24"/>
          <w:szCs w:val="24"/>
        </w:rPr>
        <w:t xml:space="preserve">Order </w:t>
      </w:r>
      <w:r w:rsidR="00036C0E">
        <w:rPr>
          <w:sz w:val="24"/>
          <w:szCs w:val="24"/>
        </w:rPr>
        <w:t>authorized the</w:t>
      </w:r>
      <w:r w:rsidR="00643741">
        <w:rPr>
          <w:sz w:val="24"/>
          <w:szCs w:val="24"/>
        </w:rPr>
        <w:t xml:space="preserve"> affected </w:t>
      </w:r>
      <w:r w:rsidR="00643741" w:rsidRPr="00643741">
        <w:rPr>
          <w:sz w:val="24"/>
          <w:szCs w:val="24"/>
        </w:rPr>
        <w:t xml:space="preserve">broadcaster </w:t>
      </w:r>
      <w:r w:rsidR="00643741">
        <w:rPr>
          <w:sz w:val="24"/>
          <w:szCs w:val="24"/>
        </w:rPr>
        <w:t>to</w:t>
      </w:r>
      <w:r w:rsidR="00643741" w:rsidRPr="00643741">
        <w:rPr>
          <w:sz w:val="24"/>
          <w:szCs w:val="24"/>
        </w:rPr>
        <w:t xml:space="preserve"> submit a claim of harmful interference to the Commission.</w:t>
      </w:r>
    </w:p>
    <w:p w14:paraId="3DB55645" w14:textId="77777777" w:rsidR="00AF2509" w:rsidRPr="00643741" w:rsidRDefault="00AF2509" w:rsidP="00643741">
      <w:pPr>
        <w:autoSpaceDE w:val="0"/>
        <w:autoSpaceDN w:val="0"/>
        <w:adjustRightInd w:val="0"/>
        <w:ind w:firstLine="720"/>
        <w:rPr>
          <w:sz w:val="24"/>
          <w:szCs w:val="24"/>
        </w:rPr>
      </w:pPr>
    </w:p>
    <w:p w14:paraId="70BB6191" w14:textId="77777777" w:rsidR="00D76B17" w:rsidRPr="00E53F09" w:rsidRDefault="00D76B17" w:rsidP="00D76B17">
      <w:pPr>
        <w:pStyle w:val="ListParagraph"/>
        <w:widowControl w:val="0"/>
        <w:numPr>
          <w:ilvl w:val="0"/>
          <w:numId w:val="15"/>
        </w:numPr>
        <w:autoSpaceDE w:val="0"/>
        <w:autoSpaceDN w:val="0"/>
        <w:adjustRightInd w:val="0"/>
        <w:rPr>
          <w:b/>
          <w:sz w:val="24"/>
          <w:szCs w:val="24"/>
        </w:rPr>
      </w:pPr>
      <w:r w:rsidRPr="00AB4406">
        <w:rPr>
          <w:rFonts w:eastAsiaTheme="minorHAnsi"/>
          <w:b/>
          <w:iCs/>
          <w:sz w:val="24"/>
          <w:szCs w:val="24"/>
        </w:rPr>
        <w:t xml:space="preserve">      </w:t>
      </w:r>
      <w:r w:rsidRPr="00E53F09">
        <w:rPr>
          <w:rFonts w:eastAsiaTheme="minorHAnsi"/>
          <w:b/>
          <w:iCs/>
          <w:sz w:val="24"/>
          <w:szCs w:val="24"/>
        </w:rPr>
        <w:t xml:space="preserve">Protecting </w:t>
      </w:r>
      <w:r>
        <w:rPr>
          <w:rFonts w:eastAsiaTheme="minorHAnsi"/>
          <w:b/>
          <w:iCs/>
          <w:sz w:val="24"/>
          <w:szCs w:val="24"/>
        </w:rPr>
        <w:t xml:space="preserve">Wireless Carriers </w:t>
      </w:r>
      <w:r w:rsidRPr="00E53F09">
        <w:rPr>
          <w:rFonts w:eastAsiaTheme="minorHAnsi"/>
          <w:b/>
          <w:iCs/>
          <w:sz w:val="24"/>
          <w:szCs w:val="24"/>
        </w:rPr>
        <w:t>in the 600 MHz Band From Inter-</w:t>
      </w:r>
      <w:r>
        <w:rPr>
          <w:rFonts w:eastAsiaTheme="minorHAnsi"/>
          <w:b/>
          <w:iCs/>
          <w:sz w:val="24"/>
          <w:szCs w:val="24"/>
        </w:rPr>
        <w:t xml:space="preserve">   </w:t>
      </w:r>
    </w:p>
    <w:p w14:paraId="5F9AE2F9" w14:textId="77777777" w:rsidR="00D76B17" w:rsidRPr="00E53F09" w:rsidRDefault="00D76B17" w:rsidP="00D76B17">
      <w:pPr>
        <w:pStyle w:val="ListParagraph"/>
        <w:widowControl w:val="0"/>
        <w:autoSpaceDE w:val="0"/>
        <w:autoSpaceDN w:val="0"/>
        <w:adjustRightInd w:val="0"/>
        <w:rPr>
          <w:b/>
          <w:sz w:val="24"/>
          <w:szCs w:val="24"/>
        </w:rPr>
      </w:pPr>
      <w:r>
        <w:rPr>
          <w:rFonts w:eastAsiaTheme="minorHAnsi"/>
          <w:b/>
          <w:iCs/>
          <w:sz w:val="24"/>
          <w:szCs w:val="24"/>
        </w:rPr>
        <w:t xml:space="preserve">      </w:t>
      </w:r>
      <w:r w:rsidRPr="00E53F09">
        <w:rPr>
          <w:rFonts w:eastAsiaTheme="minorHAnsi"/>
          <w:b/>
          <w:iCs/>
          <w:sz w:val="24"/>
          <w:szCs w:val="24"/>
        </w:rPr>
        <w:t>Service Interference</w:t>
      </w:r>
    </w:p>
    <w:p w14:paraId="5402487E" w14:textId="77777777" w:rsidR="00D76B17" w:rsidRPr="009F761A" w:rsidRDefault="00D76B17" w:rsidP="00D76B17">
      <w:pPr>
        <w:autoSpaceDE w:val="0"/>
        <w:autoSpaceDN w:val="0"/>
        <w:adjustRightInd w:val="0"/>
        <w:ind w:firstLine="720"/>
        <w:rPr>
          <w:rFonts w:eastAsiaTheme="minorHAnsi"/>
          <w:sz w:val="24"/>
          <w:szCs w:val="24"/>
        </w:rPr>
      </w:pPr>
    </w:p>
    <w:p w14:paraId="76A3E209" w14:textId="77777777" w:rsidR="00D76B17" w:rsidRPr="007F0F57" w:rsidRDefault="00D76B17" w:rsidP="00D76B17">
      <w:pPr>
        <w:autoSpaceDE w:val="0"/>
        <w:autoSpaceDN w:val="0"/>
        <w:adjustRightInd w:val="0"/>
        <w:ind w:firstLine="720"/>
        <w:rPr>
          <w:rFonts w:eastAsiaTheme="minorHAnsi"/>
          <w:sz w:val="24"/>
          <w:szCs w:val="24"/>
        </w:rPr>
      </w:pPr>
      <w:r w:rsidRPr="007F0F57">
        <w:rPr>
          <w:rFonts w:eastAsiaTheme="minorHAnsi"/>
          <w:sz w:val="24"/>
          <w:szCs w:val="24"/>
        </w:rPr>
        <w:t>The Commission limited full-power and Class A television stations assigned to channels in the 600 MHz Band from expanding their noise-limited and protected contours, respectively, if</w:t>
      </w:r>
    </w:p>
    <w:p w14:paraId="0823726D" w14:textId="77777777" w:rsidR="00D76B17" w:rsidRDefault="00D76B17" w:rsidP="00D76B17">
      <w:pPr>
        <w:autoSpaceDE w:val="0"/>
        <w:autoSpaceDN w:val="0"/>
        <w:adjustRightInd w:val="0"/>
        <w:rPr>
          <w:rFonts w:ascii="Arial" w:hAnsi="Arial" w:cs="Arial"/>
          <w:color w:val="222222"/>
          <w:sz w:val="24"/>
          <w:szCs w:val="24"/>
          <w:shd w:val="clear" w:color="auto" w:fill="FFFFFF"/>
        </w:rPr>
      </w:pPr>
      <w:r w:rsidRPr="007F0F57">
        <w:rPr>
          <w:rFonts w:eastAsiaTheme="minorHAnsi"/>
          <w:sz w:val="24"/>
          <w:szCs w:val="24"/>
        </w:rPr>
        <w:t xml:space="preserve">doing so would increase the impairments to co-channel or adjacent channel 600 MHz Band wireless carriers, unless an agreement is reached with a co-channel or adjacent channel wireless carrier allowing for such expansion.  LPTV and TV translator stations in the 600 MHz Band may continue operating indefinitely, unless a 600 MHz Band wireless carrier provides advance notice that it intends to commence operations and the LPTV or TV translator station is likely to cause harmful interference to the wireless carrier’s operations.  600 MHz Band wireless carriers will be required to use the ISIX Methodology, as modified in the </w:t>
      </w:r>
      <w:r w:rsidRPr="007F0F57">
        <w:rPr>
          <w:rFonts w:eastAsiaTheme="minorHAnsi"/>
          <w:i/>
          <w:iCs/>
          <w:sz w:val="24"/>
          <w:szCs w:val="24"/>
        </w:rPr>
        <w:t xml:space="preserve">First Reconsideration Order, </w:t>
      </w:r>
      <w:r w:rsidRPr="007F0F57">
        <w:rPr>
          <w:rFonts w:eastAsiaTheme="minorHAnsi"/>
          <w:sz w:val="24"/>
          <w:szCs w:val="24"/>
        </w:rPr>
        <w:t>for predicting interference to their operations from LPTV and TV translator stations for purposes of providing these stations with advance displacement notice.</w:t>
      </w:r>
      <w:r w:rsidR="007F0F57" w:rsidRPr="007F0F57">
        <w:rPr>
          <w:color w:val="222222"/>
          <w:sz w:val="24"/>
          <w:szCs w:val="24"/>
          <w:shd w:val="clear" w:color="auto" w:fill="FFFFFF"/>
        </w:rPr>
        <w:t xml:space="preserve">  For this analysis, 600 MHz licensees will use the threshold values for the prediction of interference from full power television to wireless oper</w:t>
      </w:r>
      <w:r w:rsidR="007F0F57">
        <w:rPr>
          <w:color w:val="222222"/>
          <w:sz w:val="24"/>
          <w:szCs w:val="24"/>
          <w:shd w:val="clear" w:color="auto" w:fill="FFFFFF"/>
        </w:rPr>
        <w:t>ations</w:t>
      </w:r>
      <w:r w:rsidR="007F0F57" w:rsidRPr="007F0F57">
        <w:rPr>
          <w:color w:val="222222"/>
          <w:sz w:val="24"/>
          <w:szCs w:val="24"/>
          <w:shd w:val="clear" w:color="auto" w:fill="FFFFFF"/>
        </w:rPr>
        <w:t>.</w:t>
      </w:r>
      <w:r w:rsidR="007F0F57" w:rsidRPr="007F0F57">
        <w:rPr>
          <w:rFonts w:ascii="Arial" w:hAnsi="Arial" w:cs="Arial"/>
          <w:color w:val="222222"/>
          <w:sz w:val="24"/>
          <w:szCs w:val="24"/>
          <w:shd w:val="clear" w:color="auto" w:fill="FFFFFF"/>
        </w:rPr>
        <w:t> </w:t>
      </w:r>
    </w:p>
    <w:p w14:paraId="0A6F097A" w14:textId="77777777" w:rsidR="007E1A70" w:rsidRPr="007F0F57" w:rsidRDefault="007E1A70" w:rsidP="00D76B17">
      <w:pPr>
        <w:autoSpaceDE w:val="0"/>
        <w:autoSpaceDN w:val="0"/>
        <w:adjustRightInd w:val="0"/>
        <w:rPr>
          <w:rFonts w:eastAsiaTheme="minorHAnsi"/>
          <w:sz w:val="24"/>
          <w:szCs w:val="24"/>
        </w:rPr>
      </w:pPr>
    </w:p>
    <w:p w14:paraId="52E97C83" w14:textId="77777777" w:rsidR="000E3C37" w:rsidRDefault="000E3C37" w:rsidP="00725A7B">
      <w:pPr>
        <w:rPr>
          <w:b/>
          <w:sz w:val="24"/>
          <w:szCs w:val="24"/>
        </w:rPr>
      </w:pPr>
      <w:r>
        <w:rPr>
          <w:b/>
          <w:sz w:val="24"/>
          <w:szCs w:val="24"/>
        </w:rPr>
        <w:t>III.</w:t>
      </w:r>
      <w:r>
        <w:rPr>
          <w:b/>
          <w:sz w:val="24"/>
          <w:szCs w:val="24"/>
        </w:rPr>
        <w:tab/>
      </w:r>
      <w:r w:rsidR="00E005C8">
        <w:rPr>
          <w:b/>
          <w:sz w:val="24"/>
          <w:szCs w:val="24"/>
        </w:rPr>
        <w:t>RECORDKEEPING AND OTHER COMPLIANCE REQUIREMENTS</w:t>
      </w:r>
    </w:p>
    <w:p w14:paraId="625AA147" w14:textId="77777777" w:rsidR="00E005C8" w:rsidRDefault="00E005C8" w:rsidP="00725A7B">
      <w:pPr>
        <w:rPr>
          <w:b/>
          <w:sz w:val="24"/>
          <w:szCs w:val="24"/>
        </w:rPr>
      </w:pPr>
    </w:p>
    <w:p w14:paraId="49EA0C04" w14:textId="7503D1F0" w:rsidR="005E7318" w:rsidRPr="007E1A70" w:rsidRDefault="00FE512D" w:rsidP="005E7318">
      <w:pPr>
        <w:pStyle w:val="ParaNum"/>
        <w:widowControl w:val="0"/>
        <w:numPr>
          <w:ilvl w:val="0"/>
          <w:numId w:val="0"/>
        </w:numPr>
        <w:ind w:left="90" w:firstLine="720"/>
        <w:rPr>
          <w:sz w:val="24"/>
          <w:szCs w:val="24"/>
          <w:lang w:val="en-US"/>
        </w:rPr>
      </w:pPr>
      <w:r w:rsidRPr="00FE512D">
        <w:rPr>
          <w:sz w:val="24"/>
          <w:szCs w:val="24"/>
          <w:lang w:val="en-US"/>
        </w:rPr>
        <w:t xml:space="preserve">A </w:t>
      </w:r>
      <w:r w:rsidRPr="00FE512D">
        <w:rPr>
          <w:sz w:val="24"/>
          <w:szCs w:val="24"/>
        </w:rPr>
        <w:t>w</w:t>
      </w:r>
      <w:r w:rsidR="005E7318" w:rsidRPr="00FE512D">
        <w:rPr>
          <w:sz w:val="24"/>
          <w:szCs w:val="24"/>
        </w:rPr>
        <w:t xml:space="preserve">ireless </w:t>
      </w:r>
      <w:r w:rsidRPr="00FE512D">
        <w:rPr>
          <w:sz w:val="24"/>
          <w:szCs w:val="24"/>
          <w:lang w:val="en-US"/>
        </w:rPr>
        <w:t xml:space="preserve">carrier operating </w:t>
      </w:r>
      <w:r w:rsidR="005E7318" w:rsidRPr="00FE512D">
        <w:rPr>
          <w:sz w:val="24"/>
          <w:szCs w:val="24"/>
        </w:rPr>
        <w:t xml:space="preserve">in the 600 MHz Band </w:t>
      </w:r>
      <w:r w:rsidRPr="00FE512D">
        <w:rPr>
          <w:sz w:val="24"/>
          <w:szCs w:val="24"/>
          <w:lang w:val="en-US"/>
        </w:rPr>
        <w:t>must</w:t>
      </w:r>
      <w:r w:rsidR="005E7318" w:rsidRPr="00FE512D">
        <w:rPr>
          <w:sz w:val="24"/>
          <w:szCs w:val="24"/>
        </w:rPr>
        <w:t xml:space="preserve"> conduct an interference analysis using OET-74 before operating a base station within the </w:t>
      </w:r>
      <w:r w:rsidR="005E7318" w:rsidRPr="00FE512D">
        <w:rPr>
          <w:sz w:val="24"/>
          <w:szCs w:val="24"/>
          <w:lang w:val="en-US"/>
        </w:rPr>
        <w:t>“</w:t>
      </w:r>
      <w:r w:rsidR="005E7318" w:rsidRPr="00FE512D">
        <w:rPr>
          <w:sz w:val="24"/>
          <w:szCs w:val="24"/>
        </w:rPr>
        <w:t>culling</w:t>
      </w:r>
      <w:r w:rsidR="005E7318" w:rsidRPr="00FE512D">
        <w:rPr>
          <w:sz w:val="24"/>
          <w:szCs w:val="24"/>
          <w:lang w:val="en-US"/>
        </w:rPr>
        <w:t>” (interference)</w:t>
      </w:r>
      <w:r w:rsidR="005E7318" w:rsidRPr="00FE512D">
        <w:rPr>
          <w:sz w:val="24"/>
          <w:szCs w:val="24"/>
        </w:rPr>
        <w:t xml:space="preserve"> distance of the contour of a co-channel or adjacent channel broadcast television station.  </w:t>
      </w:r>
      <w:r w:rsidRPr="00FE512D">
        <w:rPr>
          <w:sz w:val="24"/>
          <w:szCs w:val="24"/>
          <w:lang w:val="en-US"/>
        </w:rPr>
        <w:t>Each 600 MHz Band wireless carrier must also</w:t>
      </w:r>
      <w:r w:rsidR="005E7318" w:rsidRPr="00FE512D">
        <w:rPr>
          <w:sz w:val="24"/>
          <w:szCs w:val="24"/>
        </w:rPr>
        <w:t xml:space="preserve"> conduct an OET-74 interference analysis when making a modification to such a base station that could result in an increase in energy in the direction of br</w:t>
      </w:r>
      <w:r w:rsidR="00AE249D" w:rsidRPr="00FE512D">
        <w:rPr>
          <w:sz w:val="24"/>
          <w:szCs w:val="24"/>
        </w:rPr>
        <w:t xml:space="preserve">oadcast station’s contour.  Additionally, </w:t>
      </w:r>
      <w:r w:rsidRPr="00FE512D">
        <w:rPr>
          <w:sz w:val="24"/>
          <w:szCs w:val="24"/>
          <w:lang w:val="en-US"/>
        </w:rPr>
        <w:t xml:space="preserve">each 600 MHz Band </w:t>
      </w:r>
      <w:r w:rsidR="005E7318" w:rsidRPr="00FE512D">
        <w:rPr>
          <w:sz w:val="24"/>
          <w:szCs w:val="24"/>
        </w:rPr>
        <w:t xml:space="preserve">wireless </w:t>
      </w:r>
      <w:r w:rsidRPr="00FE512D">
        <w:rPr>
          <w:sz w:val="24"/>
          <w:szCs w:val="24"/>
          <w:lang w:val="en-US"/>
        </w:rPr>
        <w:t>carrier must r</w:t>
      </w:r>
      <w:r w:rsidR="005E7318" w:rsidRPr="00FE512D">
        <w:rPr>
          <w:sz w:val="24"/>
          <w:szCs w:val="24"/>
        </w:rPr>
        <w:t xml:space="preserve">etain the latest copy of </w:t>
      </w:r>
      <w:r w:rsidRPr="00FE512D">
        <w:rPr>
          <w:sz w:val="24"/>
          <w:szCs w:val="24"/>
          <w:lang w:val="en-US"/>
        </w:rPr>
        <w:t>its</w:t>
      </w:r>
      <w:r w:rsidR="005E7318" w:rsidRPr="00FE512D">
        <w:rPr>
          <w:sz w:val="24"/>
          <w:szCs w:val="24"/>
        </w:rPr>
        <w:t xml:space="preserve"> OET-74 analysis for each base station that is within the culling distance of a co-channel or adjacent channel broadcast station.  </w:t>
      </w:r>
      <w:r w:rsidR="00C20203">
        <w:rPr>
          <w:sz w:val="24"/>
          <w:szCs w:val="24"/>
          <w:lang w:val="en-US"/>
        </w:rPr>
        <w:t>Moreover</w:t>
      </w:r>
      <w:r w:rsidR="00AE249D" w:rsidRPr="00FE512D">
        <w:rPr>
          <w:sz w:val="24"/>
          <w:szCs w:val="24"/>
          <w:lang w:val="en-US"/>
        </w:rPr>
        <w:t xml:space="preserve">, </w:t>
      </w:r>
      <w:r w:rsidRPr="00FE512D">
        <w:rPr>
          <w:sz w:val="24"/>
          <w:szCs w:val="24"/>
          <w:lang w:val="en-US"/>
        </w:rPr>
        <w:t xml:space="preserve">each 600 MHz Band </w:t>
      </w:r>
      <w:r w:rsidR="005E7318" w:rsidRPr="00FE512D">
        <w:rPr>
          <w:sz w:val="24"/>
          <w:szCs w:val="24"/>
        </w:rPr>
        <w:t xml:space="preserve">wireless </w:t>
      </w:r>
      <w:r w:rsidRPr="00FE512D">
        <w:rPr>
          <w:sz w:val="24"/>
          <w:szCs w:val="24"/>
          <w:lang w:val="en-US"/>
        </w:rPr>
        <w:t>carrier must</w:t>
      </w:r>
      <w:r w:rsidR="00AE249D" w:rsidRPr="00FE512D">
        <w:rPr>
          <w:sz w:val="24"/>
          <w:szCs w:val="24"/>
        </w:rPr>
        <w:t xml:space="preserve"> make </w:t>
      </w:r>
      <w:r w:rsidRPr="00FE512D">
        <w:rPr>
          <w:sz w:val="24"/>
          <w:szCs w:val="24"/>
          <w:lang w:val="en-US"/>
        </w:rPr>
        <w:t xml:space="preserve">its OET-74 </w:t>
      </w:r>
      <w:r w:rsidR="005E7318" w:rsidRPr="00FE512D">
        <w:rPr>
          <w:sz w:val="24"/>
          <w:szCs w:val="24"/>
        </w:rPr>
        <w:t xml:space="preserve">analysis available for inspection by the Commission at any time and to make this analysis available to a television station upon request when there are complaints of interference either from the subject television station or a station viewer.  </w:t>
      </w:r>
      <w:r w:rsidR="00C20203">
        <w:rPr>
          <w:sz w:val="24"/>
          <w:szCs w:val="24"/>
          <w:lang w:val="en-US"/>
        </w:rPr>
        <w:t xml:space="preserve">Finally, each </w:t>
      </w:r>
      <w:r w:rsidR="00C20203" w:rsidRPr="007F0F57">
        <w:rPr>
          <w:rFonts w:eastAsiaTheme="minorHAnsi"/>
          <w:sz w:val="24"/>
          <w:szCs w:val="24"/>
        </w:rPr>
        <w:t xml:space="preserve">600 MHz Band wireless carrier </w:t>
      </w:r>
      <w:r w:rsidR="00C20203">
        <w:rPr>
          <w:rFonts w:eastAsiaTheme="minorHAnsi"/>
          <w:sz w:val="24"/>
          <w:szCs w:val="24"/>
          <w:lang w:val="en-US"/>
        </w:rPr>
        <w:t xml:space="preserve">must </w:t>
      </w:r>
      <w:r w:rsidR="00C20203" w:rsidRPr="007F0F57">
        <w:rPr>
          <w:rFonts w:eastAsiaTheme="minorHAnsi"/>
          <w:sz w:val="24"/>
          <w:szCs w:val="24"/>
        </w:rPr>
        <w:t xml:space="preserve">use the ISIX Methodology, as modified in the </w:t>
      </w:r>
      <w:r w:rsidR="00C20203" w:rsidRPr="007F0F57">
        <w:rPr>
          <w:rFonts w:eastAsiaTheme="minorHAnsi"/>
          <w:i/>
          <w:iCs/>
          <w:sz w:val="24"/>
          <w:szCs w:val="24"/>
        </w:rPr>
        <w:t xml:space="preserve">First Reconsideration Order, </w:t>
      </w:r>
      <w:r w:rsidR="00C20203" w:rsidRPr="007F0F57">
        <w:rPr>
          <w:rFonts w:eastAsiaTheme="minorHAnsi"/>
          <w:sz w:val="24"/>
          <w:szCs w:val="24"/>
        </w:rPr>
        <w:t xml:space="preserve">for predicting interference to </w:t>
      </w:r>
      <w:r w:rsidR="00C20203">
        <w:rPr>
          <w:rFonts w:eastAsiaTheme="minorHAnsi"/>
          <w:sz w:val="24"/>
          <w:szCs w:val="24"/>
          <w:lang w:val="en-US"/>
        </w:rPr>
        <w:t>its</w:t>
      </w:r>
      <w:r w:rsidR="00C20203" w:rsidRPr="007F0F57">
        <w:rPr>
          <w:rFonts w:eastAsiaTheme="minorHAnsi"/>
          <w:sz w:val="24"/>
          <w:szCs w:val="24"/>
        </w:rPr>
        <w:t xml:space="preserve"> operations from LPTV and TV translator stations for purposes of providing these stations with advance displacement notice.</w:t>
      </w:r>
    </w:p>
    <w:p w14:paraId="32DBCC85" w14:textId="77777777" w:rsidR="00F552CD" w:rsidRPr="00FE512D" w:rsidRDefault="00927ED9" w:rsidP="005E7318">
      <w:pPr>
        <w:pStyle w:val="ParaNum"/>
        <w:widowControl w:val="0"/>
        <w:numPr>
          <w:ilvl w:val="0"/>
          <w:numId w:val="0"/>
        </w:numPr>
        <w:ind w:left="90" w:firstLine="720"/>
        <w:rPr>
          <w:rFonts w:eastAsiaTheme="minorHAnsi"/>
          <w:sz w:val="24"/>
          <w:szCs w:val="24"/>
        </w:rPr>
      </w:pPr>
      <w:r w:rsidRPr="00FE512D">
        <w:rPr>
          <w:rFonts w:eastAsiaTheme="minorHAnsi"/>
          <w:sz w:val="24"/>
          <w:szCs w:val="24"/>
        </w:rPr>
        <w:t>In addition, u</w:t>
      </w:r>
      <w:r w:rsidR="00D85A97" w:rsidRPr="00FE512D">
        <w:rPr>
          <w:rFonts w:eastAsiaTheme="minorHAnsi"/>
          <w:sz w:val="24"/>
          <w:szCs w:val="24"/>
        </w:rPr>
        <w:t xml:space="preserve">nder the rules adopted in the </w:t>
      </w:r>
      <w:r w:rsidR="00D85A97" w:rsidRPr="00FE512D">
        <w:rPr>
          <w:rFonts w:eastAsiaTheme="minorHAnsi"/>
          <w:i/>
          <w:iCs/>
          <w:sz w:val="24"/>
          <w:szCs w:val="24"/>
        </w:rPr>
        <w:t xml:space="preserve">Incentive Auction R&amp;O </w:t>
      </w:r>
      <w:r w:rsidR="00FE512D" w:rsidRPr="00FE512D">
        <w:rPr>
          <w:rFonts w:eastAsiaTheme="minorHAnsi"/>
          <w:sz w:val="24"/>
          <w:szCs w:val="24"/>
          <w:lang w:val="en-US"/>
        </w:rPr>
        <w:t>each 600 MHz Band wireless</w:t>
      </w:r>
      <w:r w:rsidR="00D85A97" w:rsidRPr="00FE512D">
        <w:rPr>
          <w:rFonts w:eastAsiaTheme="minorHAnsi"/>
          <w:sz w:val="24"/>
          <w:szCs w:val="24"/>
        </w:rPr>
        <w:t xml:space="preserve"> </w:t>
      </w:r>
      <w:r w:rsidR="00293E20" w:rsidRPr="00FE512D">
        <w:rPr>
          <w:rFonts w:eastAsiaTheme="minorHAnsi"/>
          <w:sz w:val="24"/>
          <w:szCs w:val="24"/>
        </w:rPr>
        <w:t>carrier</w:t>
      </w:r>
      <w:r w:rsidR="00FE512D" w:rsidRPr="00FE512D">
        <w:rPr>
          <w:rFonts w:eastAsiaTheme="minorHAnsi"/>
          <w:sz w:val="24"/>
          <w:szCs w:val="24"/>
          <w:lang w:val="en-US"/>
        </w:rPr>
        <w:t xml:space="preserve"> must</w:t>
      </w:r>
      <w:r w:rsidR="00D85A97" w:rsidRPr="00FE512D">
        <w:rPr>
          <w:rFonts w:eastAsiaTheme="minorHAnsi"/>
          <w:sz w:val="24"/>
          <w:szCs w:val="24"/>
        </w:rPr>
        <w:t xml:space="preserve"> meet interim and final build-out requirements</w:t>
      </w:r>
      <w:r w:rsidR="00036C0E" w:rsidRPr="00FE512D">
        <w:rPr>
          <w:rFonts w:eastAsiaTheme="minorHAnsi"/>
          <w:sz w:val="24"/>
          <w:szCs w:val="24"/>
        </w:rPr>
        <w:t>.  However,</w:t>
      </w:r>
      <w:r w:rsidR="00D85A97" w:rsidRPr="00FE512D">
        <w:rPr>
          <w:rFonts w:eastAsiaTheme="minorHAnsi"/>
          <w:sz w:val="24"/>
          <w:szCs w:val="24"/>
        </w:rPr>
        <w:t xml:space="preserve"> the build-out </w:t>
      </w:r>
      <w:r w:rsidR="0083115C" w:rsidRPr="00FE512D">
        <w:rPr>
          <w:rFonts w:eastAsiaTheme="minorHAnsi"/>
          <w:sz w:val="24"/>
          <w:szCs w:val="24"/>
        </w:rPr>
        <w:t xml:space="preserve">requirements </w:t>
      </w:r>
      <w:r w:rsidR="00D85A97" w:rsidRPr="00FE512D">
        <w:rPr>
          <w:rFonts w:eastAsiaTheme="minorHAnsi"/>
          <w:sz w:val="24"/>
          <w:szCs w:val="24"/>
        </w:rPr>
        <w:t xml:space="preserve">apply </w:t>
      </w:r>
      <w:r w:rsidR="0083115C" w:rsidRPr="00FE512D">
        <w:rPr>
          <w:rFonts w:eastAsiaTheme="minorHAnsi"/>
          <w:sz w:val="24"/>
          <w:szCs w:val="24"/>
        </w:rPr>
        <w:t xml:space="preserve">only </w:t>
      </w:r>
      <w:r w:rsidR="00D85A97" w:rsidRPr="00FE512D">
        <w:rPr>
          <w:rFonts w:eastAsiaTheme="minorHAnsi"/>
          <w:sz w:val="24"/>
          <w:szCs w:val="24"/>
        </w:rPr>
        <w:t xml:space="preserve">to areas </w:t>
      </w:r>
      <w:r w:rsidR="00940A77" w:rsidRPr="00FE512D">
        <w:rPr>
          <w:rFonts w:eastAsiaTheme="minorHAnsi"/>
          <w:sz w:val="24"/>
          <w:szCs w:val="24"/>
        </w:rPr>
        <w:t xml:space="preserve">that </w:t>
      </w:r>
      <w:r w:rsidR="00FE512D" w:rsidRPr="00FE512D">
        <w:rPr>
          <w:rFonts w:eastAsiaTheme="minorHAnsi"/>
          <w:sz w:val="24"/>
          <w:szCs w:val="24"/>
          <w:lang w:val="en-US"/>
        </w:rPr>
        <w:t>a</w:t>
      </w:r>
      <w:r w:rsidR="0083115C" w:rsidRPr="00FE512D">
        <w:rPr>
          <w:rFonts w:eastAsiaTheme="minorHAnsi"/>
          <w:sz w:val="24"/>
          <w:szCs w:val="24"/>
        </w:rPr>
        <w:t xml:space="preserve"> </w:t>
      </w:r>
      <w:r w:rsidR="00293E20" w:rsidRPr="00FE512D">
        <w:rPr>
          <w:rFonts w:eastAsiaTheme="minorHAnsi"/>
          <w:sz w:val="24"/>
          <w:szCs w:val="24"/>
        </w:rPr>
        <w:t>carrier</w:t>
      </w:r>
      <w:r w:rsidR="00FE512D" w:rsidRPr="00FE512D">
        <w:rPr>
          <w:rFonts w:eastAsiaTheme="minorHAnsi"/>
          <w:sz w:val="24"/>
          <w:szCs w:val="24"/>
          <w:lang w:val="en-US"/>
        </w:rPr>
        <w:t xml:space="preserve"> i</w:t>
      </w:r>
      <w:r w:rsidR="0083115C" w:rsidRPr="00FE512D">
        <w:rPr>
          <w:rFonts w:eastAsiaTheme="minorHAnsi"/>
          <w:sz w:val="24"/>
          <w:szCs w:val="24"/>
        </w:rPr>
        <w:t xml:space="preserve">s </w:t>
      </w:r>
      <w:r w:rsidR="00D85A97" w:rsidRPr="00FE512D">
        <w:rPr>
          <w:rFonts w:eastAsiaTheme="minorHAnsi"/>
          <w:sz w:val="24"/>
          <w:szCs w:val="24"/>
        </w:rPr>
        <w:t xml:space="preserve">permitted to serve. </w:t>
      </w:r>
      <w:r w:rsidR="00940A77" w:rsidRPr="00FE512D">
        <w:rPr>
          <w:rFonts w:eastAsiaTheme="minorHAnsi"/>
          <w:sz w:val="24"/>
          <w:szCs w:val="24"/>
        </w:rPr>
        <w:t xml:space="preserve"> </w:t>
      </w:r>
      <w:r w:rsidR="007F3CE5" w:rsidRPr="00FE512D">
        <w:rPr>
          <w:rFonts w:eastAsiaTheme="minorHAnsi"/>
          <w:sz w:val="24"/>
          <w:szCs w:val="24"/>
        </w:rPr>
        <w:t>In the Order, t</w:t>
      </w:r>
      <w:r w:rsidR="00D85A97" w:rsidRPr="00FE512D">
        <w:rPr>
          <w:rFonts w:eastAsiaTheme="minorHAnsi"/>
          <w:sz w:val="24"/>
          <w:szCs w:val="24"/>
        </w:rPr>
        <w:t>he Commission require</w:t>
      </w:r>
      <w:r w:rsidR="007F3CE5" w:rsidRPr="00FE512D">
        <w:rPr>
          <w:rFonts w:eastAsiaTheme="minorHAnsi"/>
          <w:sz w:val="24"/>
          <w:szCs w:val="24"/>
        </w:rPr>
        <w:t>d</w:t>
      </w:r>
      <w:r w:rsidR="00D85A97" w:rsidRPr="00FE512D">
        <w:rPr>
          <w:rFonts w:eastAsiaTheme="minorHAnsi"/>
          <w:sz w:val="24"/>
          <w:szCs w:val="24"/>
        </w:rPr>
        <w:t xml:space="preserve"> 600 MHz </w:t>
      </w:r>
      <w:r w:rsidR="009E0CA1" w:rsidRPr="00FE512D">
        <w:rPr>
          <w:rFonts w:eastAsiaTheme="minorHAnsi"/>
          <w:sz w:val="24"/>
          <w:szCs w:val="24"/>
        </w:rPr>
        <w:t xml:space="preserve">Band </w:t>
      </w:r>
      <w:r w:rsidR="00D85A97" w:rsidRPr="00FE512D">
        <w:rPr>
          <w:rFonts w:eastAsiaTheme="minorHAnsi"/>
          <w:sz w:val="24"/>
          <w:szCs w:val="24"/>
        </w:rPr>
        <w:t xml:space="preserve">wireless </w:t>
      </w:r>
      <w:r w:rsidR="00293E20" w:rsidRPr="00FE512D">
        <w:rPr>
          <w:rFonts w:eastAsiaTheme="minorHAnsi"/>
          <w:sz w:val="24"/>
          <w:szCs w:val="24"/>
        </w:rPr>
        <w:t>carrier</w:t>
      </w:r>
      <w:r w:rsidR="00D85A97" w:rsidRPr="00FE512D">
        <w:rPr>
          <w:rFonts w:eastAsiaTheme="minorHAnsi"/>
          <w:sz w:val="24"/>
          <w:szCs w:val="24"/>
        </w:rPr>
        <w:t>s to use the ISIX Methodology and/or OET–74 to demonstrate that they cannot meet build-out requirements for portions of the geographic area covered by their license</w:t>
      </w:r>
      <w:r w:rsidR="00345DB5" w:rsidRPr="00FE512D">
        <w:rPr>
          <w:rFonts w:eastAsiaTheme="minorHAnsi"/>
          <w:sz w:val="24"/>
          <w:szCs w:val="24"/>
        </w:rPr>
        <w:t>s</w:t>
      </w:r>
      <w:r w:rsidR="00D85A97" w:rsidRPr="00FE512D">
        <w:rPr>
          <w:rFonts w:eastAsiaTheme="minorHAnsi"/>
          <w:sz w:val="24"/>
          <w:szCs w:val="24"/>
        </w:rPr>
        <w:t>.</w:t>
      </w:r>
      <w:r w:rsidR="007F3CE5" w:rsidRPr="00FE512D">
        <w:rPr>
          <w:rFonts w:eastAsiaTheme="minorHAnsi"/>
          <w:sz w:val="24"/>
          <w:szCs w:val="24"/>
        </w:rPr>
        <w:t xml:space="preserve"> </w:t>
      </w:r>
    </w:p>
    <w:p w14:paraId="3541E6B4" w14:textId="77777777" w:rsidR="00D2236A" w:rsidRPr="00FE512D" w:rsidRDefault="00D2236A" w:rsidP="007F3CE5">
      <w:pPr>
        <w:autoSpaceDE w:val="0"/>
        <w:autoSpaceDN w:val="0"/>
        <w:adjustRightInd w:val="0"/>
        <w:ind w:firstLine="720"/>
        <w:rPr>
          <w:rFonts w:eastAsiaTheme="minorHAnsi"/>
          <w:sz w:val="24"/>
          <w:szCs w:val="24"/>
        </w:rPr>
      </w:pPr>
    </w:p>
    <w:p w14:paraId="3C3C5FCE" w14:textId="77777777" w:rsidR="00D2236A" w:rsidRDefault="00D2236A" w:rsidP="007F3CE5">
      <w:pPr>
        <w:autoSpaceDE w:val="0"/>
        <w:autoSpaceDN w:val="0"/>
        <w:adjustRightInd w:val="0"/>
        <w:ind w:firstLine="720"/>
        <w:rPr>
          <w:rFonts w:eastAsiaTheme="minorHAnsi"/>
          <w:sz w:val="24"/>
          <w:szCs w:val="24"/>
        </w:rPr>
      </w:pPr>
    </w:p>
    <w:p w14:paraId="7334488F" w14:textId="77777777" w:rsidR="00302015" w:rsidRPr="00AC29B5" w:rsidRDefault="006B3792" w:rsidP="00725A7B">
      <w:pPr>
        <w:rPr>
          <w:b/>
          <w:sz w:val="24"/>
          <w:szCs w:val="24"/>
        </w:rPr>
      </w:pPr>
      <w:r w:rsidRPr="00AC29B5">
        <w:rPr>
          <w:b/>
          <w:sz w:val="24"/>
          <w:szCs w:val="24"/>
        </w:rPr>
        <w:t>I</w:t>
      </w:r>
      <w:r w:rsidR="000E3C37">
        <w:rPr>
          <w:b/>
          <w:sz w:val="24"/>
          <w:szCs w:val="24"/>
        </w:rPr>
        <w:t>V</w:t>
      </w:r>
      <w:r w:rsidRPr="00AC29B5">
        <w:rPr>
          <w:b/>
          <w:sz w:val="24"/>
          <w:szCs w:val="24"/>
        </w:rPr>
        <w:t>.</w:t>
      </w:r>
      <w:r w:rsidRPr="00AC29B5">
        <w:rPr>
          <w:b/>
          <w:sz w:val="24"/>
          <w:szCs w:val="24"/>
        </w:rPr>
        <w:tab/>
      </w:r>
      <w:r w:rsidR="00302015" w:rsidRPr="00AC29B5">
        <w:rPr>
          <w:b/>
          <w:sz w:val="24"/>
          <w:szCs w:val="24"/>
        </w:rPr>
        <w:t>INTERNET LINKS</w:t>
      </w:r>
    </w:p>
    <w:p w14:paraId="37D09747" w14:textId="77777777" w:rsidR="00302015" w:rsidRPr="00643FB4" w:rsidRDefault="00302015" w:rsidP="005D0346">
      <w:pPr>
        <w:rPr>
          <w:b/>
          <w:sz w:val="24"/>
          <w:szCs w:val="24"/>
          <w:u w:val="single"/>
        </w:rPr>
      </w:pPr>
    </w:p>
    <w:p w14:paraId="5848460C" w14:textId="77777777" w:rsidR="00302015" w:rsidRPr="00DC3635" w:rsidRDefault="00F237FE" w:rsidP="005D0346">
      <w:pPr>
        <w:rPr>
          <w:i/>
          <w:sz w:val="24"/>
          <w:szCs w:val="24"/>
        </w:rPr>
      </w:pPr>
      <w:r w:rsidRPr="00DC3635">
        <w:rPr>
          <w:i/>
          <w:sz w:val="24"/>
          <w:szCs w:val="24"/>
        </w:rPr>
        <w:t xml:space="preserve">Third </w:t>
      </w:r>
      <w:r w:rsidR="00302015" w:rsidRPr="00DC3635">
        <w:rPr>
          <w:i/>
          <w:sz w:val="24"/>
          <w:szCs w:val="24"/>
        </w:rPr>
        <w:t>Report and Order</w:t>
      </w:r>
      <w:r w:rsidR="007660C8" w:rsidRPr="00DC3635">
        <w:rPr>
          <w:i/>
          <w:sz w:val="24"/>
          <w:szCs w:val="24"/>
        </w:rPr>
        <w:t xml:space="preserve"> and F</w:t>
      </w:r>
      <w:r w:rsidRPr="00DC3635">
        <w:rPr>
          <w:i/>
          <w:sz w:val="24"/>
          <w:szCs w:val="24"/>
        </w:rPr>
        <w:t>irst Reconsideration Order</w:t>
      </w:r>
    </w:p>
    <w:p w14:paraId="67B43098" w14:textId="77777777" w:rsidR="00F237FE" w:rsidRPr="00643FB4" w:rsidRDefault="00F237FE" w:rsidP="005D0346">
      <w:pPr>
        <w:rPr>
          <w:sz w:val="24"/>
          <w:szCs w:val="24"/>
          <w:highlight w:val="yellow"/>
        </w:rPr>
      </w:pPr>
    </w:p>
    <w:p w14:paraId="06B92930" w14:textId="0FEF44F5" w:rsidR="00302015" w:rsidRPr="009E389A" w:rsidRDefault="00FC7962" w:rsidP="00DE1586">
      <w:pPr>
        <w:pStyle w:val="ListParagraph"/>
        <w:numPr>
          <w:ilvl w:val="0"/>
          <w:numId w:val="3"/>
        </w:numPr>
        <w:rPr>
          <w:rStyle w:val="Hyperlink"/>
          <w:sz w:val="24"/>
          <w:szCs w:val="24"/>
        </w:rPr>
      </w:pPr>
      <w:hyperlink r:id="rId8" w:history="1">
        <w:r w:rsidR="00271181" w:rsidRPr="00842C71">
          <w:rPr>
            <w:rStyle w:val="Hyperlink"/>
            <w:sz w:val="24"/>
            <w:szCs w:val="24"/>
          </w:rPr>
          <w:t>https://apps.fcc.gov/edocs_public/attachmatch/FCC-15-141A1.docx</w:t>
        </w:r>
      </w:hyperlink>
    </w:p>
    <w:p w14:paraId="086DD47B" w14:textId="180D061A" w:rsidR="00D27000" w:rsidRPr="009E389A" w:rsidRDefault="00FC7962" w:rsidP="00DE1586">
      <w:pPr>
        <w:pStyle w:val="ListParagraph"/>
        <w:numPr>
          <w:ilvl w:val="0"/>
          <w:numId w:val="3"/>
        </w:numPr>
        <w:rPr>
          <w:rStyle w:val="Hyperlink"/>
          <w:sz w:val="24"/>
          <w:szCs w:val="24"/>
        </w:rPr>
      </w:pPr>
      <w:hyperlink r:id="rId9" w:history="1">
        <w:r w:rsidR="00271181" w:rsidRPr="00842C71">
          <w:rPr>
            <w:rStyle w:val="Hyperlink"/>
            <w:sz w:val="24"/>
            <w:szCs w:val="24"/>
          </w:rPr>
          <w:t>https://apps.fcc.gov/edocs_public/attachmatch/FCC-15-141A1.pdf</w:t>
        </w:r>
      </w:hyperlink>
      <w:r w:rsidR="00D93F1C">
        <w:rPr>
          <w:sz w:val="24"/>
          <w:szCs w:val="24"/>
        </w:rPr>
        <w:t xml:space="preserve"> </w:t>
      </w:r>
    </w:p>
    <w:p w14:paraId="787D3571" w14:textId="4DE2DD1C" w:rsidR="00737F12" w:rsidRPr="00AC4360" w:rsidRDefault="00FC7962" w:rsidP="00AC4360">
      <w:pPr>
        <w:pStyle w:val="ListParagraph"/>
        <w:numPr>
          <w:ilvl w:val="0"/>
          <w:numId w:val="3"/>
        </w:numPr>
        <w:rPr>
          <w:rStyle w:val="Hyperlink"/>
          <w:sz w:val="24"/>
          <w:szCs w:val="24"/>
        </w:rPr>
      </w:pPr>
      <w:hyperlink r:id="rId10" w:history="1">
        <w:r w:rsidR="00D93F1C" w:rsidRPr="00842C71">
          <w:rPr>
            <w:rStyle w:val="Hyperlink"/>
            <w:sz w:val="24"/>
            <w:szCs w:val="24"/>
          </w:rPr>
          <w:t>https://apps.fcc.gov/edocs_public/attachmatch/FCC-15-141A1.txt</w:t>
        </w:r>
      </w:hyperlink>
      <w:r w:rsidR="00D93F1C">
        <w:rPr>
          <w:rStyle w:val="Hyperlink"/>
          <w:sz w:val="24"/>
          <w:szCs w:val="24"/>
        </w:rPr>
        <w:t xml:space="preserve"> </w:t>
      </w:r>
    </w:p>
    <w:sectPr w:rsidR="00737F12" w:rsidRPr="00AC4360" w:rsidSect="00EC7C9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81A30" w14:textId="77777777" w:rsidR="009B3387" w:rsidRDefault="009B3387" w:rsidP="002E73C1">
      <w:r>
        <w:separator/>
      </w:r>
    </w:p>
  </w:endnote>
  <w:endnote w:type="continuationSeparator" w:id="0">
    <w:p w14:paraId="3920460A" w14:textId="77777777" w:rsidR="009B3387" w:rsidRDefault="009B3387" w:rsidP="002E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lior-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11A83" w14:textId="77777777" w:rsidR="008D05B2" w:rsidRDefault="008D0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90889"/>
      <w:docPartObj>
        <w:docPartGallery w:val="Page Numbers (Bottom of Page)"/>
        <w:docPartUnique/>
      </w:docPartObj>
    </w:sdtPr>
    <w:sdtEndPr>
      <w:rPr>
        <w:noProof/>
      </w:rPr>
    </w:sdtEndPr>
    <w:sdtContent>
      <w:p w14:paraId="5B66F124" w14:textId="77777777" w:rsidR="00C9344C" w:rsidRDefault="00C9344C">
        <w:pPr>
          <w:pStyle w:val="Footer"/>
          <w:jc w:val="center"/>
        </w:pPr>
        <w:r>
          <w:fldChar w:fldCharType="begin"/>
        </w:r>
        <w:r>
          <w:instrText xml:space="preserve"> PAGE   \* MERGEFORMAT </w:instrText>
        </w:r>
        <w:r>
          <w:fldChar w:fldCharType="separate"/>
        </w:r>
        <w:r w:rsidR="00FC7962">
          <w:rPr>
            <w:noProof/>
          </w:rPr>
          <w:t>1</w:t>
        </w:r>
        <w:r>
          <w:rPr>
            <w:noProof/>
          </w:rPr>
          <w:fldChar w:fldCharType="end"/>
        </w:r>
      </w:p>
    </w:sdtContent>
  </w:sdt>
  <w:p w14:paraId="173DD0B7" w14:textId="77777777" w:rsidR="00C9344C" w:rsidRDefault="00C93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12C87" w14:textId="77777777" w:rsidR="008D05B2" w:rsidRDefault="008D0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F90A7" w14:textId="77777777" w:rsidR="009B3387" w:rsidRDefault="009B3387" w:rsidP="002E73C1">
      <w:r>
        <w:separator/>
      </w:r>
    </w:p>
  </w:footnote>
  <w:footnote w:type="continuationSeparator" w:id="0">
    <w:p w14:paraId="6A0B1A12" w14:textId="77777777" w:rsidR="009B3387" w:rsidRDefault="009B3387" w:rsidP="002E73C1">
      <w:r>
        <w:continuationSeparator/>
      </w:r>
    </w:p>
  </w:footnote>
  <w:footnote w:id="1">
    <w:p w14:paraId="288CD348" w14:textId="3A195362" w:rsidR="00C9344C" w:rsidRDefault="00C9344C" w:rsidP="00BE50C5">
      <w:pPr>
        <w:pStyle w:val="FootnoteText"/>
        <w:spacing w:after="120"/>
      </w:pPr>
      <w:r>
        <w:rPr>
          <w:rStyle w:val="FootnoteReference"/>
        </w:rPr>
        <w:footnoteRef/>
      </w:r>
      <w:r>
        <w:t xml:space="preserve"> </w:t>
      </w:r>
      <w:r>
        <w:rPr>
          <w:i/>
        </w:rPr>
        <w:t>Expanding the Economic and Innovation Opportunities of Spectrum Through Incentive Auctions</w:t>
      </w:r>
      <w:r>
        <w:t>,</w:t>
      </w:r>
      <w:r>
        <w:rPr>
          <w:i/>
        </w:rPr>
        <w:t xml:space="preserve"> </w:t>
      </w:r>
      <w:r>
        <w:t xml:space="preserve">GN Docket No. 12-268, </w:t>
      </w:r>
      <w:r w:rsidRPr="00306263">
        <w:t>Report and Order,</w:t>
      </w:r>
      <w:r>
        <w:t xml:space="preserve"> 29 FCC Rcd 6567 (2014</w:t>
      </w:r>
      <w:r w:rsidRPr="004926E6">
        <w:t xml:space="preserve">).  A Small Entity Compliance Guide for the </w:t>
      </w:r>
      <w:r w:rsidRPr="00CE68B2">
        <w:rPr>
          <w:rFonts w:eastAsiaTheme="minorHAnsi"/>
          <w:i/>
          <w:iCs/>
        </w:rPr>
        <w:t>Incentive Auction R&amp;O</w:t>
      </w:r>
      <w:r w:rsidRPr="004926E6">
        <w:t xml:space="preserve"> </w:t>
      </w:r>
      <w:r>
        <w:t xml:space="preserve">is available at </w:t>
      </w:r>
      <w:hyperlink r:id="rId1" w:history="1">
        <w:r w:rsidRPr="0074702E">
          <w:rPr>
            <w:rStyle w:val="Hyperlink"/>
          </w:rPr>
          <w:t>http://www.fcc.gov/document/incentive-auctions</w:t>
        </w:r>
      </w:hyperlink>
      <w:r>
        <w:t>.</w:t>
      </w:r>
      <w:hyperlink w:history="1"/>
    </w:p>
  </w:footnote>
  <w:footnote w:id="2">
    <w:p w14:paraId="3D923BA3" w14:textId="0892BF7E" w:rsidR="00865282" w:rsidRDefault="00865282" w:rsidP="00865282">
      <w:pPr>
        <w:pStyle w:val="FootnoteText"/>
      </w:pPr>
      <w:r>
        <w:rPr>
          <w:rStyle w:val="FootnoteReference"/>
        </w:rPr>
        <w:footnoteRef/>
      </w:r>
      <w:r>
        <w:t xml:space="preserve"> </w:t>
      </w:r>
      <w:r>
        <w:rPr>
          <w:i/>
        </w:rPr>
        <w:t xml:space="preserve">Expanding the Economic and Innovation Opportunities of Spectrum Through Incentive Auctions, </w:t>
      </w:r>
      <w:r>
        <w:t xml:space="preserve">GN Docket No. 12-268, ET Docket No. 13-26, ET Docket No. 14-14, Second Report and Order and Further Notice of Proposed Rulemaking, 29 FCC Rcd 13071 (2014).  </w:t>
      </w:r>
      <w:r w:rsidRPr="004926E6">
        <w:t xml:space="preserve">A Small Entity Compliance Guide for the </w:t>
      </w:r>
      <w:r w:rsidRPr="00CE68B2">
        <w:rPr>
          <w:rFonts w:eastAsiaTheme="minorHAnsi"/>
          <w:i/>
          <w:iCs/>
        </w:rPr>
        <w:t>I</w:t>
      </w:r>
      <w:r>
        <w:rPr>
          <w:rFonts w:eastAsiaTheme="minorHAnsi"/>
          <w:i/>
          <w:iCs/>
        </w:rPr>
        <w:t>SIX</w:t>
      </w:r>
      <w:r w:rsidRPr="00CE68B2">
        <w:rPr>
          <w:rFonts w:eastAsiaTheme="minorHAnsi"/>
          <w:i/>
          <w:iCs/>
        </w:rPr>
        <w:t xml:space="preserve"> R&amp;O</w:t>
      </w:r>
      <w:r>
        <w:rPr>
          <w:rFonts w:eastAsiaTheme="minorHAnsi"/>
          <w:i/>
          <w:iCs/>
        </w:rPr>
        <w:t>/ISIX Further Notice</w:t>
      </w:r>
      <w:r w:rsidRPr="004926E6">
        <w:t xml:space="preserve"> </w:t>
      </w:r>
      <w:r>
        <w:t xml:space="preserve">is available at </w:t>
      </w:r>
      <w:hyperlink r:id="rId2" w:history="1">
        <w:r w:rsidRPr="00842C71">
          <w:rPr>
            <w:rStyle w:val="Hyperlink"/>
          </w:rPr>
          <w:t>https://www.fcc.gov/document/opportunities-spectrum-through-incentive-auctions</w:t>
        </w:r>
      </w:hyperlink>
      <w:r>
        <w:t xml:space="preserve">. </w:t>
      </w:r>
    </w:p>
    <w:p w14:paraId="2E06A4D2" w14:textId="77777777" w:rsidR="00865282" w:rsidRDefault="00865282" w:rsidP="00865282">
      <w:pPr>
        <w:pStyle w:val="FootnoteText"/>
      </w:pPr>
    </w:p>
  </w:footnote>
  <w:footnote w:id="3">
    <w:p w14:paraId="4FEDE681" w14:textId="77777777" w:rsidR="00C9344C" w:rsidRDefault="00C9344C" w:rsidP="003A4502">
      <w:pPr>
        <w:pStyle w:val="FootnoteText"/>
        <w:spacing w:after="120"/>
      </w:pPr>
      <w:r>
        <w:rPr>
          <w:rStyle w:val="FootnoteReference"/>
        </w:rPr>
        <w:footnoteRef/>
      </w:r>
      <w:r>
        <w:t xml:space="preserve"> </w:t>
      </w:r>
      <w:r>
        <w:rPr>
          <w:i/>
        </w:rPr>
        <w:t>Expanding the Economic and Innovation Opportunities of Spectrum Through Incentive Auctions</w:t>
      </w:r>
      <w:r>
        <w:t>,</w:t>
      </w:r>
      <w:r>
        <w:rPr>
          <w:i/>
        </w:rPr>
        <w:t xml:space="preserve"> </w:t>
      </w:r>
      <w:r>
        <w:t xml:space="preserve">GN Docket No. 12-268, ET Docket Nos. 13-26 and 14-14; Third </w:t>
      </w:r>
      <w:r w:rsidRPr="00306263">
        <w:t>Report and Order</w:t>
      </w:r>
      <w:r>
        <w:t xml:space="preserve"> and First Reconsideration Order</w:t>
      </w:r>
      <w:r w:rsidRPr="00306263">
        <w:t>,</w:t>
      </w:r>
      <w:r>
        <w:t xml:space="preserve"> </w:t>
      </w:r>
      <w:r w:rsidR="002668DF">
        <w:t>8</w:t>
      </w:r>
      <w:r>
        <w:t>0 F</w:t>
      </w:r>
      <w:r w:rsidR="002668DF">
        <w:t>R</w:t>
      </w:r>
      <w:r>
        <w:t xml:space="preserve"> </w:t>
      </w:r>
      <w:r w:rsidR="002668DF">
        <w:t>71731</w:t>
      </w:r>
      <w:r>
        <w:t xml:space="preserve"> (</w:t>
      </w:r>
      <w:r w:rsidR="002668DF">
        <w:t xml:space="preserve">November 17, </w:t>
      </w:r>
      <w:r>
        <w:t>2015).</w:t>
      </w:r>
      <w:hyperlink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91FB0" w14:textId="77777777" w:rsidR="008D05B2" w:rsidRDefault="008D0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F44E" w14:textId="77777777" w:rsidR="008D05B2" w:rsidRDefault="008D0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5A064" w14:textId="77777777" w:rsidR="00C9344C" w:rsidRDefault="00FC7962" w:rsidP="002E73C1">
    <w:pPr>
      <w:pStyle w:val="Header"/>
      <w:spacing w:before="360" w:line="228" w:lineRule="auto"/>
      <w:jc w:val="center"/>
    </w:pPr>
    <w:r>
      <w:rPr>
        <w:rFonts w:ascii="CG Times (W1)" w:hAnsi="CG Times (W1)"/>
        <w:sz w:val="28"/>
      </w:rPr>
      <w:pict w14:anchorId="1566E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64.8pt;height:64.8pt;z-index:251658240;visibility:visible;mso-wrap-edited:f" o:allowincell="f" filled="t" fillcolor="#3cc">
          <v:imagedata r:id="rId1" o:title="" gain="69719f"/>
          <w10:wrap type="topAndBottom"/>
        </v:shape>
        <o:OLEObject Type="Embed" ProgID="Word.Picture.8" ShapeID="_x0000_s2050" DrawAspect="Content" ObjectID="_1520760903" r:id="rId2"/>
      </w:pict>
    </w:r>
    <w:r w:rsidR="00C9344C">
      <w:rPr>
        <w:rFonts w:ascii="CG Times (W1)" w:hAnsi="CG Times (W1)"/>
        <w:sz w:val="28"/>
      </w:rPr>
      <w:t>Federal Communications Commission</w:t>
    </w:r>
  </w:p>
  <w:p w14:paraId="7B76DC2A" w14:textId="77777777" w:rsidR="00C9344C" w:rsidRDefault="00C9344C" w:rsidP="002E73C1">
    <w:pPr>
      <w:jc w:val="center"/>
    </w:pPr>
    <w:r>
      <w:rPr>
        <w:rFonts w:ascii="CG Times (W1)" w:hAnsi="CG Times (W1)"/>
        <w:sz w:val="28"/>
      </w:rPr>
      <w:t>Washington, D.C. 20554</w:t>
    </w:r>
  </w:p>
  <w:p w14:paraId="19E92E2D" w14:textId="77777777" w:rsidR="00C9344C" w:rsidRPr="00E144FD" w:rsidRDefault="00C9344C" w:rsidP="002E73C1">
    <w:pPr>
      <w:pStyle w:val="Header"/>
      <w:jc w:val="center"/>
      <w:rPr>
        <w:color w:val="FFFFFF" w:themeColor="background1"/>
        <w:sz w:val="22"/>
      </w:rPr>
    </w:pPr>
  </w:p>
  <w:p w14:paraId="219D2295" w14:textId="0E75FC48" w:rsidR="00C9344C" w:rsidRPr="00E144FD" w:rsidRDefault="00F0491E" w:rsidP="002E73C1">
    <w:pPr>
      <w:pStyle w:val="Header"/>
      <w:jc w:val="center"/>
      <w:rPr>
        <w:sz w:val="24"/>
        <w:szCs w:val="24"/>
      </w:rPr>
    </w:pPr>
    <w:r>
      <w:rPr>
        <w:sz w:val="24"/>
        <w:szCs w:val="24"/>
      </w:rPr>
      <w:t>March 29,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95C"/>
    <w:multiLevelType w:val="hybridMultilevel"/>
    <w:tmpl w:val="90D600AE"/>
    <w:lvl w:ilvl="0" w:tplc="72A47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D5E07"/>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197D55"/>
    <w:multiLevelType w:val="hybridMultilevel"/>
    <w:tmpl w:val="228A8A48"/>
    <w:lvl w:ilvl="0" w:tplc="711A6C7A">
      <w:start w:val="1"/>
      <w:numFmt w:val="decimal"/>
      <w:lvlText w:val="%1."/>
      <w:lvlJc w:val="left"/>
      <w:pPr>
        <w:ind w:left="1800" w:hanging="360"/>
      </w:pPr>
      <w:rPr>
        <w:rFonts w:ascii="Melior" w:hAnsi="Melior" w:cs="Melior"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D95079"/>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92D79"/>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E078B8"/>
    <w:multiLevelType w:val="hybridMultilevel"/>
    <w:tmpl w:val="B7FA926A"/>
    <w:lvl w:ilvl="0" w:tplc="325C65D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06CBB"/>
    <w:multiLevelType w:val="multilevel"/>
    <w:tmpl w:val="2DA804B6"/>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CF60C82"/>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715AD9"/>
    <w:multiLevelType w:val="hybridMultilevel"/>
    <w:tmpl w:val="07269860"/>
    <w:lvl w:ilvl="0" w:tplc="C25241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607DC"/>
    <w:multiLevelType w:val="hybridMultilevel"/>
    <w:tmpl w:val="751E6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DC2C1D"/>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E26B53"/>
    <w:multiLevelType w:val="hybridMultilevel"/>
    <w:tmpl w:val="B7FA926A"/>
    <w:lvl w:ilvl="0" w:tplc="325C65D2">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309A9"/>
    <w:multiLevelType w:val="hybridMultilevel"/>
    <w:tmpl w:val="EF3C7316"/>
    <w:lvl w:ilvl="0" w:tplc="871482C2">
      <w:start w:val="1"/>
      <w:numFmt w:val="upp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3">
    <w:nsid w:val="55350817"/>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2E4008"/>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CF32060"/>
    <w:multiLevelType w:val="hybridMultilevel"/>
    <w:tmpl w:val="806406AC"/>
    <w:lvl w:ilvl="0" w:tplc="72EE87DC">
      <w:start w:val="1"/>
      <w:numFmt w:val="upp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182925"/>
    <w:multiLevelType w:val="singleLevel"/>
    <w:tmpl w:val="0C0A4480"/>
    <w:lvl w:ilvl="0">
      <w:start w:val="1"/>
      <w:numFmt w:val="decimal"/>
      <w:pStyle w:val="ParaNum"/>
      <w:lvlText w:val="%1."/>
      <w:lvlJc w:val="left"/>
      <w:pPr>
        <w:tabs>
          <w:tab w:val="num" w:pos="1170"/>
        </w:tabs>
        <w:ind w:left="90" w:firstLine="720"/>
      </w:pPr>
      <w:rPr>
        <w:rFonts w:hint="default"/>
        <w:b w:val="0"/>
      </w:rPr>
    </w:lvl>
  </w:abstractNum>
  <w:abstractNum w:abstractNumId="17">
    <w:nsid w:val="76282B0B"/>
    <w:multiLevelType w:val="hybridMultilevel"/>
    <w:tmpl w:val="AD840CCA"/>
    <w:lvl w:ilvl="0" w:tplc="663A4A96">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F33F0"/>
    <w:multiLevelType w:val="hybridMultilevel"/>
    <w:tmpl w:val="71A2D66A"/>
    <w:lvl w:ilvl="0" w:tplc="D276BA58">
      <w:start w:val="1"/>
      <w:numFmt w:val="upperLetter"/>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156618"/>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6"/>
  </w:num>
  <w:num w:numId="3">
    <w:abstractNumId w:val="9"/>
  </w:num>
  <w:num w:numId="4">
    <w:abstractNumId w:val="8"/>
  </w:num>
  <w:num w:numId="5">
    <w:abstractNumId w:val="18"/>
  </w:num>
  <w:num w:numId="6">
    <w:abstractNumId w:val="12"/>
  </w:num>
  <w:num w:numId="7">
    <w:abstractNumId w:val="1"/>
  </w:num>
  <w:num w:numId="8">
    <w:abstractNumId w:val="7"/>
  </w:num>
  <w:num w:numId="9">
    <w:abstractNumId w:val="10"/>
  </w:num>
  <w:num w:numId="10">
    <w:abstractNumId w:val="19"/>
  </w:num>
  <w:num w:numId="11">
    <w:abstractNumId w:val="3"/>
  </w:num>
  <w:num w:numId="12">
    <w:abstractNumId w:val="2"/>
  </w:num>
  <w:num w:numId="13">
    <w:abstractNumId w:val="4"/>
  </w:num>
  <w:num w:numId="14">
    <w:abstractNumId w:val="15"/>
  </w:num>
  <w:num w:numId="15">
    <w:abstractNumId w:val="11"/>
  </w:num>
  <w:num w:numId="16">
    <w:abstractNumId w:val="5"/>
  </w:num>
  <w:num w:numId="17">
    <w:abstractNumId w:val="14"/>
  </w:num>
  <w:num w:numId="18">
    <w:abstractNumId w:val="13"/>
  </w:num>
  <w:num w:numId="19">
    <w:abstractNumId w:val="0"/>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C1"/>
    <w:rsid w:val="00000183"/>
    <w:rsid w:val="0000372F"/>
    <w:rsid w:val="000076B1"/>
    <w:rsid w:val="0001006A"/>
    <w:rsid w:val="00016911"/>
    <w:rsid w:val="000207A2"/>
    <w:rsid w:val="00021C37"/>
    <w:rsid w:val="00024A6C"/>
    <w:rsid w:val="00027934"/>
    <w:rsid w:val="00027B93"/>
    <w:rsid w:val="000300E4"/>
    <w:rsid w:val="00033F3B"/>
    <w:rsid w:val="00035D98"/>
    <w:rsid w:val="00036C0E"/>
    <w:rsid w:val="00040B79"/>
    <w:rsid w:val="000519A2"/>
    <w:rsid w:val="00053C0B"/>
    <w:rsid w:val="0005501B"/>
    <w:rsid w:val="00060757"/>
    <w:rsid w:val="00062317"/>
    <w:rsid w:val="00071996"/>
    <w:rsid w:val="000719E1"/>
    <w:rsid w:val="000725E7"/>
    <w:rsid w:val="00073EE7"/>
    <w:rsid w:val="00080A93"/>
    <w:rsid w:val="000846B3"/>
    <w:rsid w:val="00093DC4"/>
    <w:rsid w:val="000A056E"/>
    <w:rsid w:val="000A2AF5"/>
    <w:rsid w:val="000A3D69"/>
    <w:rsid w:val="000A42BE"/>
    <w:rsid w:val="000A4DE5"/>
    <w:rsid w:val="000A574D"/>
    <w:rsid w:val="000A6269"/>
    <w:rsid w:val="000A62E3"/>
    <w:rsid w:val="000B092A"/>
    <w:rsid w:val="000B765E"/>
    <w:rsid w:val="000B795B"/>
    <w:rsid w:val="000C0EE6"/>
    <w:rsid w:val="000C21B9"/>
    <w:rsid w:val="000C2925"/>
    <w:rsid w:val="000C54A0"/>
    <w:rsid w:val="000D07D6"/>
    <w:rsid w:val="000D0A76"/>
    <w:rsid w:val="000D2195"/>
    <w:rsid w:val="000D386C"/>
    <w:rsid w:val="000D5DC9"/>
    <w:rsid w:val="000D72EA"/>
    <w:rsid w:val="000E33D9"/>
    <w:rsid w:val="000E3C37"/>
    <w:rsid w:val="000E4B0E"/>
    <w:rsid w:val="000E600C"/>
    <w:rsid w:val="000F3CEF"/>
    <w:rsid w:val="000F5DF1"/>
    <w:rsid w:val="00100648"/>
    <w:rsid w:val="0010165C"/>
    <w:rsid w:val="00105439"/>
    <w:rsid w:val="00105F55"/>
    <w:rsid w:val="001064F5"/>
    <w:rsid w:val="00107626"/>
    <w:rsid w:val="0011223C"/>
    <w:rsid w:val="001148E6"/>
    <w:rsid w:val="00115823"/>
    <w:rsid w:val="00116D8F"/>
    <w:rsid w:val="00120A6A"/>
    <w:rsid w:val="001252E6"/>
    <w:rsid w:val="00125BF0"/>
    <w:rsid w:val="00130628"/>
    <w:rsid w:val="00132EB0"/>
    <w:rsid w:val="001344A8"/>
    <w:rsid w:val="00137337"/>
    <w:rsid w:val="00140E2A"/>
    <w:rsid w:val="001413E7"/>
    <w:rsid w:val="00145642"/>
    <w:rsid w:val="00145E0A"/>
    <w:rsid w:val="001504FD"/>
    <w:rsid w:val="00150573"/>
    <w:rsid w:val="00152E50"/>
    <w:rsid w:val="00156BD4"/>
    <w:rsid w:val="00160481"/>
    <w:rsid w:val="001642DA"/>
    <w:rsid w:val="00165AC6"/>
    <w:rsid w:val="00167C81"/>
    <w:rsid w:val="001734E4"/>
    <w:rsid w:val="00175768"/>
    <w:rsid w:val="0017694F"/>
    <w:rsid w:val="00176EE2"/>
    <w:rsid w:val="00181693"/>
    <w:rsid w:val="001821AB"/>
    <w:rsid w:val="0018267A"/>
    <w:rsid w:val="00184D1D"/>
    <w:rsid w:val="00186ADF"/>
    <w:rsid w:val="00190068"/>
    <w:rsid w:val="00192658"/>
    <w:rsid w:val="00193B90"/>
    <w:rsid w:val="00197DF0"/>
    <w:rsid w:val="00197E3C"/>
    <w:rsid w:val="001A0F10"/>
    <w:rsid w:val="001A2B41"/>
    <w:rsid w:val="001A762C"/>
    <w:rsid w:val="001B13B8"/>
    <w:rsid w:val="001B7B6C"/>
    <w:rsid w:val="001C0690"/>
    <w:rsid w:val="001C2FB4"/>
    <w:rsid w:val="001C5A69"/>
    <w:rsid w:val="001D0E15"/>
    <w:rsid w:val="001D4285"/>
    <w:rsid w:val="001D7DF3"/>
    <w:rsid w:val="001E2D84"/>
    <w:rsid w:val="001E3344"/>
    <w:rsid w:val="001E3E24"/>
    <w:rsid w:val="001E5BB9"/>
    <w:rsid w:val="001E6566"/>
    <w:rsid w:val="001F206E"/>
    <w:rsid w:val="001F476F"/>
    <w:rsid w:val="001F4EE8"/>
    <w:rsid w:val="001F6605"/>
    <w:rsid w:val="001F7FD1"/>
    <w:rsid w:val="00200B4C"/>
    <w:rsid w:val="00200E4D"/>
    <w:rsid w:val="002023EA"/>
    <w:rsid w:val="00205D49"/>
    <w:rsid w:val="002107DF"/>
    <w:rsid w:val="00210C60"/>
    <w:rsid w:val="0021196A"/>
    <w:rsid w:val="00216934"/>
    <w:rsid w:val="00221AD3"/>
    <w:rsid w:val="00226909"/>
    <w:rsid w:val="00227162"/>
    <w:rsid w:val="00236C13"/>
    <w:rsid w:val="00240F07"/>
    <w:rsid w:val="00241392"/>
    <w:rsid w:val="002432EB"/>
    <w:rsid w:val="00246876"/>
    <w:rsid w:val="00251106"/>
    <w:rsid w:val="002572C1"/>
    <w:rsid w:val="00262523"/>
    <w:rsid w:val="00264DB7"/>
    <w:rsid w:val="002668DF"/>
    <w:rsid w:val="00266B93"/>
    <w:rsid w:val="002679EE"/>
    <w:rsid w:val="00270611"/>
    <w:rsid w:val="0027106B"/>
    <w:rsid w:val="00271181"/>
    <w:rsid w:val="00271C03"/>
    <w:rsid w:val="002724E9"/>
    <w:rsid w:val="00273362"/>
    <w:rsid w:val="002757F4"/>
    <w:rsid w:val="0027679B"/>
    <w:rsid w:val="002833D0"/>
    <w:rsid w:val="00285C9C"/>
    <w:rsid w:val="00286E2B"/>
    <w:rsid w:val="00287A64"/>
    <w:rsid w:val="0029037D"/>
    <w:rsid w:val="00292F17"/>
    <w:rsid w:val="002939FC"/>
    <w:rsid w:val="00293E20"/>
    <w:rsid w:val="00293E81"/>
    <w:rsid w:val="00295A36"/>
    <w:rsid w:val="00295DFC"/>
    <w:rsid w:val="002A094A"/>
    <w:rsid w:val="002A0D3E"/>
    <w:rsid w:val="002A4777"/>
    <w:rsid w:val="002A544F"/>
    <w:rsid w:val="002B1063"/>
    <w:rsid w:val="002B3E01"/>
    <w:rsid w:val="002B5342"/>
    <w:rsid w:val="002B7923"/>
    <w:rsid w:val="002C0FAD"/>
    <w:rsid w:val="002C2D61"/>
    <w:rsid w:val="002C3278"/>
    <w:rsid w:val="002C519D"/>
    <w:rsid w:val="002C65C3"/>
    <w:rsid w:val="002C6C9B"/>
    <w:rsid w:val="002C6E70"/>
    <w:rsid w:val="002D0885"/>
    <w:rsid w:val="002D15FE"/>
    <w:rsid w:val="002D22AD"/>
    <w:rsid w:val="002D23E6"/>
    <w:rsid w:val="002D2595"/>
    <w:rsid w:val="002E28D6"/>
    <w:rsid w:val="002E64E4"/>
    <w:rsid w:val="002E666A"/>
    <w:rsid w:val="002E6794"/>
    <w:rsid w:val="002E73C1"/>
    <w:rsid w:val="002F3985"/>
    <w:rsid w:val="002F5814"/>
    <w:rsid w:val="002F5CD1"/>
    <w:rsid w:val="002F609C"/>
    <w:rsid w:val="002F6B73"/>
    <w:rsid w:val="002F79EC"/>
    <w:rsid w:val="003009FA"/>
    <w:rsid w:val="00302015"/>
    <w:rsid w:val="00302FA8"/>
    <w:rsid w:val="00303A53"/>
    <w:rsid w:val="00303F68"/>
    <w:rsid w:val="00305346"/>
    <w:rsid w:val="0030789C"/>
    <w:rsid w:val="00311DF7"/>
    <w:rsid w:val="0031231C"/>
    <w:rsid w:val="00313359"/>
    <w:rsid w:val="00314211"/>
    <w:rsid w:val="00316EFA"/>
    <w:rsid w:val="00317898"/>
    <w:rsid w:val="00317CE8"/>
    <w:rsid w:val="0032210F"/>
    <w:rsid w:val="00334C17"/>
    <w:rsid w:val="00334FC3"/>
    <w:rsid w:val="003368E3"/>
    <w:rsid w:val="00345DB5"/>
    <w:rsid w:val="0035090D"/>
    <w:rsid w:val="00352B70"/>
    <w:rsid w:val="00352CEE"/>
    <w:rsid w:val="003550B1"/>
    <w:rsid w:val="00362305"/>
    <w:rsid w:val="0036486B"/>
    <w:rsid w:val="0037079C"/>
    <w:rsid w:val="00370909"/>
    <w:rsid w:val="00381719"/>
    <w:rsid w:val="00381B9A"/>
    <w:rsid w:val="00382A99"/>
    <w:rsid w:val="00384ACA"/>
    <w:rsid w:val="003878CD"/>
    <w:rsid w:val="00387A12"/>
    <w:rsid w:val="003914AD"/>
    <w:rsid w:val="00391DC0"/>
    <w:rsid w:val="003923EC"/>
    <w:rsid w:val="00394BE0"/>
    <w:rsid w:val="00395490"/>
    <w:rsid w:val="003958CD"/>
    <w:rsid w:val="00396A50"/>
    <w:rsid w:val="003A0B0F"/>
    <w:rsid w:val="003A4502"/>
    <w:rsid w:val="003A76FC"/>
    <w:rsid w:val="003B495B"/>
    <w:rsid w:val="003B52E3"/>
    <w:rsid w:val="003B55DB"/>
    <w:rsid w:val="003B7F95"/>
    <w:rsid w:val="003D20B4"/>
    <w:rsid w:val="003D5569"/>
    <w:rsid w:val="003E57A8"/>
    <w:rsid w:val="003E5EB6"/>
    <w:rsid w:val="003E63F5"/>
    <w:rsid w:val="003F0C44"/>
    <w:rsid w:val="003F0F42"/>
    <w:rsid w:val="003F1E24"/>
    <w:rsid w:val="003F3DDE"/>
    <w:rsid w:val="003F4D23"/>
    <w:rsid w:val="003F66DB"/>
    <w:rsid w:val="003F6847"/>
    <w:rsid w:val="004061E6"/>
    <w:rsid w:val="00410372"/>
    <w:rsid w:val="004103DB"/>
    <w:rsid w:val="004107ED"/>
    <w:rsid w:val="00413522"/>
    <w:rsid w:val="0041755B"/>
    <w:rsid w:val="004178DA"/>
    <w:rsid w:val="00421B3A"/>
    <w:rsid w:val="004237AF"/>
    <w:rsid w:val="00425BAF"/>
    <w:rsid w:val="00432527"/>
    <w:rsid w:val="00433E61"/>
    <w:rsid w:val="00433FD4"/>
    <w:rsid w:val="0043709C"/>
    <w:rsid w:val="00437E6D"/>
    <w:rsid w:val="004413BA"/>
    <w:rsid w:val="00441F1E"/>
    <w:rsid w:val="00443089"/>
    <w:rsid w:val="0044344D"/>
    <w:rsid w:val="004454AB"/>
    <w:rsid w:val="00450291"/>
    <w:rsid w:val="00450607"/>
    <w:rsid w:val="0045137D"/>
    <w:rsid w:val="0045226F"/>
    <w:rsid w:val="00453026"/>
    <w:rsid w:val="004543E0"/>
    <w:rsid w:val="00461149"/>
    <w:rsid w:val="004650BF"/>
    <w:rsid w:val="00465DDD"/>
    <w:rsid w:val="004666D2"/>
    <w:rsid w:val="00466F33"/>
    <w:rsid w:val="004705DF"/>
    <w:rsid w:val="00470E96"/>
    <w:rsid w:val="0047278D"/>
    <w:rsid w:val="00480DA0"/>
    <w:rsid w:val="004818EE"/>
    <w:rsid w:val="004824C6"/>
    <w:rsid w:val="004838D9"/>
    <w:rsid w:val="00483BBE"/>
    <w:rsid w:val="0048448D"/>
    <w:rsid w:val="00485341"/>
    <w:rsid w:val="00486B8C"/>
    <w:rsid w:val="004877F2"/>
    <w:rsid w:val="00490863"/>
    <w:rsid w:val="004926E6"/>
    <w:rsid w:val="004928C3"/>
    <w:rsid w:val="004A0F6A"/>
    <w:rsid w:val="004A17CD"/>
    <w:rsid w:val="004B04A7"/>
    <w:rsid w:val="004B04E0"/>
    <w:rsid w:val="004B1914"/>
    <w:rsid w:val="004B2828"/>
    <w:rsid w:val="004B39A4"/>
    <w:rsid w:val="004B4193"/>
    <w:rsid w:val="004B5345"/>
    <w:rsid w:val="004C016F"/>
    <w:rsid w:val="004C40C9"/>
    <w:rsid w:val="004C7551"/>
    <w:rsid w:val="004D09CA"/>
    <w:rsid w:val="004D4593"/>
    <w:rsid w:val="004D56F1"/>
    <w:rsid w:val="004D5BA7"/>
    <w:rsid w:val="004D5E63"/>
    <w:rsid w:val="004D70C6"/>
    <w:rsid w:val="004D7E99"/>
    <w:rsid w:val="004E1669"/>
    <w:rsid w:val="004E1AD9"/>
    <w:rsid w:val="004E1C21"/>
    <w:rsid w:val="004E2127"/>
    <w:rsid w:val="004E3CAA"/>
    <w:rsid w:val="004E6EEF"/>
    <w:rsid w:val="004F19C2"/>
    <w:rsid w:val="004F2923"/>
    <w:rsid w:val="004F2F0E"/>
    <w:rsid w:val="004F70BA"/>
    <w:rsid w:val="004F7B32"/>
    <w:rsid w:val="004F7DBA"/>
    <w:rsid w:val="0050097D"/>
    <w:rsid w:val="00500C10"/>
    <w:rsid w:val="0050266B"/>
    <w:rsid w:val="005066C5"/>
    <w:rsid w:val="005068DE"/>
    <w:rsid w:val="0051116C"/>
    <w:rsid w:val="005120A8"/>
    <w:rsid w:val="00515B7E"/>
    <w:rsid w:val="0052026E"/>
    <w:rsid w:val="005204BB"/>
    <w:rsid w:val="005211FB"/>
    <w:rsid w:val="005225B6"/>
    <w:rsid w:val="00522988"/>
    <w:rsid w:val="00524E78"/>
    <w:rsid w:val="0053387D"/>
    <w:rsid w:val="00535163"/>
    <w:rsid w:val="00535472"/>
    <w:rsid w:val="00540871"/>
    <w:rsid w:val="00542C54"/>
    <w:rsid w:val="00552562"/>
    <w:rsid w:val="00552C83"/>
    <w:rsid w:val="005547DB"/>
    <w:rsid w:val="00555980"/>
    <w:rsid w:val="005559B0"/>
    <w:rsid w:val="005568C2"/>
    <w:rsid w:val="0055739D"/>
    <w:rsid w:val="00561126"/>
    <w:rsid w:val="00561C1D"/>
    <w:rsid w:val="00562DB1"/>
    <w:rsid w:val="00562F83"/>
    <w:rsid w:val="00564CE9"/>
    <w:rsid w:val="00566BA3"/>
    <w:rsid w:val="005707D3"/>
    <w:rsid w:val="0057542B"/>
    <w:rsid w:val="00577D6D"/>
    <w:rsid w:val="00583ECD"/>
    <w:rsid w:val="00584496"/>
    <w:rsid w:val="005863B1"/>
    <w:rsid w:val="00591475"/>
    <w:rsid w:val="00594090"/>
    <w:rsid w:val="0059414B"/>
    <w:rsid w:val="005946E1"/>
    <w:rsid w:val="0059561B"/>
    <w:rsid w:val="005A19CB"/>
    <w:rsid w:val="005A4649"/>
    <w:rsid w:val="005A4F67"/>
    <w:rsid w:val="005A5C8B"/>
    <w:rsid w:val="005B022B"/>
    <w:rsid w:val="005B2CF4"/>
    <w:rsid w:val="005B514D"/>
    <w:rsid w:val="005B73F4"/>
    <w:rsid w:val="005B7E66"/>
    <w:rsid w:val="005C05F9"/>
    <w:rsid w:val="005C180D"/>
    <w:rsid w:val="005C72E1"/>
    <w:rsid w:val="005D0341"/>
    <w:rsid w:val="005D0346"/>
    <w:rsid w:val="005D0E1B"/>
    <w:rsid w:val="005D1387"/>
    <w:rsid w:val="005D148A"/>
    <w:rsid w:val="005D220E"/>
    <w:rsid w:val="005D2631"/>
    <w:rsid w:val="005D442E"/>
    <w:rsid w:val="005D4AFA"/>
    <w:rsid w:val="005D52EE"/>
    <w:rsid w:val="005D685E"/>
    <w:rsid w:val="005E062D"/>
    <w:rsid w:val="005E2D90"/>
    <w:rsid w:val="005E4E50"/>
    <w:rsid w:val="005E5C23"/>
    <w:rsid w:val="005E5C66"/>
    <w:rsid w:val="005E7318"/>
    <w:rsid w:val="00604E50"/>
    <w:rsid w:val="006056C1"/>
    <w:rsid w:val="00606041"/>
    <w:rsid w:val="00606FFC"/>
    <w:rsid w:val="00607268"/>
    <w:rsid w:val="006125D5"/>
    <w:rsid w:val="00616140"/>
    <w:rsid w:val="006206E8"/>
    <w:rsid w:val="0062385B"/>
    <w:rsid w:val="00630693"/>
    <w:rsid w:val="00633A8C"/>
    <w:rsid w:val="00634B2C"/>
    <w:rsid w:val="00636D21"/>
    <w:rsid w:val="00640329"/>
    <w:rsid w:val="00640AC5"/>
    <w:rsid w:val="00642287"/>
    <w:rsid w:val="00643741"/>
    <w:rsid w:val="00643D88"/>
    <w:rsid w:val="00643FB4"/>
    <w:rsid w:val="00645A41"/>
    <w:rsid w:val="00645D82"/>
    <w:rsid w:val="00646A1A"/>
    <w:rsid w:val="00647310"/>
    <w:rsid w:val="00647E25"/>
    <w:rsid w:val="0065668F"/>
    <w:rsid w:val="00656C91"/>
    <w:rsid w:val="00657581"/>
    <w:rsid w:val="00663599"/>
    <w:rsid w:val="00663E6C"/>
    <w:rsid w:val="00664898"/>
    <w:rsid w:val="00664E82"/>
    <w:rsid w:val="00667535"/>
    <w:rsid w:val="00667B78"/>
    <w:rsid w:val="00675997"/>
    <w:rsid w:val="00676F69"/>
    <w:rsid w:val="00677A9B"/>
    <w:rsid w:val="006870B8"/>
    <w:rsid w:val="00687D83"/>
    <w:rsid w:val="00690489"/>
    <w:rsid w:val="00692538"/>
    <w:rsid w:val="00692B4C"/>
    <w:rsid w:val="0069424C"/>
    <w:rsid w:val="00695794"/>
    <w:rsid w:val="00695A5A"/>
    <w:rsid w:val="00696C81"/>
    <w:rsid w:val="006A0518"/>
    <w:rsid w:val="006A0A34"/>
    <w:rsid w:val="006A2CCA"/>
    <w:rsid w:val="006A3571"/>
    <w:rsid w:val="006A4344"/>
    <w:rsid w:val="006A63E7"/>
    <w:rsid w:val="006B02EB"/>
    <w:rsid w:val="006B077B"/>
    <w:rsid w:val="006B137E"/>
    <w:rsid w:val="006B2235"/>
    <w:rsid w:val="006B3325"/>
    <w:rsid w:val="006B3792"/>
    <w:rsid w:val="006B576A"/>
    <w:rsid w:val="006C1065"/>
    <w:rsid w:val="006C1339"/>
    <w:rsid w:val="006C2174"/>
    <w:rsid w:val="006C23E3"/>
    <w:rsid w:val="006C3403"/>
    <w:rsid w:val="006C3CEC"/>
    <w:rsid w:val="006C56D1"/>
    <w:rsid w:val="006C5A3C"/>
    <w:rsid w:val="006D0DA3"/>
    <w:rsid w:val="006D273D"/>
    <w:rsid w:val="006D40E7"/>
    <w:rsid w:val="006E6921"/>
    <w:rsid w:val="006E6CBA"/>
    <w:rsid w:val="006E7607"/>
    <w:rsid w:val="006F09FB"/>
    <w:rsid w:val="006F1972"/>
    <w:rsid w:val="006F2179"/>
    <w:rsid w:val="006F3667"/>
    <w:rsid w:val="006F5B77"/>
    <w:rsid w:val="006F66F6"/>
    <w:rsid w:val="006F7127"/>
    <w:rsid w:val="00704178"/>
    <w:rsid w:val="007065AE"/>
    <w:rsid w:val="00707394"/>
    <w:rsid w:val="007075C7"/>
    <w:rsid w:val="0071302E"/>
    <w:rsid w:val="007217E9"/>
    <w:rsid w:val="00722E28"/>
    <w:rsid w:val="007248A9"/>
    <w:rsid w:val="00725A7B"/>
    <w:rsid w:val="0073104B"/>
    <w:rsid w:val="00732BD3"/>
    <w:rsid w:val="00732E13"/>
    <w:rsid w:val="00735F17"/>
    <w:rsid w:val="00737F12"/>
    <w:rsid w:val="00740720"/>
    <w:rsid w:val="007421FC"/>
    <w:rsid w:val="0074353E"/>
    <w:rsid w:val="00744391"/>
    <w:rsid w:val="007501F8"/>
    <w:rsid w:val="007519C8"/>
    <w:rsid w:val="007524EA"/>
    <w:rsid w:val="00752F15"/>
    <w:rsid w:val="007535AD"/>
    <w:rsid w:val="00760509"/>
    <w:rsid w:val="00760A14"/>
    <w:rsid w:val="00762DB5"/>
    <w:rsid w:val="00765B57"/>
    <w:rsid w:val="007660C8"/>
    <w:rsid w:val="00767FDD"/>
    <w:rsid w:val="007708D7"/>
    <w:rsid w:val="00775230"/>
    <w:rsid w:val="00775342"/>
    <w:rsid w:val="00775CB2"/>
    <w:rsid w:val="00783497"/>
    <w:rsid w:val="0079074E"/>
    <w:rsid w:val="0079645E"/>
    <w:rsid w:val="007966F4"/>
    <w:rsid w:val="007A07CA"/>
    <w:rsid w:val="007A134D"/>
    <w:rsid w:val="007A2DCB"/>
    <w:rsid w:val="007A3EEF"/>
    <w:rsid w:val="007A3FA0"/>
    <w:rsid w:val="007A4983"/>
    <w:rsid w:val="007A6847"/>
    <w:rsid w:val="007A7210"/>
    <w:rsid w:val="007A7A65"/>
    <w:rsid w:val="007A7CB2"/>
    <w:rsid w:val="007B032F"/>
    <w:rsid w:val="007B03AB"/>
    <w:rsid w:val="007B27E1"/>
    <w:rsid w:val="007B3344"/>
    <w:rsid w:val="007B67A0"/>
    <w:rsid w:val="007C519B"/>
    <w:rsid w:val="007D3C9A"/>
    <w:rsid w:val="007D3ED5"/>
    <w:rsid w:val="007D43BB"/>
    <w:rsid w:val="007D4C00"/>
    <w:rsid w:val="007D590F"/>
    <w:rsid w:val="007E11B6"/>
    <w:rsid w:val="007E1A70"/>
    <w:rsid w:val="007F09C0"/>
    <w:rsid w:val="007F0CA1"/>
    <w:rsid w:val="007F0F57"/>
    <w:rsid w:val="007F39F4"/>
    <w:rsid w:val="007F3CE5"/>
    <w:rsid w:val="007F49A1"/>
    <w:rsid w:val="007F66D0"/>
    <w:rsid w:val="007F73FC"/>
    <w:rsid w:val="007F7563"/>
    <w:rsid w:val="00802524"/>
    <w:rsid w:val="00805294"/>
    <w:rsid w:val="0080787D"/>
    <w:rsid w:val="00810A23"/>
    <w:rsid w:val="00811068"/>
    <w:rsid w:val="008113FF"/>
    <w:rsid w:val="008137E8"/>
    <w:rsid w:val="00815ED0"/>
    <w:rsid w:val="008202D3"/>
    <w:rsid w:val="0082280C"/>
    <w:rsid w:val="00822AE8"/>
    <w:rsid w:val="0083115C"/>
    <w:rsid w:val="00831958"/>
    <w:rsid w:val="00832290"/>
    <w:rsid w:val="00834F87"/>
    <w:rsid w:val="00835BB8"/>
    <w:rsid w:val="008440BC"/>
    <w:rsid w:val="008450B3"/>
    <w:rsid w:val="00851CE0"/>
    <w:rsid w:val="00860645"/>
    <w:rsid w:val="008630C6"/>
    <w:rsid w:val="00865282"/>
    <w:rsid w:val="00867182"/>
    <w:rsid w:val="008674B4"/>
    <w:rsid w:val="00872018"/>
    <w:rsid w:val="00872619"/>
    <w:rsid w:val="00873CE1"/>
    <w:rsid w:val="0087796A"/>
    <w:rsid w:val="00880A58"/>
    <w:rsid w:val="008832CE"/>
    <w:rsid w:val="008842F3"/>
    <w:rsid w:val="00887475"/>
    <w:rsid w:val="00887F1F"/>
    <w:rsid w:val="00891E41"/>
    <w:rsid w:val="00897358"/>
    <w:rsid w:val="0089754C"/>
    <w:rsid w:val="008A00D8"/>
    <w:rsid w:val="008A084A"/>
    <w:rsid w:val="008A291A"/>
    <w:rsid w:val="008A298D"/>
    <w:rsid w:val="008A5050"/>
    <w:rsid w:val="008A747C"/>
    <w:rsid w:val="008B23E8"/>
    <w:rsid w:val="008C1B40"/>
    <w:rsid w:val="008C3C55"/>
    <w:rsid w:val="008C4C0B"/>
    <w:rsid w:val="008C6247"/>
    <w:rsid w:val="008C6A43"/>
    <w:rsid w:val="008D05B2"/>
    <w:rsid w:val="008D2F66"/>
    <w:rsid w:val="008D4B3B"/>
    <w:rsid w:val="008D5F40"/>
    <w:rsid w:val="008D6410"/>
    <w:rsid w:val="008E271E"/>
    <w:rsid w:val="008E6415"/>
    <w:rsid w:val="008E7A5F"/>
    <w:rsid w:val="008F154C"/>
    <w:rsid w:val="008F4C3C"/>
    <w:rsid w:val="008F4EA3"/>
    <w:rsid w:val="009014CC"/>
    <w:rsid w:val="00901A60"/>
    <w:rsid w:val="009044AC"/>
    <w:rsid w:val="00905A3D"/>
    <w:rsid w:val="00907520"/>
    <w:rsid w:val="009079F8"/>
    <w:rsid w:val="00914A70"/>
    <w:rsid w:val="00915859"/>
    <w:rsid w:val="00917F81"/>
    <w:rsid w:val="009213E1"/>
    <w:rsid w:val="00922347"/>
    <w:rsid w:val="009240A9"/>
    <w:rsid w:val="00924457"/>
    <w:rsid w:val="009246A5"/>
    <w:rsid w:val="00925A0F"/>
    <w:rsid w:val="009263E1"/>
    <w:rsid w:val="00927823"/>
    <w:rsid w:val="00927ED9"/>
    <w:rsid w:val="00932C63"/>
    <w:rsid w:val="009354CE"/>
    <w:rsid w:val="00936875"/>
    <w:rsid w:val="00940005"/>
    <w:rsid w:val="00940445"/>
    <w:rsid w:val="00940A77"/>
    <w:rsid w:val="00943E4B"/>
    <w:rsid w:val="00944C1D"/>
    <w:rsid w:val="009451FB"/>
    <w:rsid w:val="009452CF"/>
    <w:rsid w:val="00947F3B"/>
    <w:rsid w:val="00952833"/>
    <w:rsid w:val="0095381A"/>
    <w:rsid w:val="00957137"/>
    <w:rsid w:val="009601A0"/>
    <w:rsid w:val="00960C4D"/>
    <w:rsid w:val="00963034"/>
    <w:rsid w:val="0097627C"/>
    <w:rsid w:val="009767B9"/>
    <w:rsid w:val="00981017"/>
    <w:rsid w:val="00982162"/>
    <w:rsid w:val="00982A75"/>
    <w:rsid w:val="009846D9"/>
    <w:rsid w:val="00985C59"/>
    <w:rsid w:val="00993AAC"/>
    <w:rsid w:val="00993B76"/>
    <w:rsid w:val="00994808"/>
    <w:rsid w:val="00994971"/>
    <w:rsid w:val="009A1114"/>
    <w:rsid w:val="009A1AC2"/>
    <w:rsid w:val="009A321A"/>
    <w:rsid w:val="009A4F8A"/>
    <w:rsid w:val="009B30C8"/>
    <w:rsid w:val="009B3387"/>
    <w:rsid w:val="009B7E3C"/>
    <w:rsid w:val="009C0429"/>
    <w:rsid w:val="009C2807"/>
    <w:rsid w:val="009C2CC8"/>
    <w:rsid w:val="009C6988"/>
    <w:rsid w:val="009D1A0B"/>
    <w:rsid w:val="009D2134"/>
    <w:rsid w:val="009D467B"/>
    <w:rsid w:val="009D48BF"/>
    <w:rsid w:val="009E0CA1"/>
    <w:rsid w:val="009E389A"/>
    <w:rsid w:val="009E522C"/>
    <w:rsid w:val="009E67AC"/>
    <w:rsid w:val="009E6C98"/>
    <w:rsid w:val="009E729D"/>
    <w:rsid w:val="009E7CE5"/>
    <w:rsid w:val="009E7E9D"/>
    <w:rsid w:val="009F4570"/>
    <w:rsid w:val="009F6085"/>
    <w:rsid w:val="009F761A"/>
    <w:rsid w:val="00A0197A"/>
    <w:rsid w:val="00A035E6"/>
    <w:rsid w:val="00A03635"/>
    <w:rsid w:val="00A106C5"/>
    <w:rsid w:val="00A1166E"/>
    <w:rsid w:val="00A169A6"/>
    <w:rsid w:val="00A17220"/>
    <w:rsid w:val="00A17920"/>
    <w:rsid w:val="00A24A11"/>
    <w:rsid w:val="00A254BE"/>
    <w:rsid w:val="00A30D64"/>
    <w:rsid w:val="00A331AB"/>
    <w:rsid w:val="00A362A5"/>
    <w:rsid w:val="00A362C9"/>
    <w:rsid w:val="00A459E3"/>
    <w:rsid w:val="00A477F2"/>
    <w:rsid w:val="00A52F48"/>
    <w:rsid w:val="00A6168F"/>
    <w:rsid w:val="00A61B09"/>
    <w:rsid w:val="00A66144"/>
    <w:rsid w:val="00A66CD7"/>
    <w:rsid w:val="00A734D0"/>
    <w:rsid w:val="00A84EBC"/>
    <w:rsid w:val="00A85471"/>
    <w:rsid w:val="00A859FE"/>
    <w:rsid w:val="00A86929"/>
    <w:rsid w:val="00A87215"/>
    <w:rsid w:val="00A87EC1"/>
    <w:rsid w:val="00A90B75"/>
    <w:rsid w:val="00A91A87"/>
    <w:rsid w:val="00A93685"/>
    <w:rsid w:val="00A97ABA"/>
    <w:rsid w:val="00AA40F8"/>
    <w:rsid w:val="00AA46D6"/>
    <w:rsid w:val="00AA6754"/>
    <w:rsid w:val="00AA7B85"/>
    <w:rsid w:val="00AB0BAF"/>
    <w:rsid w:val="00AB0DC8"/>
    <w:rsid w:val="00AB1F79"/>
    <w:rsid w:val="00AB21FF"/>
    <w:rsid w:val="00AB27B7"/>
    <w:rsid w:val="00AB349B"/>
    <w:rsid w:val="00AB4406"/>
    <w:rsid w:val="00AB78DA"/>
    <w:rsid w:val="00AC29B5"/>
    <w:rsid w:val="00AC31AD"/>
    <w:rsid w:val="00AC4360"/>
    <w:rsid w:val="00AC488C"/>
    <w:rsid w:val="00AC4A55"/>
    <w:rsid w:val="00AC57FC"/>
    <w:rsid w:val="00AC73FE"/>
    <w:rsid w:val="00AC7840"/>
    <w:rsid w:val="00AD2636"/>
    <w:rsid w:val="00AD376F"/>
    <w:rsid w:val="00AD5329"/>
    <w:rsid w:val="00AE249D"/>
    <w:rsid w:val="00AE4731"/>
    <w:rsid w:val="00AF0612"/>
    <w:rsid w:val="00AF2509"/>
    <w:rsid w:val="00AF2C31"/>
    <w:rsid w:val="00AF3BBF"/>
    <w:rsid w:val="00AF5024"/>
    <w:rsid w:val="00AF6CCA"/>
    <w:rsid w:val="00AF6E93"/>
    <w:rsid w:val="00AF7238"/>
    <w:rsid w:val="00B0005A"/>
    <w:rsid w:val="00B0084C"/>
    <w:rsid w:val="00B01053"/>
    <w:rsid w:val="00B02119"/>
    <w:rsid w:val="00B0453F"/>
    <w:rsid w:val="00B11590"/>
    <w:rsid w:val="00B11AD6"/>
    <w:rsid w:val="00B11D29"/>
    <w:rsid w:val="00B13E79"/>
    <w:rsid w:val="00B15B01"/>
    <w:rsid w:val="00B16BFC"/>
    <w:rsid w:val="00B20250"/>
    <w:rsid w:val="00B22E2C"/>
    <w:rsid w:val="00B23F59"/>
    <w:rsid w:val="00B24641"/>
    <w:rsid w:val="00B31BEB"/>
    <w:rsid w:val="00B3324A"/>
    <w:rsid w:val="00B3385C"/>
    <w:rsid w:val="00B34CBF"/>
    <w:rsid w:val="00B3639A"/>
    <w:rsid w:val="00B36BF6"/>
    <w:rsid w:val="00B40414"/>
    <w:rsid w:val="00B41E6E"/>
    <w:rsid w:val="00B457F5"/>
    <w:rsid w:val="00B45E6E"/>
    <w:rsid w:val="00B50392"/>
    <w:rsid w:val="00B517B2"/>
    <w:rsid w:val="00B523D2"/>
    <w:rsid w:val="00B53C03"/>
    <w:rsid w:val="00B55A98"/>
    <w:rsid w:val="00B56548"/>
    <w:rsid w:val="00B62588"/>
    <w:rsid w:val="00B656B6"/>
    <w:rsid w:val="00B6661A"/>
    <w:rsid w:val="00B66E49"/>
    <w:rsid w:val="00B67576"/>
    <w:rsid w:val="00B67D0F"/>
    <w:rsid w:val="00B719FF"/>
    <w:rsid w:val="00B71D87"/>
    <w:rsid w:val="00B73249"/>
    <w:rsid w:val="00B77744"/>
    <w:rsid w:val="00B81FAD"/>
    <w:rsid w:val="00B82556"/>
    <w:rsid w:val="00B8390D"/>
    <w:rsid w:val="00B84295"/>
    <w:rsid w:val="00B864D5"/>
    <w:rsid w:val="00B866F1"/>
    <w:rsid w:val="00B868AE"/>
    <w:rsid w:val="00B9067A"/>
    <w:rsid w:val="00B96983"/>
    <w:rsid w:val="00BA19B8"/>
    <w:rsid w:val="00BA37B5"/>
    <w:rsid w:val="00BA7CEC"/>
    <w:rsid w:val="00BB7754"/>
    <w:rsid w:val="00BC042C"/>
    <w:rsid w:val="00BC18B4"/>
    <w:rsid w:val="00BC1FB4"/>
    <w:rsid w:val="00BC2962"/>
    <w:rsid w:val="00BC38EF"/>
    <w:rsid w:val="00BC7A6E"/>
    <w:rsid w:val="00BC7B3A"/>
    <w:rsid w:val="00BD108D"/>
    <w:rsid w:val="00BD129C"/>
    <w:rsid w:val="00BD1D30"/>
    <w:rsid w:val="00BD1E6E"/>
    <w:rsid w:val="00BD5020"/>
    <w:rsid w:val="00BD5760"/>
    <w:rsid w:val="00BD5E36"/>
    <w:rsid w:val="00BD6042"/>
    <w:rsid w:val="00BD60FF"/>
    <w:rsid w:val="00BE3715"/>
    <w:rsid w:val="00BE4485"/>
    <w:rsid w:val="00BE50C5"/>
    <w:rsid w:val="00BE60F5"/>
    <w:rsid w:val="00BE6599"/>
    <w:rsid w:val="00BE7CF6"/>
    <w:rsid w:val="00BE7F10"/>
    <w:rsid w:val="00BF353D"/>
    <w:rsid w:val="00BF509D"/>
    <w:rsid w:val="00BF7222"/>
    <w:rsid w:val="00C037DF"/>
    <w:rsid w:val="00C03B8E"/>
    <w:rsid w:val="00C06CE8"/>
    <w:rsid w:val="00C11130"/>
    <w:rsid w:val="00C12DB0"/>
    <w:rsid w:val="00C15DC2"/>
    <w:rsid w:val="00C1795C"/>
    <w:rsid w:val="00C20203"/>
    <w:rsid w:val="00C20803"/>
    <w:rsid w:val="00C21FBB"/>
    <w:rsid w:val="00C22F49"/>
    <w:rsid w:val="00C2457C"/>
    <w:rsid w:val="00C26CBE"/>
    <w:rsid w:val="00C3149E"/>
    <w:rsid w:val="00C322E0"/>
    <w:rsid w:val="00C32BEB"/>
    <w:rsid w:val="00C35D03"/>
    <w:rsid w:val="00C40AEF"/>
    <w:rsid w:val="00C40E30"/>
    <w:rsid w:val="00C42658"/>
    <w:rsid w:val="00C43925"/>
    <w:rsid w:val="00C45450"/>
    <w:rsid w:val="00C467C8"/>
    <w:rsid w:val="00C47B09"/>
    <w:rsid w:val="00C51082"/>
    <w:rsid w:val="00C55AF2"/>
    <w:rsid w:val="00C5613B"/>
    <w:rsid w:val="00C56950"/>
    <w:rsid w:val="00C56AEF"/>
    <w:rsid w:val="00C56D60"/>
    <w:rsid w:val="00C607DE"/>
    <w:rsid w:val="00C62840"/>
    <w:rsid w:val="00C66467"/>
    <w:rsid w:val="00C67AB2"/>
    <w:rsid w:val="00C713E8"/>
    <w:rsid w:val="00C73F82"/>
    <w:rsid w:val="00C74B8B"/>
    <w:rsid w:val="00C75160"/>
    <w:rsid w:val="00C7631E"/>
    <w:rsid w:val="00C7742B"/>
    <w:rsid w:val="00C83017"/>
    <w:rsid w:val="00C8324B"/>
    <w:rsid w:val="00C83926"/>
    <w:rsid w:val="00C847AF"/>
    <w:rsid w:val="00C8700F"/>
    <w:rsid w:val="00C91027"/>
    <w:rsid w:val="00C915F7"/>
    <w:rsid w:val="00C91B05"/>
    <w:rsid w:val="00C91D58"/>
    <w:rsid w:val="00C91EDC"/>
    <w:rsid w:val="00C92BCF"/>
    <w:rsid w:val="00C92EA6"/>
    <w:rsid w:val="00C9344C"/>
    <w:rsid w:val="00C9541E"/>
    <w:rsid w:val="00CA05EF"/>
    <w:rsid w:val="00CA325E"/>
    <w:rsid w:val="00CA3538"/>
    <w:rsid w:val="00CA592B"/>
    <w:rsid w:val="00CB492E"/>
    <w:rsid w:val="00CB61C0"/>
    <w:rsid w:val="00CB712D"/>
    <w:rsid w:val="00CB7144"/>
    <w:rsid w:val="00CC5B53"/>
    <w:rsid w:val="00CC64BB"/>
    <w:rsid w:val="00CD17E3"/>
    <w:rsid w:val="00CE30BB"/>
    <w:rsid w:val="00CE31FB"/>
    <w:rsid w:val="00CE358E"/>
    <w:rsid w:val="00CE6500"/>
    <w:rsid w:val="00CF0A40"/>
    <w:rsid w:val="00CF3A00"/>
    <w:rsid w:val="00CF53E9"/>
    <w:rsid w:val="00CF5ED4"/>
    <w:rsid w:val="00D04EDE"/>
    <w:rsid w:val="00D0557E"/>
    <w:rsid w:val="00D064AE"/>
    <w:rsid w:val="00D07809"/>
    <w:rsid w:val="00D1178B"/>
    <w:rsid w:val="00D14455"/>
    <w:rsid w:val="00D153A2"/>
    <w:rsid w:val="00D15C82"/>
    <w:rsid w:val="00D168B8"/>
    <w:rsid w:val="00D2236A"/>
    <w:rsid w:val="00D22F2A"/>
    <w:rsid w:val="00D2379D"/>
    <w:rsid w:val="00D239B8"/>
    <w:rsid w:val="00D240C2"/>
    <w:rsid w:val="00D27000"/>
    <w:rsid w:val="00D319C5"/>
    <w:rsid w:val="00D32A51"/>
    <w:rsid w:val="00D4148A"/>
    <w:rsid w:val="00D44C83"/>
    <w:rsid w:val="00D44D27"/>
    <w:rsid w:val="00D5016C"/>
    <w:rsid w:val="00D50723"/>
    <w:rsid w:val="00D51427"/>
    <w:rsid w:val="00D523DB"/>
    <w:rsid w:val="00D54493"/>
    <w:rsid w:val="00D54950"/>
    <w:rsid w:val="00D619A8"/>
    <w:rsid w:val="00D6284E"/>
    <w:rsid w:val="00D64477"/>
    <w:rsid w:val="00D645C5"/>
    <w:rsid w:val="00D67824"/>
    <w:rsid w:val="00D72B10"/>
    <w:rsid w:val="00D73E9F"/>
    <w:rsid w:val="00D74BBA"/>
    <w:rsid w:val="00D74F46"/>
    <w:rsid w:val="00D76B17"/>
    <w:rsid w:val="00D776F7"/>
    <w:rsid w:val="00D779D8"/>
    <w:rsid w:val="00D81352"/>
    <w:rsid w:val="00D83EFE"/>
    <w:rsid w:val="00D85A97"/>
    <w:rsid w:val="00D85E2F"/>
    <w:rsid w:val="00D874B6"/>
    <w:rsid w:val="00D877DE"/>
    <w:rsid w:val="00D9122B"/>
    <w:rsid w:val="00D917F8"/>
    <w:rsid w:val="00D933D6"/>
    <w:rsid w:val="00D93F1C"/>
    <w:rsid w:val="00D94AE0"/>
    <w:rsid w:val="00D95010"/>
    <w:rsid w:val="00D9560B"/>
    <w:rsid w:val="00D9635E"/>
    <w:rsid w:val="00D9653B"/>
    <w:rsid w:val="00D96EDF"/>
    <w:rsid w:val="00D9792C"/>
    <w:rsid w:val="00DA3C99"/>
    <w:rsid w:val="00DA41A7"/>
    <w:rsid w:val="00DA4713"/>
    <w:rsid w:val="00DA59E2"/>
    <w:rsid w:val="00DA5AC1"/>
    <w:rsid w:val="00DA6ED9"/>
    <w:rsid w:val="00DA705B"/>
    <w:rsid w:val="00DC3635"/>
    <w:rsid w:val="00DC3EAF"/>
    <w:rsid w:val="00DD0F15"/>
    <w:rsid w:val="00DD16DC"/>
    <w:rsid w:val="00DD40DB"/>
    <w:rsid w:val="00DD70D6"/>
    <w:rsid w:val="00DE1586"/>
    <w:rsid w:val="00DE22FD"/>
    <w:rsid w:val="00DF08B8"/>
    <w:rsid w:val="00DF17C6"/>
    <w:rsid w:val="00DF227A"/>
    <w:rsid w:val="00DF2F20"/>
    <w:rsid w:val="00DF3B59"/>
    <w:rsid w:val="00DF4DB3"/>
    <w:rsid w:val="00DF55DE"/>
    <w:rsid w:val="00DF657F"/>
    <w:rsid w:val="00E005C8"/>
    <w:rsid w:val="00E02257"/>
    <w:rsid w:val="00E05186"/>
    <w:rsid w:val="00E079E2"/>
    <w:rsid w:val="00E1302C"/>
    <w:rsid w:val="00E144FD"/>
    <w:rsid w:val="00E25325"/>
    <w:rsid w:val="00E2533D"/>
    <w:rsid w:val="00E35030"/>
    <w:rsid w:val="00E3620B"/>
    <w:rsid w:val="00E3646D"/>
    <w:rsid w:val="00E4141F"/>
    <w:rsid w:val="00E41817"/>
    <w:rsid w:val="00E43485"/>
    <w:rsid w:val="00E45BC1"/>
    <w:rsid w:val="00E51007"/>
    <w:rsid w:val="00E51A3C"/>
    <w:rsid w:val="00E51E22"/>
    <w:rsid w:val="00E52349"/>
    <w:rsid w:val="00E53F09"/>
    <w:rsid w:val="00E56739"/>
    <w:rsid w:val="00E57282"/>
    <w:rsid w:val="00E61132"/>
    <w:rsid w:val="00E6501C"/>
    <w:rsid w:val="00E719F3"/>
    <w:rsid w:val="00E9062B"/>
    <w:rsid w:val="00E93745"/>
    <w:rsid w:val="00E96373"/>
    <w:rsid w:val="00E97780"/>
    <w:rsid w:val="00EA0598"/>
    <w:rsid w:val="00EA22F2"/>
    <w:rsid w:val="00EA3CCF"/>
    <w:rsid w:val="00EA7342"/>
    <w:rsid w:val="00EB1C8A"/>
    <w:rsid w:val="00EB2D83"/>
    <w:rsid w:val="00EB31EF"/>
    <w:rsid w:val="00EB5337"/>
    <w:rsid w:val="00EB7E3F"/>
    <w:rsid w:val="00EC2F6D"/>
    <w:rsid w:val="00EC6606"/>
    <w:rsid w:val="00EC7C92"/>
    <w:rsid w:val="00ED0569"/>
    <w:rsid w:val="00ED2028"/>
    <w:rsid w:val="00ED4029"/>
    <w:rsid w:val="00ED49CE"/>
    <w:rsid w:val="00EE0A0B"/>
    <w:rsid w:val="00EE214E"/>
    <w:rsid w:val="00EE2BDC"/>
    <w:rsid w:val="00EE3E2E"/>
    <w:rsid w:val="00EE48A9"/>
    <w:rsid w:val="00EE5FC7"/>
    <w:rsid w:val="00EE64CB"/>
    <w:rsid w:val="00EF5E10"/>
    <w:rsid w:val="00EF60E5"/>
    <w:rsid w:val="00EF7AA0"/>
    <w:rsid w:val="00F01835"/>
    <w:rsid w:val="00F0292C"/>
    <w:rsid w:val="00F0491E"/>
    <w:rsid w:val="00F05E1A"/>
    <w:rsid w:val="00F103B2"/>
    <w:rsid w:val="00F106E7"/>
    <w:rsid w:val="00F12613"/>
    <w:rsid w:val="00F13111"/>
    <w:rsid w:val="00F163C5"/>
    <w:rsid w:val="00F237FE"/>
    <w:rsid w:val="00F24FDF"/>
    <w:rsid w:val="00F31589"/>
    <w:rsid w:val="00F31F74"/>
    <w:rsid w:val="00F32205"/>
    <w:rsid w:val="00F32936"/>
    <w:rsid w:val="00F3308A"/>
    <w:rsid w:val="00F33C3A"/>
    <w:rsid w:val="00F35BD0"/>
    <w:rsid w:val="00F35CF4"/>
    <w:rsid w:val="00F362D4"/>
    <w:rsid w:val="00F36D44"/>
    <w:rsid w:val="00F41238"/>
    <w:rsid w:val="00F420BA"/>
    <w:rsid w:val="00F439A2"/>
    <w:rsid w:val="00F4540B"/>
    <w:rsid w:val="00F45EB4"/>
    <w:rsid w:val="00F4691C"/>
    <w:rsid w:val="00F52835"/>
    <w:rsid w:val="00F552CD"/>
    <w:rsid w:val="00F5653A"/>
    <w:rsid w:val="00F6259E"/>
    <w:rsid w:val="00F713B9"/>
    <w:rsid w:val="00F71B16"/>
    <w:rsid w:val="00F735D5"/>
    <w:rsid w:val="00F7422B"/>
    <w:rsid w:val="00F777A2"/>
    <w:rsid w:val="00F77F1A"/>
    <w:rsid w:val="00F80DF2"/>
    <w:rsid w:val="00F81236"/>
    <w:rsid w:val="00F8264C"/>
    <w:rsid w:val="00F83E97"/>
    <w:rsid w:val="00F8493B"/>
    <w:rsid w:val="00F907AF"/>
    <w:rsid w:val="00F95307"/>
    <w:rsid w:val="00F958D2"/>
    <w:rsid w:val="00F97C56"/>
    <w:rsid w:val="00FA1D42"/>
    <w:rsid w:val="00FA5C8D"/>
    <w:rsid w:val="00FB3398"/>
    <w:rsid w:val="00FB70F9"/>
    <w:rsid w:val="00FC4153"/>
    <w:rsid w:val="00FC765B"/>
    <w:rsid w:val="00FC7962"/>
    <w:rsid w:val="00FD71D5"/>
    <w:rsid w:val="00FE08F6"/>
    <w:rsid w:val="00FE2898"/>
    <w:rsid w:val="00FE3A32"/>
    <w:rsid w:val="00FE512D"/>
    <w:rsid w:val="00FE577A"/>
    <w:rsid w:val="00FE5857"/>
    <w:rsid w:val="00FE607E"/>
    <w:rsid w:val="00FE7E34"/>
    <w:rsid w:val="00FF11FB"/>
    <w:rsid w:val="00FF31FE"/>
    <w:rsid w:val="00FF3B66"/>
    <w:rsid w:val="00FF4C85"/>
    <w:rsid w:val="00FF4E84"/>
    <w:rsid w:val="00F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88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C1"/>
    <w:pPr>
      <w:spacing w:after="0" w:line="240" w:lineRule="auto"/>
    </w:pPr>
    <w:rPr>
      <w:rFonts w:ascii="Times New Roman" w:eastAsia="Times New Roman" w:hAnsi="Times New Roman" w:cs="Times New Roman"/>
      <w:sz w:val="20"/>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F958D2"/>
    <w:pPr>
      <w:keepNext/>
      <w:numPr>
        <w:numId w:val="2"/>
      </w:numPr>
      <w:suppressAutoHyphens/>
      <w:spacing w:after="120"/>
      <w:outlineLvl w:val="0"/>
    </w:pPr>
    <w:rPr>
      <w:rFonts w:ascii="Times New Roman Bold" w:hAnsi="Times New Roman Bold"/>
      <w:b/>
      <w:caps/>
      <w:snapToGrid w:val="0"/>
      <w:kern w:val="28"/>
      <w:sz w:val="22"/>
      <w:lang w:val="x-none" w:eastAsia="x-none"/>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41E6E"/>
    <w:pPr>
      <w:keepNext/>
      <w:spacing w:after="120"/>
      <w:outlineLvl w:val="1"/>
    </w:pPr>
    <w:rPr>
      <w:sz w:val="24"/>
      <w:szCs w:val="24"/>
      <w:lang w:val="x-none" w:eastAsia="x-none"/>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F958D2"/>
    <w:pPr>
      <w:keepNext/>
      <w:numPr>
        <w:ilvl w:val="2"/>
        <w:numId w:val="2"/>
      </w:numPr>
      <w:tabs>
        <w:tab w:val="left" w:pos="2160"/>
      </w:tabs>
      <w:spacing w:after="120"/>
      <w:outlineLvl w:val="2"/>
    </w:pPr>
    <w:rPr>
      <w:b/>
      <w:snapToGrid w:val="0"/>
      <w:kern w:val="28"/>
      <w:sz w:val="22"/>
      <w:lang w:val="x-none" w:eastAsia="x-none"/>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F958D2"/>
    <w:pPr>
      <w:keepNext/>
      <w:numPr>
        <w:ilvl w:val="3"/>
        <w:numId w:val="2"/>
      </w:numPr>
      <w:tabs>
        <w:tab w:val="left" w:pos="2880"/>
      </w:tabs>
      <w:spacing w:after="120"/>
      <w:outlineLvl w:val="3"/>
    </w:pPr>
    <w:rPr>
      <w:b/>
      <w:snapToGrid w:val="0"/>
      <w:kern w:val="28"/>
      <w:sz w:val="22"/>
      <w:lang w:val="x-none" w:eastAsia="x-none"/>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F958D2"/>
    <w:pPr>
      <w:keepNext/>
      <w:numPr>
        <w:ilvl w:val="4"/>
        <w:numId w:val="2"/>
      </w:numPr>
      <w:tabs>
        <w:tab w:val="left" w:pos="3600"/>
      </w:tabs>
      <w:suppressAutoHyphens/>
      <w:spacing w:after="120"/>
      <w:outlineLvl w:val="4"/>
    </w:pPr>
    <w:rPr>
      <w:b/>
      <w:snapToGrid w:val="0"/>
      <w:kern w:val="28"/>
      <w:sz w:val="22"/>
      <w:lang w:val="x-none" w:eastAsia="x-none"/>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F958D2"/>
    <w:pPr>
      <w:numPr>
        <w:ilvl w:val="5"/>
        <w:numId w:val="2"/>
      </w:numPr>
      <w:tabs>
        <w:tab w:val="left" w:pos="4320"/>
      </w:tabs>
      <w:spacing w:after="120"/>
      <w:outlineLvl w:val="5"/>
    </w:pPr>
    <w:rPr>
      <w:b/>
      <w:snapToGrid w:val="0"/>
      <w:kern w:val="28"/>
      <w:sz w:val="22"/>
      <w:lang w:val="x-none" w:eastAsia="x-none"/>
    </w:rPr>
  </w:style>
  <w:style w:type="paragraph" w:styleId="Heading7">
    <w:name w:val="heading 7"/>
    <w:basedOn w:val="Normal"/>
    <w:next w:val="ParaNum"/>
    <w:link w:val="Heading7Char"/>
    <w:qFormat/>
    <w:rsid w:val="00F958D2"/>
    <w:pPr>
      <w:numPr>
        <w:ilvl w:val="6"/>
        <w:numId w:val="2"/>
      </w:numPr>
      <w:tabs>
        <w:tab w:val="left" w:pos="5040"/>
      </w:tabs>
      <w:spacing w:after="120"/>
      <w:ind w:left="5040" w:hanging="720"/>
      <w:outlineLvl w:val="6"/>
    </w:pPr>
    <w:rPr>
      <w:b/>
      <w:snapToGrid w:val="0"/>
      <w:kern w:val="28"/>
      <w:sz w:val="22"/>
      <w:lang w:val="x-none" w:eastAsia="x-none"/>
    </w:rPr>
  </w:style>
  <w:style w:type="paragraph" w:styleId="Heading8">
    <w:name w:val="heading 8"/>
    <w:basedOn w:val="Normal"/>
    <w:next w:val="ParaNum"/>
    <w:link w:val="Heading8Char"/>
    <w:qFormat/>
    <w:rsid w:val="00F958D2"/>
    <w:pPr>
      <w:numPr>
        <w:ilvl w:val="7"/>
        <w:numId w:val="2"/>
      </w:numPr>
      <w:tabs>
        <w:tab w:val="clear" w:pos="5400"/>
        <w:tab w:val="left" w:pos="5760"/>
      </w:tabs>
      <w:spacing w:after="120"/>
      <w:ind w:left="5760" w:hanging="720"/>
      <w:outlineLvl w:val="7"/>
    </w:pPr>
    <w:rPr>
      <w:b/>
      <w:snapToGrid w:val="0"/>
      <w:kern w:val="28"/>
      <w:sz w:val="22"/>
      <w:lang w:val="x-none" w:eastAsia="x-none"/>
    </w:rPr>
  </w:style>
  <w:style w:type="paragraph" w:styleId="Heading9">
    <w:name w:val="heading 9"/>
    <w:aliases w:val="Topic,table,t,9,Heading 9.table,Titre 9"/>
    <w:basedOn w:val="Normal"/>
    <w:next w:val="ParaNum"/>
    <w:link w:val="Heading9Char"/>
    <w:qFormat/>
    <w:rsid w:val="00F958D2"/>
    <w:pPr>
      <w:numPr>
        <w:ilvl w:val="8"/>
        <w:numId w:val="2"/>
      </w:numPr>
      <w:tabs>
        <w:tab w:val="clear" w:pos="6120"/>
        <w:tab w:val="left" w:pos="6480"/>
      </w:tabs>
      <w:spacing w:after="120"/>
      <w:ind w:left="6480" w:hanging="720"/>
      <w:outlineLvl w:val="8"/>
    </w:pPr>
    <w:rPr>
      <w:b/>
      <w:snapToGrid w:val="0"/>
      <w:kern w:val="28"/>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3C1"/>
    <w:rPr>
      <w:color w:val="0000FF"/>
      <w:u w:val="single"/>
    </w:rPr>
  </w:style>
  <w:style w:type="paragraph" w:styleId="Header">
    <w:name w:val="header"/>
    <w:basedOn w:val="Normal"/>
    <w:link w:val="HeaderChar"/>
    <w:unhideWhenUsed/>
    <w:rsid w:val="002E73C1"/>
    <w:pPr>
      <w:tabs>
        <w:tab w:val="center" w:pos="4680"/>
        <w:tab w:val="right" w:pos="9360"/>
      </w:tabs>
    </w:pPr>
  </w:style>
  <w:style w:type="character" w:customStyle="1" w:styleId="HeaderChar">
    <w:name w:val="Header Char"/>
    <w:basedOn w:val="DefaultParagraphFont"/>
    <w:link w:val="Header"/>
    <w:uiPriority w:val="99"/>
    <w:rsid w:val="002E73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73C1"/>
    <w:pPr>
      <w:tabs>
        <w:tab w:val="center" w:pos="4680"/>
        <w:tab w:val="right" w:pos="9360"/>
      </w:tabs>
    </w:pPr>
  </w:style>
  <w:style w:type="character" w:customStyle="1" w:styleId="FooterChar">
    <w:name w:val="Footer Char"/>
    <w:basedOn w:val="DefaultParagraphFont"/>
    <w:link w:val="Footer"/>
    <w:uiPriority w:val="99"/>
    <w:rsid w:val="002E73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3C1"/>
    <w:rPr>
      <w:rFonts w:ascii="Tahoma" w:hAnsi="Tahoma" w:cs="Tahoma"/>
      <w:sz w:val="16"/>
      <w:szCs w:val="16"/>
    </w:rPr>
  </w:style>
  <w:style w:type="character" w:customStyle="1" w:styleId="BalloonTextChar">
    <w:name w:val="Balloon Text Char"/>
    <w:basedOn w:val="DefaultParagraphFont"/>
    <w:link w:val="BalloonText"/>
    <w:uiPriority w:val="99"/>
    <w:semiHidden/>
    <w:rsid w:val="002E73C1"/>
    <w:rPr>
      <w:rFonts w:ascii="Tahoma" w:eastAsia="Times New Roman" w:hAnsi="Tahoma" w:cs="Tahoma"/>
      <w:sz w:val="16"/>
      <w:szCs w:val="16"/>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nhideWhenUsed/>
    <w:rsid w:val="00F5653A"/>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F5653A"/>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Style 4,Style 7,Footnote Reference1"/>
    <w:rsid w:val="00F5653A"/>
    <w:rPr>
      <w:rFonts w:ascii="Times New Roman" w:hAnsi="Times New Roman"/>
      <w:dstrike w:val="0"/>
      <w:color w:val="auto"/>
      <w:sz w:val="20"/>
      <w:vertAlign w:val="superscript"/>
    </w:rPr>
  </w:style>
  <w:style w:type="paragraph" w:styleId="ListParagraph">
    <w:name w:val="List Paragraph"/>
    <w:basedOn w:val="Normal"/>
    <w:uiPriority w:val="34"/>
    <w:qFormat/>
    <w:rsid w:val="00053C0B"/>
    <w:pPr>
      <w:ind w:left="720"/>
      <w:contextualSpacing/>
    </w:pPr>
  </w:style>
  <w:style w:type="character" w:styleId="FollowedHyperlink">
    <w:name w:val="FollowedHyperlink"/>
    <w:basedOn w:val="DefaultParagraphFont"/>
    <w:uiPriority w:val="99"/>
    <w:semiHidden/>
    <w:unhideWhenUsed/>
    <w:rsid w:val="00D9653B"/>
    <w:rPr>
      <w:color w:val="800080" w:themeColor="followedHyperlink"/>
      <w:u w:val="single"/>
    </w:rPr>
  </w:style>
  <w:style w:type="character" w:styleId="CommentReference">
    <w:name w:val="annotation reference"/>
    <w:basedOn w:val="DefaultParagraphFont"/>
    <w:uiPriority w:val="99"/>
    <w:unhideWhenUsed/>
    <w:rsid w:val="00387A12"/>
    <w:rPr>
      <w:sz w:val="16"/>
      <w:szCs w:val="16"/>
    </w:rPr>
  </w:style>
  <w:style w:type="paragraph" w:styleId="CommentText">
    <w:name w:val="annotation text"/>
    <w:basedOn w:val="Normal"/>
    <w:link w:val="CommentTextChar"/>
    <w:uiPriority w:val="99"/>
    <w:unhideWhenUsed/>
    <w:rsid w:val="00387A12"/>
  </w:style>
  <w:style w:type="character" w:customStyle="1" w:styleId="CommentTextChar">
    <w:name w:val="Comment Text Char"/>
    <w:basedOn w:val="DefaultParagraphFont"/>
    <w:link w:val="CommentText"/>
    <w:uiPriority w:val="99"/>
    <w:rsid w:val="00387A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A12"/>
    <w:rPr>
      <w:b/>
      <w:bCs/>
    </w:rPr>
  </w:style>
  <w:style w:type="character" w:customStyle="1" w:styleId="CommentSubjectChar">
    <w:name w:val="Comment Subject Char"/>
    <w:basedOn w:val="CommentTextChar"/>
    <w:link w:val="CommentSubject"/>
    <w:uiPriority w:val="99"/>
    <w:semiHidden/>
    <w:rsid w:val="00387A12"/>
    <w:rPr>
      <w:rFonts w:ascii="Times New Roman" w:eastAsia="Times New Roman" w:hAnsi="Times New Roman" w:cs="Times New Roman"/>
      <w:b/>
      <w:bCs/>
      <w:sz w:val="20"/>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922347"/>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958D2"/>
    <w:rPr>
      <w:rFonts w:ascii="Times New Roman Bold" w:eastAsia="Times New Roman" w:hAnsi="Times New Roman Bold" w:cs="Times New Roman"/>
      <w:b/>
      <w:caps/>
      <w:snapToGrid w:val="0"/>
      <w:kern w:val="28"/>
      <w:szCs w:val="20"/>
      <w:lang w:val="x-none" w:eastAsia="x-none"/>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B41E6E"/>
    <w:rPr>
      <w:rFonts w:ascii="Times New Roman" w:eastAsia="Times New Roman" w:hAnsi="Times New Roman" w:cs="Times New Roman"/>
      <w:sz w:val="24"/>
      <w:szCs w:val="24"/>
      <w:lang w:val="x-none" w:eastAsia="x-none"/>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F958D2"/>
    <w:rPr>
      <w:rFonts w:ascii="Times New Roman" w:eastAsia="Times New Roman" w:hAnsi="Times New Roman" w:cs="Times New Roman"/>
      <w:b/>
      <w:snapToGrid w:val="0"/>
      <w:kern w:val="28"/>
      <w:szCs w:val="20"/>
      <w:lang w:val="x-none" w:eastAsia="x-none"/>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F958D2"/>
    <w:rPr>
      <w:rFonts w:ascii="Times New Roman" w:eastAsia="Times New Roman" w:hAnsi="Times New Roman" w:cs="Times New Roman"/>
      <w:b/>
      <w:snapToGrid w:val="0"/>
      <w:kern w:val="28"/>
      <w:szCs w:val="20"/>
      <w:lang w:val="x-none" w:eastAsia="x-none"/>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F958D2"/>
    <w:rPr>
      <w:rFonts w:ascii="Times New Roman" w:eastAsia="Times New Roman" w:hAnsi="Times New Roman" w:cs="Times New Roman"/>
      <w:b/>
      <w:snapToGrid w:val="0"/>
      <w:kern w:val="28"/>
      <w:szCs w:val="20"/>
      <w:lang w:val="x-none" w:eastAsia="x-none"/>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F958D2"/>
    <w:rPr>
      <w:rFonts w:ascii="Times New Roman" w:eastAsia="Times New Roman" w:hAnsi="Times New Roman" w:cs="Times New Roman"/>
      <w:b/>
      <w:snapToGrid w:val="0"/>
      <w:kern w:val="28"/>
      <w:szCs w:val="20"/>
      <w:lang w:val="x-none" w:eastAsia="x-none"/>
    </w:rPr>
  </w:style>
  <w:style w:type="character" w:customStyle="1" w:styleId="Heading7Char">
    <w:name w:val="Heading 7 Char"/>
    <w:basedOn w:val="DefaultParagraphFont"/>
    <w:link w:val="Heading7"/>
    <w:rsid w:val="00F958D2"/>
    <w:rPr>
      <w:rFonts w:ascii="Times New Roman" w:eastAsia="Times New Roman" w:hAnsi="Times New Roman" w:cs="Times New Roman"/>
      <w:b/>
      <w:snapToGrid w:val="0"/>
      <w:kern w:val="28"/>
      <w:szCs w:val="20"/>
      <w:lang w:val="x-none" w:eastAsia="x-none"/>
    </w:rPr>
  </w:style>
  <w:style w:type="character" w:customStyle="1" w:styleId="Heading8Char">
    <w:name w:val="Heading 8 Char"/>
    <w:basedOn w:val="DefaultParagraphFont"/>
    <w:link w:val="Heading8"/>
    <w:rsid w:val="00F958D2"/>
    <w:rPr>
      <w:rFonts w:ascii="Times New Roman" w:eastAsia="Times New Roman" w:hAnsi="Times New Roman" w:cs="Times New Roman"/>
      <w:b/>
      <w:snapToGrid w:val="0"/>
      <w:kern w:val="28"/>
      <w:szCs w:val="20"/>
      <w:lang w:val="x-none" w:eastAsia="x-none"/>
    </w:rPr>
  </w:style>
  <w:style w:type="character" w:customStyle="1" w:styleId="Heading9Char">
    <w:name w:val="Heading 9 Char"/>
    <w:aliases w:val="Topic Char,table Char,t Char,9 Char,Heading 9.table Char,Titre 9 Char"/>
    <w:basedOn w:val="DefaultParagraphFont"/>
    <w:link w:val="Heading9"/>
    <w:rsid w:val="00F958D2"/>
    <w:rPr>
      <w:rFonts w:ascii="Times New Roman" w:eastAsia="Times New Roman" w:hAnsi="Times New Roman" w:cs="Times New Roman"/>
      <w:b/>
      <w:snapToGrid w:val="0"/>
      <w:kern w:val="28"/>
      <w:szCs w:val="20"/>
      <w:lang w:val="x-none" w:eastAsia="x-none"/>
    </w:rPr>
  </w:style>
  <w:style w:type="paragraph" w:customStyle="1" w:styleId="ParaNum">
    <w:name w:val="ParaNum"/>
    <w:basedOn w:val="Normal"/>
    <w:link w:val="ParaNumChar"/>
    <w:rsid w:val="00F958D2"/>
    <w:pPr>
      <w:numPr>
        <w:numId w:val="1"/>
      </w:numPr>
      <w:spacing w:after="120"/>
    </w:pPr>
    <w:rPr>
      <w:snapToGrid w:val="0"/>
      <w:kern w:val="28"/>
      <w:sz w:val="22"/>
      <w:lang w:val="x-none" w:eastAsia="x-none"/>
    </w:rPr>
  </w:style>
  <w:style w:type="character" w:customStyle="1" w:styleId="ParaNumChar">
    <w:name w:val="ParaNum Char"/>
    <w:link w:val="ParaNum"/>
    <w:locked/>
    <w:rsid w:val="00F958D2"/>
    <w:rPr>
      <w:rFonts w:ascii="Times New Roman" w:eastAsia="Times New Roman" w:hAnsi="Times New Roman" w:cs="Times New Roman"/>
      <w:snapToGrid w:val="0"/>
      <w:kern w:val="28"/>
      <w:szCs w:val="20"/>
      <w:lang w:val="x-none" w:eastAsia="x-none"/>
    </w:rPr>
  </w:style>
  <w:style w:type="character" w:customStyle="1" w:styleId="FootnoteTextChar3">
    <w:name w:val="Footnote Text Char3"/>
    <w:aliases w:val="Footnote Text Char2 Char,Footnote Text Char1 Char Char,Footnote Text Char Char Char Char,Footnote Text Char2 Char Char Char Char,Footnote Text Char1 Char3 Char Char Char Char,Footnote Text Char Char Char Char Char Char Char,fn Char"/>
    <w:rsid w:val="00F958D2"/>
    <w:rPr>
      <w:lang w:val="en-US" w:eastAsia="en-US" w:bidi="ar-SA"/>
    </w:rPr>
  </w:style>
  <w:style w:type="character" w:customStyle="1" w:styleId="ptext-18">
    <w:name w:val="ptext-18"/>
    <w:uiPriority w:val="99"/>
    <w:rsid w:val="001D4285"/>
  </w:style>
  <w:style w:type="paragraph" w:customStyle="1" w:styleId="TOCTitle">
    <w:name w:val="TOC Title"/>
    <w:basedOn w:val="Normal"/>
    <w:rsid w:val="00AC4A55"/>
    <w:pPr>
      <w:widowControl w:val="0"/>
      <w:snapToGrid w:val="0"/>
      <w:spacing w:before="240" w:after="240"/>
      <w:jc w:val="center"/>
    </w:pPr>
    <w:rPr>
      <w:rFonts w:ascii="Times New Roman Bold" w:hAnsi="Times New Roman Bold"/>
      <w:b/>
      <w:caps/>
      <w:spacing w:val="-2"/>
      <w:kern w:val="28"/>
      <w:sz w:val="22"/>
    </w:rPr>
  </w:style>
  <w:style w:type="character" w:styleId="HTMLCite">
    <w:name w:val="HTML Cite"/>
    <w:basedOn w:val="DefaultParagraphFont"/>
    <w:uiPriority w:val="99"/>
    <w:semiHidden/>
    <w:unhideWhenUsed/>
    <w:rsid w:val="00B11590"/>
    <w:rPr>
      <w:i w:val="0"/>
      <w:iCs w:val="0"/>
      <w:color w:val="009030"/>
    </w:rPr>
  </w:style>
  <w:style w:type="character" w:styleId="Strong">
    <w:name w:val="Strong"/>
    <w:basedOn w:val="DefaultParagraphFont"/>
    <w:uiPriority w:val="22"/>
    <w:qFormat/>
    <w:rsid w:val="00B11590"/>
    <w:rPr>
      <w:b/>
      <w:bCs/>
    </w:rPr>
  </w:style>
  <w:style w:type="paragraph" w:styleId="TOCHeading">
    <w:name w:val="TOC Heading"/>
    <w:basedOn w:val="Heading1"/>
    <w:next w:val="Normal"/>
    <w:uiPriority w:val="39"/>
    <w:semiHidden/>
    <w:unhideWhenUsed/>
    <w:qFormat/>
    <w:rsid w:val="006B02EB"/>
    <w:pPr>
      <w:keepLines/>
      <w:numPr>
        <w:numId w:val="0"/>
      </w:numPr>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val="en-US" w:eastAsia="ja-JP"/>
    </w:rPr>
  </w:style>
  <w:style w:type="paragraph" w:styleId="TOC1">
    <w:name w:val="toc 1"/>
    <w:basedOn w:val="Normal"/>
    <w:next w:val="Normal"/>
    <w:autoRedefine/>
    <w:uiPriority w:val="39"/>
    <w:unhideWhenUsed/>
    <w:rsid w:val="00606041"/>
    <w:pPr>
      <w:spacing w:after="100"/>
    </w:pPr>
  </w:style>
  <w:style w:type="paragraph" w:styleId="TOC2">
    <w:name w:val="toc 2"/>
    <w:basedOn w:val="Normal"/>
    <w:next w:val="Normal"/>
    <w:autoRedefine/>
    <w:uiPriority w:val="39"/>
    <w:unhideWhenUsed/>
    <w:rsid w:val="00606041"/>
    <w:pPr>
      <w:spacing w:after="100"/>
      <w:ind w:left="200"/>
    </w:pPr>
  </w:style>
  <w:style w:type="paragraph" w:styleId="TOC3">
    <w:name w:val="toc 3"/>
    <w:basedOn w:val="Normal"/>
    <w:next w:val="Normal"/>
    <w:autoRedefine/>
    <w:uiPriority w:val="39"/>
    <w:unhideWhenUsed/>
    <w:rsid w:val="00606041"/>
    <w:pPr>
      <w:tabs>
        <w:tab w:val="left" w:pos="0"/>
      </w:tabs>
    </w:pPr>
  </w:style>
  <w:style w:type="paragraph" w:styleId="TOC4">
    <w:name w:val="toc 4"/>
    <w:basedOn w:val="Normal"/>
    <w:next w:val="Normal"/>
    <w:autoRedefine/>
    <w:uiPriority w:val="39"/>
    <w:unhideWhenUsed/>
    <w:rsid w:val="00606041"/>
    <w:pPr>
      <w:spacing w:after="100"/>
      <w:ind w:left="600"/>
    </w:pPr>
  </w:style>
  <w:style w:type="paragraph" w:customStyle="1" w:styleId="Paratitle">
    <w:name w:val="Para title"/>
    <w:basedOn w:val="Normal"/>
    <w:rsid w:val="00606041"/>
    <w:pPr>
      <w:widowControl w:val="0"/>
      <w:tabs>
        <w:tab w:val="center" w:pos="9270"/>
      </w:tabs>
      <w:spacing w:after="240"/>
    </w:pPr>
    <w:rPr>
      <w:snapToGrid w:val="0"/>
      <w:spacing w:val="-2"/>
      <w:kern w:val="28"/>
      <w:sz w:val="22"/>
    </w:rPr>
  </w:style>
  <w:style w:type="character" w:customStyle="1" w:styleId="apple-converted-space">
    <w:name w:val="apple-converted-space"/>
    <w:basedOn w:val="DefaultParagraphFont"/>
    <w:rsid w:val="00BE5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C1"/>
    <w:pPr>
      <w:spacing w:after="0" w:line="240" w:lineRule="auto"/>
    </w:pPr>
    <w:rPr>
      <w:rFonts w:ascii="Times New Roman" w:eastAsia="Times New Roman" w:hAnsi="Times New Roman" w:cs="Times New Roman"/>
      <w:sz w:val="20"/>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F958D2"/>
    <w:pPr>
      <w:keepNext/>
      <w:numPr>
        <w:numId w:val="2"/>
      </w:numPr>
      <w:suppressAutoHyphens/>
      <w:spacing w:after="120"/>
      <w:outlineLvl w:val="0"/>
    </w:pPr>
    <w:rPr>
      <w:rFonts w:ascii="Times New Roman Bold" w:hAnsi="Times New Roman Bold"/>
      <w:b/>
      <w:caps/>
      <w:snapToGrid w:val="0"/>
      <w:kern w:val="28"/>
      <w:sz w:val="22"/>
      <w:lang w:val="x-none" w:eastAsia="x-none"/>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41E6E"/>
    <w:pPr>
      <w:keepNext/>
      <w:spacing w:after="120"/>
      <w:outlineLvl w:val="1"/>
    </w:pPr>
    <w:rPr>
      <w:sz w:val="24"/>
      <w:szCs w:val="24"/>
      <w:lang w:val="x-none" w:eastAsia="x-none"/>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F958D2"/>
    <w:pPr>
      <w:keepNext/>
      <w:numPr>
        <w:ilvl w:val="2"/>
        <w:numId w:val="2"/>
      </w:numPr>
      <w:tabs>
        <w:tab w:val="left" w:pos="2160"/>
      </w:tabs>
      <w:spacing w:after="120"/>
      <w:outlineLvl w:val="2"/>
    </w:pPr>
    <w:rPr>
      <w:b/>
      <w:snapToGrid w:val="0"/>
      <w:kern w:val="28"/>
      <w:sz w:val="22"/>
      <w:lang w:val="x-none" w:eastAsia="x-none"/>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F958D2"/>
    <w:pPr>
      <w:keepNext/>
      <w:numPr>
        <w:ilvl w:val="3"/>
        <w:numId w:val="2"/>
      </w:numPr>
      <w:tabs>
        <w:tab w:val="left" w:pos="2880"/>
      </w:tabs>
      <w:spacing w:after="120"/>
      <w:outlineLvl w:val="3"/>
    </w:pPr>
    <w:rPr>
      <w:b/>
      <w:snapToGrid w:val="0"/>
      <w:kern w:val="28"/>
      <w:sz w:val="22"/>
      <w:lang w:val="x-none" w:eastAsia="x-none"/>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F958D2"/>
    <w:pPr>
      <w:keepNext/>
      <w:numPr>
        <w:ilvl w:val="4"/>
        <w:numId w:val="2"/>
      </w:numPr>
      <w:tabs>
        <w:tab w:val="left" w:pos="3600"/>
      </w:tabs>
      <w:suppressAutoHyphens/>
      <w:spacing w:after="120"/>
      <w:outlineLvl w:val="4"/>
    </w:pPr>
    <w:rPr>
      <w:b/>
      <w:snapToGrid w:val="0"/>
      <w:kern w:val="28"/>
      <w:sz w:val="22"/>
      <w:lang w:val="x-none" w:eastAsia="x-none"/>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F958D2"/>
    <w:pPr>
      <w:numPr>
        <w:ilvl w:val="5"/>
        <w:numId w:val="2"/>
      </w:numPr>
      <w:tabs>
        <w:tab w:val="left" w:pos="4320"/>
      </w:tabs>
      <w:spacing w:after="120"/>
      <w:outlineLvl w:val="5"/>
    </w:pPr>
    <w:rPr>
      <w:b/>
      <w:snapToGrid w:val="0"/>
      <w:kern w:val="28"/>
      <w:sz w:val="22"/>
      <w:lang w:val="x-none" w:eastAsia="x-none"/>
    </w:rPr>
  </w:style>
  <w:style w:type="paragraph" w:styleId="Heading7">
    <w:name w:val="heading 7"/>
    <w:basedOn w:val="Normal"/>
    <w:next w:val="ParaNum"/>
    <w:link w:val="Heading7Char"/>
    <w:qFormat/>
    <w:rsid w:val="00F958D2"/>
    <w:pPr>
      <w:numPr>
        <w:ilvl w:val="6"/>
        <w:numId w:val="2"/>
      </w:numPr>
      <w:tabs>
        <w:tab w:val="left" w:pos="5040"/>
      </w:tabs>
      <w:spacing w:after="120"/>
      <w:ind w:left="5040" w:hanging="720"/>
      <w:outlineLvl w:val="6"/>
    </w:pPr>
    <w:rPr>
      <w:b/>
      <w:snapToGrid w:val="0"/>
      <w:kern w:val="28"/>
      <w:sz w:val="22"/>
      <w:lang w:val="x-none" w:eastAsia="x-none"/>
    </w:rPr>
  </w:style>
  <w:style w:type="paragraph" w:styleId="Heading8">
    <w:name w:val="heading 8"/>
    <w:basedOn w:val="Normal"/>
    <w:next w:val="ParaNum"/>
    <w:link w:val="Heading8Char"/>
    <w:qFormat/>
    <w:rsid w:val="00F958D2"/>
    <w:pPr>
      <w:numPr>
        <w:ilvl w:val="7"/>
        <w:numId w:val="2"/>
      </w:numPr>
      <w:tabs>
        <w:tab w:val="clear" w:pos="5400"/>
        <w:tab w:val="left" w:pos="5760"/>
      </w:tabs>
      <w:spacing w:after="120"/>
      <w:ind w:left="5760" w:hanging="720"/>
      <w:outlineLvl w:val="7"/>
    </w:pPr>
    <w:rPr>
      <w:b/>
      <w:snapToGrid w:val="0"/>
      <w:kern w:val="28"/>
      <w:sz w:val="22"/>
      <w:lang w:val="x-none" w:eastAsia="x-none"/>
    </w:rPr>
  </w:style>
  <w:style w:type="paragraph" w:styleId="Heading9">
    <w:name w:val="heading 9"/>
    <w:aliases w:val="Topic,table,t,9,Heading 9.table,Titre 9"/>
    <w:basedOn w:val="Normal"/>
    <w:next w:val="ParaNum"/>
    <w:link w:val="Heading9Char"/>
    <w:qFormat/>
    <w:rsid w:val="00F958D2"/>
    <w:pPr>
      <w:numPr>
        <w:ilvl w:val="8"/>
        <w:numId w:val="2"/>
      </w:numPr>
      <w:tabs>
        <w:tab w:val="clear" w:pos="6120"/>
        <w:tab w:val="left" w:pos="6480"/>
      </w:tabs>
      <w:spacing w:after="120"/>
      <w:ind w:left="6480" w:hanging="720"/>
      <w:outlineLvl w:val="8"/>
    </w:pPr>
    <w:rPr>
      <w:b/>
      <w:snapToGrid w:val="0"/>
      <w:kern w:val="28"/>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3C1"/>
    <w:rPr>
      <w:color w:val="0000FF"/>
      <w:u w:val="single"/>
    </w:rPr>
  </w:style>
  <w:style w:type="paragraph" w:styleId="Header">
    <w:name w:val="header"/>
    <w:basedOn w:val="Normal"/>
    <w:link w:val="HeaderChar"/>
    <w:unhideWhenUsed/>
    <w:rsid w:val="002E73C1"/>
    <w:pPr>
      <w:tabs>
        <w:tab w:val="center" w:pos="4680"/>
        <w:tab w:val="right" w:pos="9360"/>
      </w:tabs>
    </w:pPr>
  </w:style>
  <w:style w:type="character" w:customStyle="1" w:styleId="HeaderChar">
    <w:name w:val="Header Char"/>
    <w:basedOn w:val="DefaultParagraphFont"/>
    <w:link w:val="Header"/>
    <w:uiPriority w:val="99"/>
    <w:rsid w:val="002E73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73C1"/>
    <w:pPr>
      <w:tabs>
        <w:tab w:val="center" w:pos="4680"/>
        <w:tab w:val="right" w:pos="9360"/>
      </w:tabs>
    </w:pPr>
  </w:style>
  <w:style w:type="character" w:customStyle="1" w:styleId="FooterChar">
    <w:name w:val="Footer Char"/>
    <w:basedOn w:val="DefaultParagraphFont"/>
    <w:link w:val="Footer"/>
    <w:uiPriority w:val="99"/>
    <w:rsid w:val="002E73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3C1"/>
    <w:rPr>
      <w:rFonts w:ascii="Tahoma" w:hAnsi="Tahoma" w:cs="Tahoma"/>
      <w:sz w:val="16"/>
      <w:szCs w:val="16"/>
    </w:rPr>
  </w:style>
  <w:style w:type="character" w:customStyle="1" w:styleId="BalloonTextChar">
    <w:name w:val="Balloon Text Char"/>
    <w:basedOn w:val="DefaultParagraphFont"/>
    <w:link w:val="BalloonText"/>
    <w:uiPriority w:val="99"/>
    <w:semiHidden/>
    <w:rsid w:val="002E73C1"/>
    <w:rPr>
      <w:rFonts w:ascii="Tahoma" w:eastAsia="Times New Roman" w:hAnsi="Tahoma" w:cs="Tahoma"/>
      <w:sz w:val="16"/>
      <w:szCs w:val="16"/>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nhideWhenUsed/>
    <w:rsid w:val="00F5653A"/>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F5653A"/>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Style 4,Style 7,Footnote Reference1"/>
    <w:rsid w:val="00F5653A"/>
    <w:rPr>
      <w:rFonts w:ascii="Times New Roman" w:hAnsi="Times New Roman"/>
      <w:dstrike w:val="0"/>
      <w:color w:val="auto"/>
      <w:sz w:val="20"/>
      <w:vertAlign w:val="superscript"/>
    </w:rPr>
  </w:style>
  <w:style w:type="paragraph" w:styleId="ListParagraph">
    <w:name w:val="List Paragraph"/>
    <w:basedOn w:val="Normal"/>
    <w:uiPriority w:val="34"/>
    <w:qFormat/>
    <w:rsid w:val="00053C0B"/>
    <w:pPr>
      <w:ind w:left="720"/>
      <w:contextualSpacing/>
    </w:pPr>
  </w:style>
  <w:style w:type="character" w:styleId="FollowedHyperlink">
    <w:name w:val="FollowedHyperlink"/>
    <w:basedOn w:val="DefaultParagraphFont"/>
    <w:uiPriority w:val="99"/>
    <w:semiHidden/>
    <w:unhideWhenUsed/>
    <w:rsid w:val="00D9653B"/>
    <w:rPr>
      <w:color w:val="800080" w:themeColor="followedHyperlink"/>
      <w:u w:val="single"/>
    </w:rPr>
  </w:style>
  <w:style w:type="character" w:styleId="CommentReference">
    <w:name w:val="annotation reference"/>
    <w:basedOn w:val="DefaultParagraphFont"/>
    <w:uiPriority w:val="99"/>
    <w:unhideWhenUsed/>
    <w:rsid w:val="00387A12"/>
    <w:rPr>
      <w:sz w:val="16"/>
      <w:szCs w:val="16"/>
    </w:rPr>
  </w:style>
  <w:style w:type="paragraph" w:styleId="CommentText">
    <w:name w:val="annotation text"/>
    <w:basedOn w:val="Normal"/>
    <w:link w:val="CommentTextChar"/>
    <w:uiPriority w:val="99"/>
    <w:unhideWhenUsed/>
    <w:rsid w:val="00387A12"/>
  </w:style>
  <w:style w:type="character" w:customStyle="1" w:styleId="CommentTextChar">
    <w:name w:val="Comment Text Char"/>
    <w:basedOn w:val="DefaultParagraphFont"/>
    <w:link w:val="CommentText"/>
    <w:uiPriority w:val="99"/>
    <w:rsid w:val="00387A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A12"/>
    <w:rPr>
      <w:b/>
      <w:bCs/>
    </w:rPr>
  </w:style>
  <w:style w:type="character" w:customStyle="1" w:styleId="CommentSubjectChar">
    <w:name w:val="Comment Subject Char"/>
    <w:basedOn w:val="CommentTextChar"/>
    <w:link w:val="CommentSubject"/>
    <w:uiPriority w:val="99"/>
    <w:semiHidden/>
    <w:rsid w:val="00387A12"/>
    <w:rPr>
      <w:rFonts w:ascii="Times New Roman" w:eastAsia="Times New Roman" w:hAnsi="Times New Roman" w:cs="Times New Roman"/>
      <w:b/>
      <w:bCs/>
      <w:sz w:val="20"/>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922347"/>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958D2"/>
    <w:rPr>
      <w:rFonts w:ascii="Times New Roman Bold" w:eastAsia="Times New Roman" w:hAnsi="Times New Roman Bold" w:cs="Times New Roman"/>
      <w:b/>
      <w:caps/>
      <w:snapToGrid w:val="0"/>
      <w:kern w:val="28"/>
      <w:szCs w:val="20"/>
      <w:lang w:val="x-none" w:eastAsia="x-none"/>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B41E6E"/>
    <w:rPr>
      <w:rFonts w:ascii="Times New Roman" w:eastAsia="Times New Roman" w:hAnsi="Times New Roman" w:cs="Times New Roman"/>
      <w:sz w:val="24"/>
      <w:szCs w:val="24"/>
      <w:lang w:val="x-none" w:eastAsia="x-none"/>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F958D2"/>
    <w:rPr>
      <w:rFonts w:ascii="Times New Roman" w:eastAsia="Times New Roman" w:hAnsi="Times New Roman" w:cs="Times New Roman"/>
      <w:b/>
      <w:snapToGrid w:val="0"/>
      <w:kern w:val="28"/>
      <w:szCs w:val="20"/>
      <w:lang w:val="x-none" w:eastAsia="x-none"/>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F958D2"/>
    <w:rPr>
      <w:rFonts w:ascii="Times New Roman" w:eastAsia="Times New Roman" w:hAnsi="Times New Roman" w:cs="Times New Roman"/>
      <w:b/>
      <w:snapToGrid w:val="0"/>
      <w:kern w:val="28"/>
      <w:szCs w:val="20"/>
      <w:lang w:val="x-none" w:eastAsia="x-none"/>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F958D2"/>
    <w:rPr>
      <w:rFonts w:ascii="Times New Roman" w:eastAsia="Times New Roman" w:hAnsi="Times New Roman" w:cs="Times New Roman"/>
      <w:b/>
      <w:snapToGrid w:val="0"/>
      <w:kern w:val="28"/>
      <w:szCs w:val="20"/>
      <w:lang w:val="x-none" w:eastAsia="x-none"/>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F958D2"/>
    <w:rPr>
      <w:rFonts w:ascii="Times New Roman" w:eastAsia="Times New Roman" w:hAnsi="Times New Roman" w:cs="Times New Roman"/>
      <w:b/>
      <w:snapToGrid w:val="0"/>
      <w:kern w:val="28"/>
      <w:szCs w:val="20"/>
      <w:lang w:val="x-none" w:eastAsia="x-none"/>
    </w:rPr>
  </w:style>
  <w:style w:type="character" w:customStyle="1" w:styleId="Heading7Char">
    <w:name w:val="Heading 7 Char"/>
    <w:basedOn w:val="DefaultParagraphFont"/>
    <w:link w:val="Heading7"/>
    <w:rsid w:val="00F958D2"/>
    <w:rPr>
      <w:rFonts w:ascii="Times New Roman" w:eastAsia="Times New Roman" w:hAnsi="Times New Roman" w:cs="Times New Roman"/>
      <w:b/>
      <w:snapToGrid w:val="0"/>
      <w:kern w:val="28"/>
      <w:szCs w:val="20"/>
      <w:lang w:val="x-none" w:eastAsia="x-none"/>
    </w:rPr>
  </w:style>
  <w:style w:type="character" w:customStyle="1" w:styleId="Heading8Char">
    <w:name w:val="Heading 8 Char"/>
    <w:basedOn w:val="DefaultParagraphFont"/>
    <w:link w:val="Heading8"/>
    <w:rsid w:val="00F958D2"/>
    <w:rPr>
      <w:rFonts w:ascii="Times New Roman" w:eastAsia="Times New Roman" w:hAnsi="Times New Roman" w:cs="Times New Roman"/>
      <w:b/>
      <w:snapToGrid w:val="0"/>
      <w:kern w:val="28"/>
      <w:szCs w:val="20"/>
      <w:lang w:val="x-none" w:eastAsia="x-none"/>
    </w:rPr>
  </w:style>
  <w:style w:type="character" w:customStyle="1" w:styleId="Heading9Char">
    <w:name w:val="Heading 9 Char"/>
    <w:aliases w:val="Topic Char,table Char,t Char,9 Char,Heading 9.table Char,Titre 9 Char"/>
    <w:basedOn w:val="DefaultParagraphFont"/>
    <w:link w:val="Heading9"/>
    <w:rsid w:val="00F958D2"/>
    <w:rPr>
      <w:rFonts w:ascii="Times New Roman" w:eastAsia="Times New Roman" w:hAnsi="Times New Roman" w:cs="Times New Roman"/>
      <w:b/>
      <w:snapToGrid w:val="0"/>
      <w:kern w:val="28"/>
      <w:szCs w:val="20"/>
      <w:lang w:val="x-none" w:eastAsia="x-none"/>
    </w:rPr>
  </w:style>
  <w:style w:type="paragraph" w:customStyle="1" w:styleId="ParaNum">
    <w:name w:val="ParaNum"/>
    <w:basedOn w:val="Normal"/>
    <w:link w:val="ParaNumChar"/>
    <w:rsid w:val="00F958D2"/>
    <w:pPr>
      <w:numPr>
        <w:numId w:val="1"/>
      </w:numPr>
      <w:spacing w:after="120"/>
    </w:pPr>
    <w:rPr>
      <w:snapToGrid w:val="0"/>
      <w:kern w:val="28"/>
      <w:sz w:val="22"/>
      <w:lang w:val="x-none" w:eastAsia="x-none"/>
    </w:rPr>
  </w:style>
  <w:style w:type="character" w:customStyle="1" w:styleId="ParaNumChar">
    <w:name w:val="ParaNum Char"/>
    <w:link w:val="ParaNum"/>
    <w:locked/>
    <w:rsid w:val="00F958D2"/>
    <w:rPr>
      <w:rFonts w:ascii="Times New Roman" w:eastAsia="Times New Roman" w:hAnsi="Times New Roman" w:cs="Times New Roman"/>
      <w:snapToGrid w:val="0"/>
      <w:kern w:val="28"/>
      <w:szCs w:val="20"/>
      <w:lang w:val="x-none" w:eastAsia="x-none"/>
    </w:rPr>
  </w:style>
  <w:style w:type="character" w:customStyle="1" w:styleId="FootnoteTextChar3">
    <w:name w:val="Footnote Text Char3"/>
    <w:aliases w:val="Footnote Text Char2 Char,Footnote Text Char1 Char Char,Footnote Text Char Char Char Char,Footnote Text Char2 Char Char Char Char,Footnote Text Char1 Char3 Char Char Char Char,Footnote Text Char Char Char Char Char Char Char,fn Char"/>
    <w:rsid w:val="00F958D2"/>
    <w:rPr>
      <w:lang w:val="en-US" w:eastAsia="en-US" w:bidi="ar-SA"/>
    </w:rPr>
  </w:style>
  <w:style w:type="character" w:customStyle="1" w:styleId="ptext-18">
    <w:name w:val="ptext-18"/>
    <w:uiPriority w:val="99"/>
    <w:rsid w:val="001D4285"/>
  </w:style>
  <w:style w:type="paragraph" w:customStyle="1" w:styleId="TOCTitle">
    <w:name w:val="TOC Title"/>
    <w:basedOn w:val="Normal"/>
    <w:rsid w:val="00AC4A55"/>
    <w:pPr>
      <w:widowControl w:val="0"/>
      <w:snapToGrid w:val="0"/>
      <w:spacing w:before="240" w:after="240"/>
      <w:jc w:val="center"/>
    </w:pPr>
    <w:rPr>
      <w:rFonts w:ascii="Times New Roman Bold" w:hAnsi="Times New Roman Bold"/>
      <w:b/>
      <w:caps/>
      <w:spacing w:val="-2"/>
      <w:kern w:val="28"/>
      <w:sz w:val="22"/>
    </w:rPr>
  </w:style>
  <w:style w:type="character" w:styleId="HTMLCite">
    <w:name w:val="HTML Cite"/>
    <w:basedOn w:val="DefaultParagraphFont"/>
    <w:uiPriority w:val="99"/>
    <w:semiHidden/>
    <w:unhideWhenUsed/>
    <w:rsid w:val="00B11590"/>
    <w:rPr>
      <w:i w:val="0"/>
      <w:iCs w:val="0"/>
      <w:color w:val="009030"/>
    </w:rPr>
  </w:style>
  <w:style w:type="character" w:styleId="Strong">
    <w:name w:val="Strong"/>
    <w:basedOn w:val="DefaultParagraphFont"/>
    <w:uiPriority w:val="22"/>
    <w:qFormat/>
    <w:rsid w:val="00B11590"/>
    <w:rPr>
      <w:b/>
      <w:bCs/>
    </w:rPr>
  </w:style>
  <w:style w:type="paragraph" w:styleId="TOCHeading">
    <w:name w:val="TOC Heading"/>
    <w:basedOn w:val="Heading1"/>
    <w:next w:val="Normal"/>
    <w:uiPriority w:val="39"/>
    <w:semiHidden/>
    <w:unhideWhenUsed/>
    <w:qFormat/>
    <w:rsid w:val="006B02EB"/>
    <w:pPr>
      <w:keepLines/>
      <w:numPr>
        <w:numId w:val="0"/>
      </w:numPr>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val="en-US" w:eastAsia="ja-JP"/>
    </w:rPr>
  </w:style>
  <w:style w:type="paragraph" w:styleId="TOC1">
    <w:name w:val="toc 1"/>
    <w:basedOn w:val="Normal"/>
    <w:next w:val="Normal"/>
    <w:autoRedefine/>
    <w:uiPriority w:val="39"/>
    <w:unhideWhenUsed/>
    <w:rsid w:val="00606041"/>
    <w:pPr>
      <w:spacing w:after="100"/>
    </w:pPr>
  </w:style>
  <w:style w:type="paragraph" w:styleId="TOC2">
    <w:name w:val="toc 2"/>
    <w:basedOn w:val="Normal"/>
    <w:next w:val="Normal"/>
    <w:autoRedefine/>
    <w:uiPriority w:val="39"/>
    <w:unhideWhenUsed/>
    <w:rsid w:val="00606041"/>
    <w:pPr>
      <w:spacing w:after="100"/>
      <w:ind w:left="200"/>
    </w:pPr>
  </w:style>
  <w:style w:type="paragraph" w:styleId="TOC3">
    <w:name w:val="toc 3"/>
    <w:basedOn w:val="Normal"/>
    <w:next w:val="Normal"/>
    <w:autoRedefine/>
    <w:uiPriority w:val="39"/>
    <w:unhideWhenUsed/>
    <w:rsid w:val="00606041"/>
    <w:pPr>
      <w:tabs>
        <w:tab w:val="left" w:pos="0"/>
      </w:tabs>
    </w:pPr>
  </w:style>
  <w:style w:type="paragraph" w:styleId="TOC4">
    <w:name w:val="toc 4"/>
    <w:basedOn w:val="Normal"/>
    <w:next w:val="Normal"/>
    <w:autoRedefine/>
    <w:uiPriority w:val="39"/>
    <w:unhideWhenUsed/>
    <w:rsid w:val="00606041"/>
    <w:pPr>
      <w:spacing w:after="100"/>
      <w:ind w:left="600"/>
    </w:pPr>
  </w:style>
  <w:style w:type="paragraph" w:customStyle="1" w:styleId="Paratitle">
    <w:name w:val="Para title"/>
    <w:basedOn w:val="Normal"/>
    <w:rsid w:val="00606041"/>
    <w:pPr>
      <w:widowControl w:val="0"/>
      <w:tabs>
        <w:tab w:val="center" w:pos="9270"/>
      </w:tabs>
      <w:spacing w:after="240"/>
    </w:pPr>
    <w:rPr>
      <w:snapToGrid w:val="0"/>
      <w:spacing w:val="-2"/>
      <w:kern w:val="28"/>
      <w:sz w:val="22"/>
    </w:rPr>
  </w:style>
  <w:style w:type="character" w:customStyle="1" w:styleId="apple-converted-space">
    <w:name w:val="apple-converted-space"/>
    <w:basedOn w:val="DefaultParagraphFont"/>
    <w:rsid w:val="00BE5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9040">
      <w:bodyDiv w:val="1"/>
      <w:marLeft w:val="0"/>
      <w:marRight w:val="0"/>
      <w:marTop w:val="0"/>
      <w:marBottom w:val="0"/>
      <w:divBdr>
        <w:top w:val="none" w:sz="0" w:space="0" w:color="auto"/>
        <w:left w:val="none" w:sz="0" w:space="0" w:color="auto"/>
        <w:bottom w:val="none" w:sz="0" w:space="0" w:color="auto"/>
        <w:right w:val="none" w:sz="0" w:space="0" w:color="auto"/>
      </w:divBdr>
    </w:div>
    <w:div w:id="1049232124">
      <w:bodyDiv w:val="1"/>
      <w:marLeft w:val="0"/>
      <w:marRight w:val="0"/>
      <w:marTop w:val="0"/>
      <w:marBottom w:val="0"/>
      <w:divBdr>
        <w:top w:val="none" w:sz="0" w:space="0" w:color="auto"/>
        <w:left w:val="none" w:sz="0" w:space="0" w:color="auto"/>
        <w:bottom w:val="none" w:sz="0" w:space="0" w:color="auto"/>
        <w:right w:val="none" w:sz="0" w:space="0" w:color="auto"/>
      </w:divBdr>
    </w:div>
    <w:div w:id="1337078390">
      <w:bodyDiv w:val="1"/>
      <w:marLeft w:val="0"/>
      <w:marRight w:val="0"/>
      <w:marTop w:val="0"/>
      <w:marBottom w:val="0"/>
      <w:divBdr>
        <w:top w:val="none" w:sz="0" w:space="0" w:color="auto"/>
        <w:left w:val="none" w:sz="0" w:space="0" w:color="auto"/>
        <w:bottom w:val="none" w:sz="0" w:space="0" w:color="auto"/>
        <w:right w:val="none" w:sz="0" w:space="0" w:color="auto"/>
      </w:divBdr>
      <w:divsChild>
        <w:div w:id="1834178224">
          <w:marLeft w:val="0"/>
          <w:marRight w:val="0"/>
          <w:marTop w:val="0"/>
          <w:marBottom w:val="0"/>
          <w:divBdr>
            <w:top w:val="none" w:sz="0" w:space="0" w:color="auto"/>
            <w:left w:val="single" w:sz="6" w:space="0" w:color="BBBBBB"/>
            <w:bottom w:val="single" w:sz="6" w:space="0" w:color="BBBBBB"/>
            <w:right w:val="single" w:sz="6" w:space="0" w:color="BBBBBB"/>
          </w:divBdr>
          <w:divsChild>
            <w:div w:id="2029599147">
              <w:marLeft w:val="0"/>
              <w:marRight w:val="0"/>
              <w:marTop w:val="0"/>
              <w:marBottom w:val="0"/>
              <w:divBdr>
                <w:top w:val="none" w:sz="0" w:space="0" w:color="auto"/>
                <w:left w:val="none" w:sz="0" w:space="0" w:color="auto"/>
                <w:bottom w:val="none" w:sz="0" w:space="0" w:color="auto"/>
                <w:right w:val="none" w:sz="0" w:space="0" w:color="auto"/>
              </w:divBdr>
              <w:divsChild>
                <w:div w:id="543257237">
                  <w:marLeft w:val="0"/>
                  <w:marRight w:val="0"/>
                  <w:marTop w:val="0"/>
                  <w:marBottom w:val="0"/>
                  <w:divBdr>
                    <w:top w:val="none" w:sz="0" w:space="0" w:color="auto"/>
                    <w:left w:val="none" w:sz="0" w:space="0" w:color="auto"/>
                    <w:bottom w:val="none" w:sz="0" w:space="0" w:color="auto"/>
                    <w:right w:val="none" w:sz="0" w:space="0" w:color="auto"/>
                  </w:divBdr>
                  <w:divsChild>
                    <w:div w:id="999232337">
                      <w:marLeft w:val="0"/>
                      <w:marRight w:val="0"/>
                      <w:marTop w:val="0"/>
                      <w:marBottom w:val="0"/>
                      <w:divBdr>
                        <w:top w:val="none" w:sz="0" w:space="0" w:color="auto"/>
                        <w:left w:val="none" w:sz="0" w:space="0" w:color="auto"/>
                        <w:bottom w:val="none" w:sz="0" w:space="0" w:color="auto"/>
                        <w:right w:val="none" w:sz="0" w:space="0" w:color="auto"/>
                      </w:divBdr>
                      <w:divsChild>
                        <w:div w:id="300503037">
                          <w:marLeft w:val="0"/>
                          <w:marRight w:val="0"/>
                          <w:marTop w:val="0"/>
                          <w:marBottom w:val="0"/>
                          <w:divBdr>
                            <w:top w:val="none" w:sz="0" w:space="0" w:color="auto"/>
                            <w:left w:val="none" w:sz="0" w:space="0" w:color="auto"/>
                            <w:bottom w:val="none" w:sz="0" w:space="0" w:color="auto"/>
                            <w:right w:val="none" w:sz="0" w:space="0" w:color="auto"/>
                          </w:divBdr>
                          <w:divsChild>
                            <w:div w:id="163017319">
                              <w:marLeft w:val="0"/>
                              <w:marRight w:val="0"/>
                              <w:marTop w:val="0"/>
                              <w:marBottom w:val="0"/>
                              <w:divBdr>
                                <w:top w:val="none" w:sz="0" w:space="0" w:color="auto"/>
                                <w:left w:val="none" w:sz="0" w:space="0" w:color="auto"/>
                                <w:bottom w:val="none" w:sz="0" w:space="0" w:color="auto"/>
                                <w:right w:val="none" w:sz="0" w:space="0" w:color="auto"/>
                              </w:divBdr>
                              <w:divsChild>
                                <w:div w:id="1536120865">
                                  <w:marLeft w:val="0"/>
                                  <w:marRight w:val="0"/>
                                  <w:marTop w:val="0"/>
                                  <w:marBottom w:val="0"/>
                                  <w:divBdr>
                                    <w:top w:val="none" w:sz="0" w:space="0" w:color="auto"/>
                                    <w:left w:val="none" w:sz="0" w:space="0" w:color="auto"/>
                                    <w:bottom w:val="none" w:sz="0" w:space="0" w:color="auto"/>
                                    <w:right w:val="none" w:sz="0" w:space="0" w:color="auto"/>
                                  </w:divBdr>
                                  <w:divsChild>
                                    <w:div w:id="57823123">
                                      <w:marLeft w:val="0"/>
                                      <w:marRight w:val="0"/>
                                      <w:marTop w:val="0"/>
                                      <w:marBottom w:val="0"/>
                                      <w:divBdr>
                                        <w:top w:val="none" w:sz="0" w:space="0" w:color="auto"/>
                                        <w:left w:val="none" w:sz="0" w:space="0" w:color="auto"/>
                                        <w:bottom w:val="none" w:sz="0" w:space="0" w:color="auto"/>
                                        <w:right w:val="none" w:sz="0" w:space="0" w:color="auto"/>
                                      </w:divBdr>
                                      <w:divsChild>
                                        <w:div w:id="836846430">
                                          <w:marLeft w:val="1200"/>
                                          <w:marRight w:val="1200"/>
                                          <w:marTop w:val="0"/>
                                          <w:marBottom w:val="0"/>
                                          <w:divBdr>
                                            <w:top w:val="none" w:sz="0" w:space="0" w:color="auto"/>
                                            <w:left w:val="none" w:sz="0" w:space="0" w:color="auto"/>
                                            <w:bottom w:val="none" w:sz="0" w:space="0" w:color="auto"/>
                                            <w:right w:val="none" w:sz="0" w:space="0" w:color="auto"/>
                                          </w:divBdr>
                                          <w:divsChild>
                                            <w:div w:id="409087948">
                                              <w:marLeft w:val="0"/>
                                              <w:marRight w:val="0"/>
                                              <w:marTop w:val="0"/>
                                              <w:marBottom w:val="0"/>
                                              <w:divBdr>
                                                <w:top w:val="none" w:sz="0" w:space="0" w:color="auto"/>
                                                <w:left w:val="none" w:sz="0" w:space="0" w:color="auto"/>
                                                <w:bottom w:val="none" w:sz="0" w:space="0" w:color="auto"/>
                                                <w:right w:val="none" w:sz="0" w:space="0" w:color="auto"/>
                                              </w:divBdr>
                                              <w:divsChild>
                                                <w:div w:id="1446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957685">
      <w:bodyDiv w:val="1"/>
      <w:marLeft w:val="0"/>
      <w:marRight w:val="0"/>
      <w:marTop w:val="0"/>
      <w:marBottom w:val="0"/>
      <w:divBdr>
        <w:top w:val="none" w:sz="0" w:space="0" w:color="auto"/>
        <w:left w:val="none" w:sz="0" w:space="0" w:color="auto"/>
        <w:bottom w:val="none" w:sz="0" w:space="0" w:color="auto"/>
        <w:right w:val="none" w:sz="0" w:space="0" w:color="auto"/>
      </w:divBdr>
      <w:divsChild>
        <w:div w:id="2008703957">
          <w:marLeft w:val="0"/>
          <w:marRight w:val="0"/>
          <w:marTop w:val="0"/>
          <w:marBottom w:val="0"/>
          <w:divBdr>
            <w:top w:val="none" w:sz="0" w:space="0" w:color="auto"/>
            <w:left w:val="single" w:sz="6" w:space="0" w:color="BBBBBB"/>
            <w:bottom w:val="single" w:sz="6" w:space="0" w:color="BBBBBB"/>
            <w:right w:val="single" w:sz="6" w:space="0" w:color="BBBBBB"/>
          </w:divBdr>
          <w:divsChild>
            <w:div w:id="1741824579">
              <w:marLeft w:val="0"/>
              <w:marRight w:val="0"/>
              <w:marTop w:val="0"/>
              <w:marBottom w:val="0"/>
              <w:divBdr>
                <w:top w:val="none" w:sz="0" w:space="0" w:color="auto"/>
                <w:left w:val="none" w:sz="0" w:space="0" w:color="auto"/>
                <w:bottom w:val="none" w:sz="0" w:space="0" w:color="auto"/>
                <w:right w:val="none" w:sz="0" w:space="0" w:color="auto"/>
              </w:divBdr>
              <w:divsChild>
                <w:div w:id="369650625">
                  <w:marLeft w:val="0"/>
                  <w:marRight w:val="0"/>
                  <w:marTop w:val="0"/>
                  <w:marBottom w:val="0"/>
                  <w:divBdr>
                    <w:top w:val="none" w:sz="0" w:space="0" w:color="auto"/>
                    <w:left w:val="none" w:sz="0" w:space="0" w:color="auto"/>
                    <w:bottom w:val="none" w:sz="0" w:space="0" w:color="auto"/>
                    <w:right w:val="none" w:sz="0" w:space="0" w:color="auto"/>
                  </w:divBdr>
                  <w:divsChild>
                    <w:div w:id="1729258797">
                      <w:marLeft w:val="0"/>
                      <w:marRight w:val="0"/>
                      <w:marTop w:val="0"/>
                      <w:marBottom w:val="0"/>
                      <w:divBdr>
                        <w:top w:val="none" w:sz="0" w:space="0" w:color="auto"/>
                        <w:left w:val="none" w:sz="0" w:space="0" w:color="auto"/>
                        <w:bottom w:val="none" w:sz="0" w:space="0" w:color="auto"/>
                        <w:right w:val="none" w:sz="0" w:space="0" w:color="auto"/>
                      </w:divBdr>
                      <w:divsChild>
                        <w:div w:id="1610700939">
                          <w:marLeft w:val="0"/>
                          <w:marRight w:val="0"/>
                          <w:marTop w:val="0"/>
                          <w:marBottom w:val="0"/>
                          <w:divBdr>
                            <w:top w:val="none" w:sz="0" w:space="0" w:color="auto"/>
                            <w:left w:val="none" w:sz="0" w:space="0" w:color="auto"/>
                            <w:bottom w:val="none" w:sz="0" w:space="0" w:color="auto"/>
                            <w:right w:val="none" w:sz="0" w:space="0" w:color="auto"/>
                          </w:divBdr>
                          <w:divsChild>
                            <w:div w:id="1762138186">
                              <w:marLeft w:val="0"/>
                              <w:marRight w:val="0"/>
                              <w:marTop w:val="0"/>
                              <w:marBottom w:val="0"/>
                              <w:divBdr>
                                <w:top w:val="none" w:sz="0" w:space="0" w:color="auto"/>
                                <w:left w:val="none" w:sz="0" w:space="0" w:color="auto"/>
                                <w:bottom w:val="none" w:sz="0" w:space="0" w:color="auto"/>
                                <w:right w:val="none" w:sz="0" w:space="0" w:color="auto"/>
                              </w:divBdr>
                              <w:divsChild>
                                <w:div w:id="290325160">
                                  <w:marLeft w:val="0"/>
                                  <w:marRight w:val="0"/>
                                  <w:marTop w:val="0"/>
                                  <w:marBottom w:val="0"/>
                                  <w:divBdr>
                                    <w:top w:val="none" w:sz="0" w:space="0" w:color="auto"/>
                                    <w:left w:val="none" w:sz="0" w:space="0" w:color="auto"/>
                                    <w:bottom w:val="none" w:sz="0" w:space="0" w:color="auto"/>
                                    <w:right w:val="none" w:sz="0" w:space="0" w:color="auto"/>
                                  </w:divBdr>
                                  <w:divsChild>
                                    <w:div w:id="2106071379">
                                      <w:marLeft w:val="0"/>
                                      <w:marRight w:val="0"/>
                                      <w:marTop w:val="0"/>
                                      <w:marBottom w:val="0"/>
                                      <w:divBdr>
                                        <w:top w:val="none" w:sz="0" w:space="0" w:color="auto"/>
                                        <w:left w:val="none" w:sz="0" w:space="0" w:color="auto"/>
                                        <w:bottom w:val="none" w:sz="0" w:space="0" w:color="auto"/>
                                        <w:right w:val="none" w:sz="0" w:space="0" w:color="auto"/>
                                      </w:divBdr>
                                      <w:divsChild>
                                        <w:div w:id="882249042">
                                          <w:marLeft w:val="1200"/>
                                          <w:marRight w:val="1200"/>
                                          <w:marTop w:val="0"/>
                                          <w:marBottom w:val="0"/>
                                          <w:divBdr>
                                            <w:top w:val="none" w:sz="0" w:space="0" w:color="auto"/>
                                            <w:left w:val="none" w:sz="0" w:space="0" w:color="auto"/>
                                            <w:bottom w:val="none" w:sz="0" w:space="0" w:color="auto"/>
                                            <w:right w:val="none" w:sz="0" w:space="0" w:color="auto"/>
                                          </w:divBdr>
                                          <w:divsChild>
                                            <w:div w:id="1939174906">
                                              <w:marLeft w:val="0"/>
                                              <w:marRight w:val="0"/>
                                              <w:marTop w:val="0"/>
                                              <w:marBottom w:val="0"/>
                                              <w:divBdr>
                                                <w:top w:val="none" w:sz="0" w:space="0" w:color="auto"/>
                                                <w:left w:val="none" w:sz="0" w:space="0" w:color="auto"/>
                                                <w:bottom w:val="none" w:sz="0" w:space="0" w:color="auto"/>
                                                <w:right w:val="none" w:sz="0" w:space="0" w:color="auto"/>
                                              </w:divBdr>
                                              <w:divsChild>
                                                <w:div w:id="3636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FCC-15-141A1.doc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ps.fcc.gov/edocs_public/attachmatch/FCC-15-141A1.txt" TargetMode="External"/><Relationship Id="rId4" Type="http://schemas.openxmlformats.org/officeDocument/2006/relationships/settings" Target="settings.xml"/><Relationship Id="rId9" Type="http://schemas.openxmlformats.org/officeDocument/2006/relationships/hyperlink" Target="https://apps.fcc.gov/edocs_public/attachmatch/FCC-15-141A1.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document/opportunities-spectrum-through-incentive-auctions" TargetMode="External"/><Relationship Id="rId1" Type="http://schemas.openxmlformats.org/officeDocument/2006/relationships/hyperlink" Target="http://www.fcc.gov/document/incentive-auctions"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2095</Words>
  <Characters>12088</Characters>
  <Application>Microsoft Office Word</Application>
  <DocSecurity>0</DocSecurity>
  <Lines>214</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14869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2014-05-15T15:18:00Z</cp:lastPrinted>
  <dcterms:created xsi:type="dcterms:W3CDTF">2016-03-29T16:49:00Z</dcterms:created>
  <dcterms:modified xsi:type="dcterms:W3CDTF">2016-03-29T16:49:00Z</dcterms:modified>
  <cp:category> </cp:category>
  <cp:contentStatus> </cp:contentStatus>
</cp:coreProperties>
</file>