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32" w:rsidRDefault="00EA7432" w:rsidP="00EA7432">
      <w:pPr>
        <w:pStyle w:val="Header"/>
        <w:tabs>
          <w:tab w:val="clear" w:pos="4320"/>
          <w:tab w:val="clear" w:pos="8640"/>
        </w:tabs>
        <w:sectPr w:rsidR="00EA7432" w:rsidSect="00EA7432">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1440" w:left="720" w:header="720" w:footer="1440" w:gutter="0"/>
          <w:cols w:space="720"/>
          <w:titlePg/>
        </w:sectPr>
      </w:pPr>
      <w:bookmarkStart w:id="0" w:name="_GoBack"/>
      <w:bookmarkEnd w:id="0"/>
    </w:p>
    <w:p w:rsidR="00EA7432" w:rsidRPr="00BB2953" w:rsidRDefault="00EA7432" w:rsidP="00EA7432">
      <w:pPr>
        <w:jc w:val="right"/>
        <w:rPr>
          <w:b/>
          <w:szCs w:val="22"/>
        </w:rPr>
      </w:pPr>
      <w:r w:rsidRPr="00BB2953">
        <w:rPr>
          <w:b/>
          <w:szCs w:val="22"/>
        </w:rPr>
        <w:t>DA 16-</w:t>
      </w:r>
      <w:r w:rsidR="00DA1477">
        <w:rPr>
          <w:b/>
          <w:szCs w:val="22"/>
        </w:rPr>
        <w:t>332</w:t>
      </w:r>
    </w:p>
    <w:p w:rsidR="00EA7432" w:rsidRPr="00BB2953" w:rsidRDefault="00EA7432" w:rsidP="00EA7432">
      <w:pPr>
        <w:spacing w:before="60"/>
        <w:jc w:val="right"/>
        <w:rPr>
          <w:b/>
          <w:szCs w:val="22"/>
        </w:rPr>
      </w:pPr>
      <w:r w:rsidRPr="00BB2953">
        <w:rPr>
          <w:b/>
          <w:szCs w:val="22"/>
        </w:rPr>
        <w:t xml:space="preserve">Released: March </w:t>
      </w:r>
      <w:r w:rsidR="00DD36E4">
        <w:rPr>
          <w:b/>
          <w:szCs w:val="22"/>
        </w:rPr>
        <w:t>29</w:t>
      </w:r>
      <w:r w:rsidRPr="00BB2953">
        <w:rPr>
          <w:b/>
          <w:szCs w:val="22"/>
        </w:rPr>
        <w:t>, 2016</w:t>
      </w:r>
      <w:r w:rsidRPr="00BB2953">
        <w:rPr>
          <w:b/>
          <w:szCs w:val="22"/>
        </w:rPr>
        <w:br/>
      </w:r>
    </w:p>
    <w:p w:rsidR="00EA7432" w:rsidRPr="00BB2953" w:rsidRDefault="00EA7432" w:rsidP="00EA7432">
      <w:pPr>
        <w:spacing w:after="240"/>
        <w:jc w:val="center"/>
        <w:rPr>
          <w:b/>
          <w:szCs w:val="22"/>
        </w:rPr>
      </w:pPr>
      <w:r w:rsidRPr="00BB2953">
        <w:rPr>
          <w:b/>
          <w:szCs w:val="22"/>
        </w:rPr>
        <w:t>WIRELINE COMPETITION BUREAU UPDATES APPLICABLE RATES FOR INMATE CALLING SERVICES</w:t>
      </w:r>
    </w:p>
    <w:p w:rsidR="00EA7432" w:rsidRPr="00BB2953" w:rsidRDefault="00EA7432" w:rsidP="00EA7432">
      <w:pPr>
        <w:spacing w:after="240"/>
        <w:jc w:val="center"/>
        <w:rPr>
          <w:b/>
          <w:szCs w:val="22"/>
        </w:rPr>
      </w:pPr>
      <w:r w:rsidRPr="00BB2953">
        <w:rPr>
          <w:b/>
          <w:szCs w:val="22"/>
        </w:rPr>
        <w:t>WC Docket No. 12-375</w:t>
      </w:r>
    </w:p>
    <w:p w:rsidR="00EA7432" w:rsidRPr="00BB2953" w:rsidRDefault="00EA7432" w:rsidP="00EA7432">
      <w:pPr>
        <w:spacing w:before="120" w:after="240"/>
        <w:rPr>
          <w:szCs w:val="22"/>
        </w:rPr>
      </w:pPr>
      <w:r w:rsidRPr="00BB2953">
        <w:rPr>
          <w:szCs w:val="22"/>
        </w:rPr>
        <w:tab/>
        <w:t>With this Public Notice, we notify providers of Inmate Calling Services (ICS) of the applicable rates for ICS and effective dates for provisions of the Federal Communications Commission’s (Commission) 2015 Order governing ICS.</w:t>
      </w:r>
      <w:r w:rsidRPr="00BB2953">
        <w:rPr>
          <w:rStyle w:val="FootnoteReference"/>
          <w:szCs w:val="22"/>
        </w:rPr>
        <w:footnoteReference w:id="1"/>
      </w:r>
    </w:p>
    <w:p w:rsidR="00EA7432" w:rsidRPr="00BB2953" w:rsidRDefault="00EA7432" w:rsidP="00EA7432">
      <w:pPr>
        <w:spacing w:before="120" w:after="240"/>
        <w:ind w:firstLine="720"/>
        <w:rPr>
          <w:szCs w:val="22"/>
        </w:rPr>
      </w:pPr>
      <w:r w:rsidRPr="00BB2953">
        <w:rPr>
          <w:szCs w:val="22"/>
        </w:rPr>
        <w:t>On March 7, 2016, the United States Court of Appeals for the District of Columbia Circuit (D.C. Circuit) stayed two provisions of the Commission’s ICS rules: 47 CFR § 64.6010 (setting caps on ICS calling rates that vary based on the size and type of facility being served) and 47 CFR § 64.6020(b)(2) (setting caps for single-call services).</w:t>
      </w:r>
      <w:r w:rsidRPr="00BB2953">
        <w:rPr>
          <w:rStyle w:val="FootnoteReference"/>
          <w:szCs w:val="22"/>
        </w:rPr>
        <w:footnoteReference w:id="2"/>
      </w:r>
      <w:r w:rsidRPr="00BB2953">
        <w:rPr>
          <w:szCs w:val="22"/>
        </w:rPr>
        <w:t xml:space="preserve">  The D.C. Circuit’s </w:t>
      </w:r>
      <w:r w:rsidRPr="00BB2953">
        <w:rPr>
          <w:i/>
          <w:szCs w:val="22"/>
        </w:rPr>
        <w:t xml:space="preserve">March 7 Order </w:t>
      </w:r>
      <w:r w:rsidRPr="00BB2953">
        <w:rPr>
          <w:szCs w:val="22"/>
        </w:rPr>
        <w:t>denied motions for stay of the Commission’s ICS rules “in all other respects.”</w:t>
      </w:r>
      <w:r w:rsidRPr="00BB2953">
        <w:rPr>
          <w:rStyle w:val="FootnoteReference"/>
          <w:szCs w:val="22"/>
        </w:rPr>
        <w:footnoteReference w:id="3"/>
      </w:r>
      <w:r w:rsidRPr="00BB2953">
        <w:rPr>
          <w:szCs w:val="22"/>
        </w:rPr>
        <w:t xml:space="preserve">  On March 23, 2016, the D.C. Circuit modified the stay imposed in the </w:t>
      </w:r>
      <w:r w:rsidRPr="00BB2953">
        <w:rPr>
          <w:i/>
          <w:szCs w:val="22"/>
        </w:rPr>
        <w:t xml:space="preserve">March 7 Order </w:t>
      </w:r>
      <w:r w:rsidRPr="00BB2953">
        <w:rPr>
          <w:szCs w:val="22"/>
        </w:rPr>
        <w:t>to provide that</w:t>
      </w:r>
      <w:r w:rsidRPr="00BB2953">
        <w:rPr>
          <w:i/>
          <w:szCs w:val="22"/>
        </w:rPr>
        <w:t xml:space="preserve"> </w:t>
      </w:r>
      <w:r w:rsidRPr="00BB2953">
        <w:rPr>
          <w:szCs w:val="22"/>
        </w:rPr>
        <w:t>“47 CFR § 64.6030 (imposing interim rate caps)” be stayed as applied to “intrastate calling services.”</w:t>
      </w:r>
      <w:r w:rsidRPr="00BB2953">
        <w:rPr>
          <w:rStyle w:val="FootnoteReference"/>
          <w:szCs w:val="22"/>
        </w:rPr>
        <w:footnoteReference w:id="4"/>
      </w:r>
      <w:r w:rsidRPr="00BB2953">
        <w:rPr>
          <w:szCs w:val="22"/>
        </w:rPr>
        <w:t xml:space="preserve">  </w:t>
      </w:r>
    </w:p>
    <w:p w:rsidR="00EA7432" w:rsidRPr="00BB2953" w:rsidRDefault="00EA7432" w:rsidP="00EA7432">
      <w:pPr>
        <w:spacing w:before="120" w:after="240"/>
        <w:ind w:firstLine="720"/>
        <w:rPr>
          <w:szCs w:val="22"/>
        </w:rPr>
      </w:pPr>
      <w:r w:rsidRPr="00BB2953">
        <w:rPr>
          <w:szCs w:val="22"/>
        </w:rPr>
        <w:t xml:space="preserve">In accordance with the </w:t>
      </w:r>
      <w:r w:rsidRPr="00BB2953">
        <w:rPr>
          <w:i/>
          <w:szCs w:val="22"/>
        </w:rPr>
        <w:t>2015 ICS Order</w:t>
      </w:r>
      <w:r w:rsidRPr="00BB2953">
        <w:rPr>
          <w:szCs w:val="22"/>
        </w:rPr>
        <w:t>, the rules limiting charges for ancillary services—other than the rule related to single-call services, which the D.C. Circuit stayed—took effect on March 17, 2016 for all ICS calls from prisons, and will take effect on June 20, 2016 for all ICS calls from jails</w:t>
      </w:r>
      <w:r w:rsidR="0056096E">
        <w:rPr>
          <w:szCs w:val="22"/>
        </w:rPr>
        <w:t xml:space="preserve"> (see chart below)</w:t>
      </w:r>
      <w:r w:rsidRPr="00BB2953">
        <w:rPr>
          <w:szCs w:val="22"/>
        </w:rPr>
        <w:t>.</w:t>
      </w:r>
      <w:r w:rsidRPr="00BB2953">
        <w:rPr>
          <w:rStyle w:val="FootnoteReference"/>
          <w:szCs w:val="22"/>
        </w:rPr>
        <w:footnoteReference w:id="5"/>
      </w:r>
      <w:r w:rsidRPr="00BB2953">
        <w:rPr>
          <w:szCs w:val="22"/>
        </w:rPr>
        <w:t xml:space="preserve">  Those same effective dates also apply to the rates for ICS calls involving TTY devices,</w:t>
      </w:r>
      <w:r w:rsidRPr="00BB2953">
        <w:rPr>
          <w:rStyle w:val="FootnoteReference"/>
          <w:szCs w:val="22"/>
        </w:rPr>
        <w:footnoteReference w:id="6"/>
      </w:r>
      <w:r w:rsidRPr="00BB2953">
        <w:rPr>
          <w:szCs w:val="22"/>
        </w:rPr>
        <w:t xml:space="preserve"> the rule governing the treatment of taxes and fees,</w:t>
      </w:r>
      <w:r w:rsidRPr="00BB2953">
        <w:rPr>
          <w:rStyle w:val="FootnoteReference"/>
          <w:szCs w:val="22"/>
        </w:rPr>
        <w:footnoteReference w:id="7"/>
      </w:r>
      <w:r w:rsidRPr="00BB2953">
        <w:rPr>
          <w:szCs w:val="22"/>
        </w:rPr>
        <w:t xml:space="preserve"> the rule prohibiting per-call or per-connection charges,</w:t>
      </w:r>
      <w:r w:rsidRPr="00BB2953">
        <w:rPr>
          <w:rStyle w:val="FootnoteReference"/>
          <w:szCs w:val="22"/>
        </w:rPr>
        <w:footnoteReference w:id="8"/>
      </w:r>
      <w:r w:rsidRPr="00BB2953">
        <w:rPr>
          <w:szCs w:val="22"/>
        </w:rPr>
        <w:t xml:space="preserve"> the rule prohibiting flat-rate calling,</w:t>
      </w:r>
      <w:r w:rsidRPr="00BB2953">
        <w:rPr>
          <w:rStyle w:val="FootnoteReference"/>
          <w:szCs w:val="22"/>
        </w:rPr>
        <w:footnoteReference w:id="9"/>
      </w:r>
      <w:r w:rsidRPr="00BB2953">
        <w:rPr>
          <w:szCs w:val="22"/>
        </w:rPr>
        <w:t xml:space="preserve"> and the rules governing minimum and maximum calling account balances.</w:t>
      </w:r>
      <w:r w:rsidRPr="00BB2953">
        <w:rPr>
          <w:rStyle w:val="FootnoteReference"/>
          <w:szCs w:val="22"/>
        </w:rPr>
        <w:footnoteReference w:id="10"/>
      </w:r>
      <w:r w:rsidRPr="00BB2953">
        <w:rPr>
          <w:szCs w:val="22"/>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500"/>
      </w:tblGrid>
      <w:tr w:rsidR="00060882" w:rsidRPr="00BB2953" w:rsidTr="007A340E">
        <w:tc>
          <w:tcPr>
            <w:tcW w:w="4968" w:type="dxa"/>
            <w:shd w:val="clear" w:color="auto" w:fill="BDD6EE"/>
          </w:tcPr>
          <w:p w:rsidR="00060882" w:rsidRPr="00BB2953" w:rsidRDefault="00060882" w:rsidP="007A340E">
            <w:pPr>
              <w:keepLines/>
              <w:contextualSpacing/>
              <w:rPr>
                <w:b/>
                <w:szCs w:val="22"/>
              </w:rPr>
            </w:pPr>
            <w:r w:rsidRPr="00BB2953">
              <w:rPr>
                <w:b/>
                <w:szCs w:val="22"/>
              </w:rPr>
              <w:t>Permitted Ancillary Service Charges and Taxes</w:t>
            </w:r>
          </w:p>
          <w:p w:rsidR="00060882" w:rsidRPr="00BB2953" w:rsidRDefault="00060882" w:rsidP="007A340E">
            <w:pPr>
              <w:keepLines/>
              <w:contextualSpacing/>
              <w:rPr>
                <w:b/>
                <w:szCs w:val="22"/>
              </w:rPr>
            </w:pPr>
          </w:p>
        </w:tc>
        <w:tc>
          <w:tcPr>
            <w:tcW w:w="4500" w:type="dxa"/>
            <w:shd w:val="clear" w:color="auto" w:fill="BDD6EE"/>
          </w:tcPr>
          <w:p w:rsidR="00060882" w:rsidRPr="00BB2953" w:rsidRDefault="00060882" w:rsidP="007A340E">
            <w:pPr>
              <w:keepLines/>
              <w:contextualSpacing/>
              <w:rPr>
                <w:b/>
                <w:szCs w:val="22"/>
              </w:rPr>
            </w:pPr>
            <w:r w:rsidRPr="00BB2953">
              <w:rPr>
                <w:b/>
                <w:szCs w:val="22"/>
              </w:rPr>
              <w:t>Monetary Cap Per Use / Instruction</w:t>
            </w:r>
          </w:p>
        </w:tc>
      </w:tr>
      <w:tr w:rsidR="00060882" w:rsidRPr="00BB2953" w:rsidTr="007A340E">
        <w:tc>
          <w:tcPr>
            <w:tcW w:w="4968" w:type="dxa"/>
            <w:shd w:val="clear" w:color="auto" w:fill="auto"/>
          </w:tcPr>
          <w:p w:rsidR="00060882" w:rsidRPr="00BB2953" w:rsidRDefault="00060882" w:rsidP="007A340E">
            <w:pPr>
              <w:keepLines/>
              <w:contextualSpacing/>
              <w:rPr>
                <w:b/>
                <w:szCs w:val="22"/>
              </w:rPr>
            </w:pPr>
            <w:r w:rsidRPr="00BB2953">
              <w:rPr>
                <w:szCs w:val="22"/>
              </w:rPr>
              <w:t>Applicable taxes and regulatory fees</w:t>
            </w:r>
          </w:p>
        </w:tc>
        <w:tc>
          <w:tcPr>
            <w:tcW w:w="4500" w:type="dxa"/>
            <w:shd w:val="clear" w:color="auto" w:fill="auto"/>
          </w:tcPr>
          <w:p w:rsidR="00060882" w:rsidRPr="00BB2953" w:rsidRDefault="00060882" w:rsidP="007A340E">
            <w:pPr>
              <w:keepLines/>
              <w:contextualSpacing/>
              <w:rPr>
                <w:b/>
                <w:szCs w:val="22"/>
              </w:rPr>
            </w:pPr>
            <w:r w:rsidRPr="00BB2953">
              <w:rPr>
                <w:szCs w:val="22"/>
              </w:rPr>
              <w:t>Provider shall pass these charges through to consumers directly with no markup</w:t>
            </w:r>
          </w:p>
        </w:tc>
      </w:tr>
      <w:tr w:rsidR="00060882" w:rsidRPr="00BB2953" w:rsidTr="007A340E">
        <w:tc>
          <w:tcPr>
            <w:tcW w:w="4968" w:type="dxa"/>
            <w:shd w:val="clear" w:color="auto" w:fill="auto"/>
          </w:tcPr>
          <w:p w:rsidR="00060882" w:rsidRPr="00BB2953" w:rsidRDefault="00060882" w:rsidP="007A340E">
            <w:pPr>
              <w:contextualSpacing/>
              <w:rPr>
                <w:szCs w:val="22"/>
              </w:rPr>
            </w:pPr>
            <w:r w:rsidRPr="00BB2953">
              <w:rPr>
                <w:szCs w:val="22"/>
              </w:rPr>
              <w:t>Automated payment fees</w:t>
            </w:r>
            <w:r w:rsidRPr="00BB2953">
              <w:rPr>
                <w:rStyle w:val="FootnoteReference"/>
                <w:szCs w:val="22"/>
              </w:rPr>
              <w:footnoteReference w:id="11"/>
            </w:r>
            <w:r w:rsidRPr="00BB2953">
              <w:rPr>
                <w:szCs w:val="22"/>
              </w:rPr>
              <w:t xml:space="preserve"> </w:t>
            </w:r>
          </w:p>
        </w:tc>
        <w:tc>
          <w:tcPr>
            <w:tcW w:w="4500" w:type="dxa"/>
            <w:shd w:val="clear" w:color="auto" w:fill="auto"/>
          </w:tcPr>
          <w:p w:rsidR="00060882" w:rsidRPr="00BB2953" w:rsidRDefault="00060882" w:rsidP="007A340E">
            <w:pPr>
              <w:contextualSpacing/>
              <w:rPr>
                <w:szCs w:val="22"/>
              </w:rPr>
            </w:pPr>
            <w:r w:rsidRPr="00BB2953">
              <w:rPr>
                <w:szCs w:val="22"/>
              </w:rPr>
              <w:t>$3.00</w:t>
            </w:r>
          </w:p>
        </w:tc>
      </w:tr>
      <w:tr w:rsidR="00060882" w:rsidRPr="00BB2953" w:rsidTr="007A340E">
        <w:tc>
          <w:tcPr>
            <w:tcW w:w="4968" w:type="dxa"/>
            <w:shd w:val="clear" w:color="auto" w:fill="auto"/>
          </w:tcPr>
          <w:p w:rsidR="00060882" w:rsidRPr="00BB2953" w:rsidRDefault="00060882" w:rsidP="007A340E">
            <w:pPr>
              <w:contextualSpacing/>
              <w:rPr>
                <w:szCs w:val="22"/>
              </w:rPr>
            </w:pPr>
            <w:r w:rsidRPr="00BB2953">
              <w:rPr>
                <w:szCs w:val="22"/>
              </w:rPr>
              <w:t>Live agent fee, i.e., phone payment or account set up with optional use of a live operator</w:t>
            </w:r>
          </w:p>
        </w:tc>
        <w:tc>
          <w:tcPr>
            <w:tcW w:w="4500" w:type="dxa"/>
            <w:shd w:val="clear" w:color="auto" w:fill="auto"/>
          </w:tcPr>
          <w:p w:rsidR="00060882" w:rsidRPr="00BB2953" w:rsidRDefault="00060882" w:rsidP="007A340E">
            <w:pPr>
              <w:contextualSpacing/>
              <w:rPr>
                <w:szCs w:val="22"/>
              </w:rPr>
            </w:pPr>
            <w:r w:rsidRPr="00BB2953">
              <w:rPr>
                <w:szCs w:val="22"/>
              </w:rPr>
              <w:t>$5.95</w:t>
            </w:r>
          </w:p>
        </w:tc>
      </w:tr>
      <w:tr w:rsidR="00060882" w:rsidRPr="00BB2953" w:rsidTr="007A340E">
        <w:tc>
          <w:tcPr>
            <w:tcW w:w="4968" w:type="dxa"/>
            <w:shd w:val="clear" w:color="auto" w:fill="auto"/>
          </w:tcPr>
          <w:p w:rsidR="00060882" w:rsidRPr="00BB2953" w:rsidRDefault="00060882" w:rsidP="007A340E">
            <w:pPr>
              <w:contextualSpacing/>
              <w:rPr>
                <w:szCs w:val="22"/>
              </w:rPr>
            </w:pPr>
            <w:r w:rsidRPr="00BB2953">
              <w:rPr>
                <w:szCs w:val="22"/>
              </w:rPr>
              <w:t>Paper bill/statement fees (no charge permitted for electronic bills/statements)</w:t>
            </w:r>
          </w:p>
        </w:tc>
        <w:tc>
          <w:tcPr>
            <w:tcW w:w="4500" w:type="dxa"/>
            <w:shd w:val="clear" w:color="auto" w:fill="auto"/>
          </w:tcPr>
          <w:p w:rsidR="00060882" w:rsidRPr="00BB2953" w:rsidRDefault="00060882" w:rsidP="007A340E">
            <w:pPr>
              <w:contextualSpacing/>
              <w:rPr>
                <w:szCs w:val="22"/>
              </w:rPr>
            </w:pPr>
            <w:r w:rsidRPr="00BB2953">
              <w:rPr>
                <w:szCs w:val="22"/>
              </w:rPr>
              <w:t>$2.00</w:t>
            </w:r>
          </w:p>
        </w:tc>
      </w:tr>
      <w:tr w:rsidR="00060882" w:rsidRPr="00BB2953" w:rsidTr="007A340E">
        <w:tc>
          <w:tcPr>
            <w:tcW w:w="4968" w:type="dxa"/>
            <w:shd w:val="clear" w:color="auto" w:fill="auto"/>
          </w:tcPr>
          <w:p w:rsidR="00060882" w:rsidRPr="00BB2953" w:rsidRDefault="00060882" w:rsidP="007A340E">
            <w:pPr>
              <w:contextualSpacing/>
              <w:rPr>
                <w:szCs w:val="22"/>
              </w:rPr>
            </w:pPr>
            <w:r w:rsidRPr="00BB2953">
              <w:rPr>
                <w:szCs w:val="22"/>
              </w:rPr>
              <w:t xml:space="preserve">Prepaid account funding minimums and maximums </w:t>
            </w:r>
          </w:p>
        </w:tc>
        <w:tc>
          <w:tcPr>
            <w:tcW w:w="4500" w:type="dxa"/>
            <w:shd w:val="clear" w:color="auto" w:fill="auto"/>
          </w:tcPr>
          <w:p w:rsidR="00060882" w:rsidRPr="00BB2953" w:rsidRDefault="00060882" w:rsidP="007A340E">
            <w:pPr>
              <w:contextualSpacing/>
              <w:rPr>
                <w:szCs w:val="22"/>
              </w:rPr>
            </w:pPr>
            <w:r w:rsidRPr="00BB2953">
              <w:rPr>
                <w:szCs w:val="22"/>
              </w:rPr>
              <w:t>Prohibit prepaid account funding minimums and prohibit prepaid account funding maximums under $50</w:t>
            </w:r>
          </w:p>
        </w:tc>
      </w:tr>
      <w:tr w:rsidR="00060882" w:rsidRPr="00BB2953" w:rsidTr="007A340E">
        <w:tc>
          <w:tcPr>
            <w:tcW w:w="4968" w:type="dxa"/>
            <w:shd w:val="clear" w:color="auto" w:fill="auto"/>
          </w:tcPr>
          <w:p w:rsidR="00060882" w:rsidRPr="00BB2953" w:rsidRDefault="00060882" w:rsidP="007A340E">
            <w:pPr>
              <w:contextualSpacing/>
              <w:rPr>
                <w:szCs w:val="22"/>
              </w:rPr>
            </w:pPr>
            <w:r w:rsidRPr="00BB2953">
              <w:rPr>
                <w:szCs w:val="22"/>
              </w:rPr>
              <w:t>Third-party financial transaction fees, e.g., MoneyGram, Western Union, credit card processing fees and transfers from third party commissary accounts</w:t>
            </w:r>
          </w:p>
        </w:tc>
        <w:tc>
          <w:tcPr>
            <w:tcW w:w="4500" w:type="dxa"/>
            <w:shd w:val="clear" w:color="auto" w:fill="auto"/>
          </w:tcPr>
          <w:p w:rsidR="00060882" w:rsidRPr="00BB2953" w:rsidRDefault="00060882" w:rsidP="007A340E">
            <w:pPr>
              <w:contextualSpacing/>
              <w:rPr>
                <w:szCs w:val="22"/>
              </w:rPr>
            </w:pPr>
            <w:r w:rsidRPr="00BB2953">
              <w:rPr>
                <w:szCs w:val="22"/>
              </w:rPr>
              <w:t>Provider shall pass this charge through to end user directly, with no markup</w:t>
            </w:r>
          </w:p>
        </w:tc>
      </w:tr>
    </w:tbl>
    <w:p w:rsidR="00060882" w:rsidRPr="00BB2953" w:rsidRDefault="00060882" w:rsidP="00EA7432">
      <w:pPr>
        <w:spacing w:before="120" w:after="240"/>
        <w:ind w:firstLine="720"/>
        <w:rPr>
          <w:szCs w:val="22"/>
        </w:rPr>
      </w:pPr>
      <w:r w:rsidRPr="00BB2953">
        <w:rPr>
          <w:szCs w:val="22"/>
        </w:rPr>
        <w:t>In addition, the interim rate caps – $0.21 per-minute for debit and prepaid ICS calls and $0.25 per-minute for collect ICS calls – set forth in the Commission’s rules are in effect for all interstate ICS calls.</w:t>
      </w:r>
      <w:r w:rsidRPr="00BB2953">
        <w:rPr>
          <w:rStyle w:val="FootnoteReference"/>
          <w:szCs w:val="22"/>
        </w:rPr>
        <w:footnoteReference w:id="12"/>
      </w:r>
    </w:p>
    <w:p w:rsidR="00EA7432" w:rsidRPr="00BB2953" w:rsidRDefault="00EA7432" w:rsidP="00EA7432">
      <w:pPr>
        <w:spacing w:before="120" w:after="240"/>
        <w:ind w:firstLine="720"/>
        <w:rPr>
          <w:szCs w:val="22"/>
        </w:rPr>
      </w:pPr>
      <w:r w:rsidRPr="00BB2953">
        <w:rPr>
          <w:szCs w:val="22"/>
        </w:rPr>
        <w:t>The rules requiring annual reporting and certification are subject to the Paperwork Reduction Act, as is the rule requiring consumer disclosure of ICS rates.</w:t>
      </w:r>
      <w:r w:rsidRPr="00BB2953">
        <w:rPr>
          <w:rStyle w:val="FootnoteReference"/>
          <w:szCs w:val="22"/>
        </w:rPr>
        <w:footnoteReference w:id="13"/>
      </w:r>
      <w:r w:rsidRPr="00BB2953">
        <w:rPr>
          <w:szCs w:val="22"/>
        </w:rPr>
        <w:t xml:space="preserve">  Those rules will take effect upon publication in the Federal Register of a notice of Office of Management and Budget (OMB) approval.</w:t>
      </w:r>
      <w:r w:rsidRPr="00BB2953">
        <w:rPr>
          <w:rStyle w:val="FootnoteReference"/>
          <w:szCs w:val="22"/>
        </w:rPr>
        <w:footnoteReference w:id="14"/>
      </w:r>
      <w:r w:rsidRPr="00BB2953">
        <w:rPr>
          <w:szCs w:val="22"/>
        </w:rPr>
        <w:t xml:space="preserve">  All other rules and requirements adopted in the </w:t>
      </w:r>
      <w:r w:rsidRPr="00BB2953">
        <w:rPr>
          <w:i/>
          <w:szCs w:val="22"/>
        </w:rPr>
        <w:t xml:space="preserve">2015 ICS Order </w:t>
      </w:r>
      <w:r w:rsidRPr="00BB2953">
        <w:rPr>
          <w:szCs w:val="22"/>
        </w:rPr>
        <w:t>are in effect, except for the one-time Mandatory Data Collection, which is to occur two years after it is approved by OMB.</w:t>
      </w:r>
      <w:r w:rsidRPr="00BB2953">
        <w:rPr>
          <w:rStyle w:val="FootnoteReference"/>
          <w:szCs w:val="22"/>
        </w:rPr>
        <w:footnoteReference w:id="15"/>
      </w:r>
    </w:p>
    <w:p w:rsidR="00EA7432" w:rsidRPr="00BB2953" w:rsidRDefault="00EA7432" w:rsidP="00EA7432">
      <w:pPr>
        <w:spacing w:before="120" w:after="240"/>
        <w:rPr>
          <w:szCs w:val="22"/>
        </w:rPr>
      </w:pPr>
      <w:r w:rsidRPr="00BB2953">
        <w:rPr>
          <w:szCs w:val="22"/>
        </w:rPr>
        <w:tab/>
        <w:t xml:space="preserve">For further information, please contact Christine Sanquist, Wireline Competition Bureau, Pricing Policy Division, at 202-418-7084 or via e-mail at </w:t>
      </w:r>
      <w:hyperlink r:id="rId13" w:history="1">
        <w:r w:rsidRPr="00BB2953">
          <w:rPr>
            <w:rStyle w:val="Hyperlink"/>
            <w:szCs w:val="22"/>
          </w:rPr>
          <w:t>christine.sanquist@fcc.gov</w:t>
        </w:r>
      </w:hyperlink>
      <w:r w:rsidRPr="00BB2953">
        <w:rPr>
          <w:szCs w:val="22"/>
        </w:rPr>
        <w:t xml:space="preserve">. </w:t>
      </w:r>
    </w:p>
    <w:p w:rsidR="00EA7432" w:rsidRPr="00BB2953" w:rsidRDefault="00EA7432" w:rsidP="00EA7432">
      <w:pPr>
        <w:spacing w:before="120" w:after="240"/>
        <w:jc w:val="center"/>
        <w:rPr>
          <w:b/>
          <w:szCs w:val="22"/>
        </w:rPr>
      </w:pPr>
      <w:r w:rsidRPr="00BB2953">
        <w:rPr>
          <w:b/>
          <w:szCs w:val="22"/>
        </w:rPr>
        <w:t>- FCC -</w:t>
      </w:r>
    </w:p>
    <w:p w:rsidR="00F72607" w:rsidRPr="00BB2953" w:rsidRDefault="00F72607">
      <w:pPr>
        <w:rPr>
          <w:szCs w:val="22"/>
        </w:rPr>
      </w:pPr>
    </w:p>
    <w:sectPr w:rsidR="00F72607" w:rsidRPr="00BB295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A0" w:rsidRDefault="000338A0" w:rsidP="00EA7432">
      <w:r>
        <w:separator/>
      </w:r>
    </w:p>
  </w:endnote>
  <w:endnote w:type="continuationSeparator" w:id="0">
    <w:p w:rsidR="000338A0" w:rsidRDefault="000338A0" w:rsidP="00EA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90" w:rsidRDefault="00CD2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940002"/>
      <w:docPartObj>
        <w:docPartGallery w:val="Page Numbers (Bottom of Page)"/>
        <w:docPartUnique/>
      </w:docPartObj>
    </w:sdtPr>
    <w:sdtEndPr>
      <w:rPr>
        <w:noProof/>
      </w:rPr>
    </w:sdtEndPr>
    <w:sdtContent>
      <w:p w:rsidR="00DD36E4" w:rsidRDefault="00DD36E4">
        <w:pPr>
          <w:pStyle w:val="Footer"/>
          <w:jc w:val="center"/>
        </w:pPr>
        <w:r>
          <w:fldChar w:fldCharType="begin"/>
        </w:r>
        <w:r>
          <w:instrText xml:space="preserve"> PAGE   \* MERGEFORMAT </w:instrText>
        </w:r>
        <w:r>
          <w:fldChar w:fldCharType="separate"/>
        </w:r>
        <w:r w:rsidR="004E2A62">
          <w:rPr>
            <w:noProof/>
          </w:rPr>
          <w:t>2</w:t>
        </w:r>
        <w:r>
          <w:rPr>
            <w:noProof/>
          </w:rPr>
          <w:fldChar w:fldCharType="end"/>
        </w:r>
      </w:p>
    </w:sdtContent>
  </w:sdt>
  <w:p w:rsidR="00DD36E4" w:rsidRDefault="00DD36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90" w:rsidRDefault="00CD2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A0" w:rsidRDefault="000338A0" w:rsidP="00EA7432">
      <w:r>
        <w:separator/>
      </w:r>
    </w:p>
  </w:footnote>
  <w:footnote w:type="continuationSeparator" w:id="0">
    <w:p w:rsidR="000338A0" w:rsidRDefault="000338A0" w:rsidP="00EA7432">
      <w:r>
        <w:continuationSeparator/>
      </w:r>
    </w:p>
  </w:footnote>
  <w:footnote w:id="1">
    <w:p w:rsidR="00EA7432" w:rsidRPr="00BB2953" w:rsidRDefault="00EA7432" w:rsidP="00DD36E4">
      <w:pPr>
        <w:pStyle w:val="FootnoteText"/>
        <w:spacing w:after="120"/>
        <w:mirrorIndents/>
        <w:rPr>
          <w:sz w:val="20"/>
        </w:rPr>
      </w:pPr>
      <w:r w:rsidRPr="00BB2953">
        <w:rPr>
          <w:rStyle w:val="FootnoteReference"/>
          <w:sz w:val="20"/>
        </w:rPr>
        <w:footnoteRef/>
      </w:r>
      <w:r w:rsidRPr="00BB2953">
        <w:rPr>
          <w:sz w:val="20"/>
        </w:rPr>
        <w:t xml:space="preserve"> </w:t>
      </w:r>
      <w:r w:rsidRPr="00BB2953">
        <w:rPr>
          <w:i/>
          <w:sz w:val="20"/>
        </w:rPr>
        <w:t>Rates for Interstate Inmate Calling Services</w:t>
      </w:r>
      <w:r w:rsidRPr="00BB2953">
        <w:rPr>
          <w:sz w:val="20"/>
        </w:rPr>
        <w:t>, Second Report and Order and Third Further Notice of Proposed Rulemaking, 30 FCC Rcd 12763 (2015) (</w:t>
      </w:r>
      <w:r w:rsidRPr="00BB2953">
        <w:rPr>
          <w:i/>
          <w:sz w:val="20"/>
        </w:rPr>
        <w:t>2015 ICS Order</w:t>
      </w:r>
      <w:r w:rsidRPr="00BB2953">
        <w:rPr>
          <w:sz w:val="20"/>
        </w:rPr>
        <w:t xml:space="preserve">).  This Public Notice supersedes the information in the previous Public Notice regarding the effective dates of the Commission’s ICS rules and requirements.  </w:t>
      </w:r>
      <w:r w:rsidRPr="00BB2953">
        <w:rPr>
          <w:i/>
          <w:sz w:val="20"/>
        </w:rPr>
        <w:t>Wireline Competition Bureau Addresses Applicable Rates for Inmate Calling Services and Effective Dates for Provisions of the Inmate Calling Services Second Report and Order</w:t>
      </w:r>
      <w:r w:rsidRPr="00BB2953">
        <w:rPr>
          <w:sz w:val="20"/>
        </w:rPr>
        <w:t xml:space="preserve">, Public Notice, DA 16-280 (WCB </w:t>
      </w:r>
      <w:r w:rsidR="00DD36E4">
        <w:rPr>
          <w:sz w:val="20"/>
        </w:rPr>
        <w:t xml:space="preserve">Mar. 16, </w:t>
      </w:r>
      <w:r w:rsidRPr="00BB2953">
        <w:rPr>
          <w:sz w:val="20"/>
        </w:rPr>
        <w:t>201</w:t>
      </w:r>
      <w:r w:rsidR="00DD36E4">
        <w:rPr>
          <w:sz w:val="20"/>
        </w:rPr>
        <w:t>6</w:t>
      </w:r>
      <w:r w:rsidRPr="00BB2953">
        <w:rPr>
          <w:sz w:val="20"/>
        </w:rPr>
        <w:t xml:space="preserve">). </w:t>
      </w:r>
    </w:p>
  </w:footnote>
  <w:footnote w:id="2">
    <w:p w:rsidR="00EA7432" w:rsidRPr="00BB2953" w:rsidRDefault="00EA7432" w:rsidP="00DD36E4">
      <w:pPr>
        <w:pStyle w:val="FootnoteText"/>
        <w:spacing w:after="120"/>
        <w:rPr>
          <w:sz w:val="20"/>
        </w:rPr>
      </w:pPr>
      <w:r w:rsidRPr="00BB2953">
        <w:rPr>
          <w:rStyle w:val="FootnoteReference"/>
          <w:sz w:val="20"/>
        </w:rPr>
        <w:footnoteRef/>
      </w:r>
      <w:r w:rsidRPr="00BB2953">
        <w:rPr>
          <w:sz w:val="20"/>
        </w:rPr>
        <w:t xml:space="preserve"> </w:t>
      </w:r>
      <w:r w:rsidRPr="00BB2953">
        <w:rPr>
          <w:i/>
          <w:sz w:val="20"/>
        </w:rPr>
        <w:t>See Global Tel*Link v. FCC</w:t>
      </w:r>
      <w:r w:rsidRPr="00BB2953">
        <w:rPr>
          <w:sz w:val="20"/>
        </w:rPr>
        <w:t>, No. 15-1451 (D.C. Cir. Mar. 7, 2016) (</w:t>
      </w:r>
      <w:r w:rsidRPr="00BB2953">
        <w:rPr>
          <w:i/>
          <w:sz w:val="20"/>
        </w:rPr>
        <w:t>March 7 Order</w:t>
      </w:r>
      <w:r w:rsidRPr="00BB2953">
        <w:rPr>
          <w:sz w:val="20"/>
        </w:rPr>
        <w:t xml:space="preserve">). </w:t>
      </w:r>
    </w:p>
  </w:footnote>
  <w:footnote w:id="3">
    <w:p w:rsidR="00EA7432" w:rsidRPr="00BB2953" w:rsidRDefault="00EA7432" w:rsidP="00DD36E4">
      <w:pPr>
        <w:pStyle w:val="FootnoteText"/>
        <w:spacing w:after="120"/>
        <w:rPr>
          <w:sz w:val="20"/>
        </w:rPr>
      </w:pPr>
      <w:r w:rsidRPr="00BB2953">
        <w:rPr>
          <w:rStyle w:val="FootnoteReference"/>
          <w:sz w:val="20"/>
        </w:rPr>
        <w:footnoteRef/>
      </w:r>
      <w:r w:rsidRPr="00BB2953">
        <w:rPr>
          <w:sz w:val="20"/>
        </w:rPr>
        <w:t xml:space="preserve"> </w:t>
      </w:r>
      <w:r w:rsidRPr="00BB2953">
        <w:rPr>
          <w:i/>
          <w:sz w:val="20"/>
        </w:rPr>
        <w:t>Id</w:t>
      </w:r>
      <w:r w:rsidRPr="00BB2953">
        <w:rPr>
          <w:sz w:val="20"/>
        </w:rPr>
        <w:t xml:space="preserve">. at 2. </w:t>
      </w:r>
    </w:p>
  </w:footnote>
  <w:footnote w:id="4">
    <w:p w:rsidR="00EA7432" w:rsidRPr="00BB2953" w:rsidRDefault="00EA7432" w:rsidP="00DD36E4">
      <w:pPr>
        <w:pStyle w:val="FootnoteText"/>
        <w:spacing w:after="120"/>
        <w:rPr>
          <w:sz w:val="20"/>
        </w:rPr>
      </w:pPr>
      <w:r w:rsidRPr="00BB2953">
        <w:rPr>
          <w:rStyle w:val="FootnoteReference"/>
          <w:sz w:val="20"/>
        </w:rPr>
        <w:footnoteRef/>
      </w:r>
      <w:r w:rsidRPr="00BB2953">
        <w:rPr>
          <w:sz w:val="20"/>
        </w:rPr>
        <w:t xml:space="preserve"> </w:t>
      </w:r>
      <w:r w:rsidRPr="00BB2953">
        <w:rPr>
          <w:i/>
          <w:sz w:val="20"/>
        </w:rPr>
        <w:t>See Global Tel*Link v. FCC</w:t>
      </w:r>
      <w:r w:rsidRPr="00BB2953">
        <w:rPr>
          <w:sz w:val="20"/>
        </w:rPr>
        <w:t>, No. 15-1451 (D.C. Cir. Mar. 23, 2016) (</w:t>
      </w:r>
      <w:r w:rsidRPr="00BB2953">
        <w:rPr>
          <w:i/>
          <w:sz w:val="20"/>
        </w:rPr>
        <w:t>March 23 Order</w:t>
      </w:r>
      <w:r w:rsidRPr="00BB2953">
        <w:rPr>
          <w:sz w:val="20"/>
        </w:rPr>
        <w:t>).</w:t>
      </w:r>
    </w:p>
  </w:footnote>
  <w:footnote w:id="5">
    <w:p w:rsidR="00EA7432" w:rsidRPr="00BB2953" w:rsidRDefault="00EA7432" w:rsidP="00DD36E4">
      <w:pPr>
        <w:pStyle w:val="FootnoteText"/>
        <w:spacing w:after="120"/>
        <w:rPr>
          <w:sz w:val="20"/>
        </w:rPr>
      </w:pPr>
      <w:r w:rsidRPr="00BB2953">
        <w:rPr>
          <w:rStyle w:val="FootnoteReference"/>
          <w:sz w:val="20"/>
        </w:rPr>
        <w:footnoteRef/>
      </w:r>
      <w:r w:rsidRPr="00BB2953">
        <w:rPr>
          <w:sz w:val="20"/>
        </w:rPr>
        <w:t xml:space="preserve"> 47 CFR § 64.6020(a), (b)(1), (3)-(5).  As noted above, 47 CFR § 64.6020(b)(2) has been stayed by the D.C. Circuit.  </w:t>
      </w:r>
      <w:r w:rsidRPr="00BB2953">
        <w:rPr>
          <w:i/>
          <w:sz w:val="20"/>
        </w:rPr>
        <w:t>See March 7 Order</w:t>
      </w:r>
      <w:r w:rsidRPr="00BB2953">
        <w:rPr>
          <w:sz w:val="20"/>
        </w:rPr>
        <w:t xml:space="preserve">. </w:t>
      </w:r>
    </w:p>
  </w:footnote>
  <w:footnote w:id="6">
    <w:p w:rsidR="00EA7432" w:rsidRPr="00BB2953" w:rsidRDefault="00EA7432" w:rsidP="00DD36E4">
      <w:pPr>
        <w:pStyle w:val="FootnoteText"/>
        <w:spacing w:after="120"/>
        <w:rPr>
          <w:sz w:val="20"/>
        </w:rPr>
      </w:pPr>
      <w:r w:rsidRPr="00BB2953">
        <w:rPr>
          <w:rStyle w:val="FootnoteReference"/>
          <w:sz w:val="20"/>
        </w:rPr>
        <w:footnoteRef/>
      </w:r>
      <w:r w:rsidRPr="00BB2953">
        <w:rPr>
          <w:sz w:val="20"/>
        </w:rPr>
        <w:t xml:space="preserve"> 47 CFR § 64.6040(a)-(b).</w:t>
      </w:r>
    </w:p>
  </w:footnote>
  <w:footnote w:id="7">
    <w:p w:rsidR="00EA7432" w:rsidRPr="00BB2953" w:rsidRDefault="00EA7432" w:rsidP="00DD36E4">
      <w:pPr>
        <w:pStyle w:val="FootnoteText"/>
        <w:spacing w:after="120"/>
        <w:rPr>
          <w:sz w:val="20"/>
        </w:rPr>
      </w:pPr>
      <w:r w:rsidRPr="00BB2953">
        <w:rPr>
          <w:rStyle w:val="FootnoteReference"/>
          <w:sz w:val="20"/>
        </w:rPr>
        <w:footnoteRef/>
      </w:r>
      <w:r w:rsidRPr="00BB2953">
        <w:rPr>
          <w:sz w:val="20"/>
        </w:rPr>
        <w:t xml:space="preserve"> 47 CFR § 64.6070.</w:t>
      </w:r>
    </w:p>
  </w:footnote>
  <w:footnote w:id="8">
    <w:p w:rsidR="00EA7432" w:rsidRPr="00BB2953" w:rsidRDefault="00EA7432" w:rsidP="00DD36E4">
      <w:pPr>
        <w:pStyle w:val="FootnoteText"/>
        <w:spacing w:after="120"/>
        <w:rPr>
          <w:sz w:val="20"/>
        </w:rPr>
      </w:pPr>
      <w:r w:rsidRPr="00BB2953">
        <w:rPr>
          <w:rStyle w:val="FootnoteReference"/>
          <w:sz w:val="20"/>
        </w:rPr>
        <w:footnoteRef/>
      </w:r>
      <w:r w:rsidRPr="00BB2953">
        <w:rPr>
          <w:sz w:val="20"/>
        </w:rPr>
        <w:t xml:space="preserve"> 47 CFR § 64.6080.</w:t>
      </w:r>
    </w:p>
  </w:footnote>
  <w:footnote w:id="9">
    <w:p w:rsidR="00EA7432" w:rsidRPr="00BB2953" w:rsidRDefault="00EA7432" w:rsidP="00DD36E4">
      <w:pPr>
        <w:pStyle w:val="FootnoteText"/>
        <w:spacing w:after="120"/>
        <w:rPr>
          <w:sz w:val="20"/>
        </w:rPr>
      </w:pPr>
      <w:r w:rsidRPr="00BB2953">
        <w:rPr>
          <w:rStyle w:val="FootnoteReference"/>
          <w:sz w:val="20"/>
        </w:rPr>
        <w:footnoteRef/>
      </w:r>
      <w:r w:rsidRPr="00BB2953">
        <w:rPr>
          <w:sz w:val="20"/>
        </w:rPr>
        <w:t xml:space="preserve"> 47 CFR § 64.6090.</w:t>
      </w:r>
    </w:p>
  </w:footnote>
  <w:footnote w:id="10">
    <w:p w:rsidR="00EA7432" w:rsidRPr="00BB2953" w:rsidRDefault="00EA7432" w:rsidP="00DD36E4">
      <w:pPr>
        <w:pStyle w:val="FootnoteText"/>
        <w:spacing w:after="120"/>
        <w:rPr>
          <w:sz w:val="20"/>
        </w:rPr>
      </w:pPr>
      <w:r w:rsidRPr="00BB2953">
        <w:rPr>
          <w:rStyle w:val="FootnoteReference"/>
          <w:sz w:val="20"/>
        </w:rPr>
        <w:footnoteRef/>
      </w:r>
      <w:r w:rsidRPr="00BB2953">
        <w:rPr>
          <w:sz w:val="20"/>
        </w:rPr>
        <w:t xml:space="preserve"> 47 CFR § 64.6100.</w:t>
      </w:r>
    </w:p>
  </w:footnote>
  <w:footnote w:id="11">
    <w:p w:rsidR="00060882" w:rsidRPr="00BB2953" w:rsidRDefault="00060882" w:rsidP="00DD36E4">
      <w:pPr>
        <w:pStyle w:val="FootnoteText"/>
        <w:spacing w:after="120"/>
        <w:rPr>
          <w:sz w:val="20"/>
        </w:rPr>
      </w:pPr>
      <w:r w:rsidRPr="00BB2953">
        <w:rPr>
          <w:rStyle w:val="FootnoteReference"/>
          <w:sz w:val="20"/>
        </w:rPr>
        <w:footnoteRef/>
      </w:r>
      <w:r w:rsidRPr="00BB2953">
        <w:rPr>
          <w:sz w:val="20"/>
        </w:rPr>
        <w:t xml:space="preserve"> Automated payments include payments by interactive voice response (IVR), web, or kiosk.</w:t>
      </w:r>
    </w:p>
  </w:footnote>
  <w:footnote w:id="12">
    <w:p w:rsidR="00060882" w:rsidRPr="00BB2953" w:rsidRDefault="00060882" w:rsidP="00DD36E4">
      <w:pPr>
        <w:pStyle w:val="FootnoteText"/>
        <w:spacing w:after="120"/>
        <w:rPr>
          <w:sz w:val="20"/>
        </w:rPr>
      </w:pPr>
      <w:r w:rsidRPr="00BB2953">
        <w:rPr>
          <w:rStyle w:val="FootnoteReference"/>
          <w:sz w:val="20"/>
        </w:rPr>
        <w:footnoteRef/>
      </w:r>
      <w:r w:rsidRPr="00BB2953">
        <w:rPr>
          <w:sz w:val="20"/>
        </w:rPr>
        <w:t xml:space="preserve"> </w:t>
      </w:r>
      <w:r w:rsidRPr="00BB2953">
        <w:rPr>
          <w:i/>
          <w:sz w:val="20"/>
        </w:rPr>
        <w:t xml:space="preserve">See </w:t>
      </w:r>
      <w:r w:rsidRPr="00BB2953">
        <w:rPr>
          <w:sz w:val="20"/>
        </w:rPr>
        <w:t xml:space="preserve">47 CFR § 64.6030 (stating that “[n]o Provider shall charge a rate for Collect Calling in excess of $0.25 per minute, or a rate for Debit Calling, Prepaid Calling, or Prepaid Collect Calling in excess of $0.21 per minute”).  Under the Commission’s rule as modified in the </w:t>
      </w:r>
      <w:r w:rsidRPr="00BB2953">
        <w:rPr>
          <w:i/>
          <w:sz w:val="20"/>
        </w:rPr>
        <w:t>2015 ICS Order</w:t>
      </w:r>
      <w:r w:rsidRPr="00BB2953">
        <w:rPr>
          <w:sz w:val="20"/>
        </w:rPr>
        <w:t xml:space="preserve">, the interim caps will “sunset upon the effectiveness of the rates established in section 64.6010.”  47 CFR § 64.6030.  The D.C. Circuit has, for the time being, stayed the rates established under section 64.6010.  </w:t>
      </w:r>
      <w:r w:rsidRPr="00BB2953">
        <w:rPr>
          <w:i/>
          <w:sz w:val="20"/>
        </w:rPr>
        <w:t xml:space="preserve">See March 7 Order </w:t>
      </w:r>
      <w:r w:rsidRPr="00BB2953">
        <w:rPr>
          <w:sz w:val="20"/>
        </w:rPr>
        <w:t xml:space="preserve">at 1-2.  Thus, the interim caps have not sunset.  Under the </w:t>
      </w:r>
      <w:r w:rsidRPr="00BB2953">
        <w:rPr>
          <w:i/>
          <w:sz w:val="20"/>
        </w:rPr>
        <w:t>March 23 Order</w:t>
      </w:r>
      <w:r w:rsidRPr="00BB2953">
        <w:rPr>
          <w:sz w:val="20"/>
        </w:rPr>
        <w:t>, however, the interim caps are stayed as applied to intrastate ICS.</w:t>
      </w:r>
    </w:p>
  </w:footnote>
  <w:footnote w:id="13">
    <w:p w:rsidR="00EA7432" w:rsidRPr="00BB2953" w:rsidRDefault="00EA7432" w:rsidP="00DD36E4">
      <w:pPr>
        <w:pStyle w:val="FootnoteText"/>
        <w:spacing w:after="120"/>
        <w:rPr>
          <w:sz w:val="20"/>
        </w:rPr>
      </w:pPr>
      <w:r w:rsidRPr="00BB2953">
        <w:rPr>
          <w:rStyle w:val="FootnoteReference"/>
          <w:sz w:val="20"/>
        </w:rPr>
        <w:footnoteRef/>
      </w:r>
      <w:r w:rsidRPr="00BB2953">
        <w:rPr>
          <w:sz w:val="20"/>
        </w:rPr>
        <w:t xml:space="preserve"> 47 CFR § 64.6060 (imposing annual reporting and certification requirements); 47 CFR § 64.6110 (requiring disclosure of ICS rates). </w:t>
      </w:r>
    </w:p>
  </w:footnote>
  <w:footnote w:id="14">
    <w:p w:rsidR="00EA7432" w:rsidRPr="00BB2953" w:rsidRDefault="00EA7432" w:rsidP="00DD36E4">
      <w:pPr>
        <w:pStyle w:val="FootnoteText"/>
        <w:spacing w:after="120"/>
        <w:rPr>
          <w:sz w:val="20"/>
        </w:rPr>
      </w:pPr>
      <w:r w:rsidRPr="00BB2953">
        <w:rPr>
          <w:rStyle w:val="FootnoteReference"/>
          <w:sz w:val="20"/>
        </w:rPr>
        <w:footnoteRef/>
      </w:r>
      <w:r w:rsidRPr="00BB2953">
        <w:rPr>
          <w:sz w:val="20"/>
        </w:rPr>
        <w:t xml:space="preserve"> </w:t>
      </w:r>
      <w:r w:rsidRPr="00BB2953">
        <w:rPr>
          <w:i/>
          <w:sz w:val="20"/>
        </w:rPr>
        <w:t>2015 ICS Order</w:t>
      </w:r>
      <w:r w:rsidRPr="00BB2953">
        <w:rPr>
          <w:sz w:val="20"/>
        </w:rPr>
        <w:t xml:space="preserve">, 30 FCC Rcd at 12918, para. 338. </w:t>
      </w:r>
    </w:p>
  </w:footnote>
  <w:footnote w:id="15">
    <w:p w:rsidR="00EA7432" w:rsidRPr="00BB2953" w:rsidRDefault="00EA7432" w:rsidP="00DD36E4">
      <w:pPr>
        <w:pStyle w:val="FootnoteText"/>
        <w:spacing w:after="120"/>
        <w:rPr>
          <w:sz w:val="20"/>
        </w:rPr>
      </w:pPr>
      <w:r w:rsidRPr="00BB2953">
        <w:rPr>
          <w:rStyle w:val="FootnoteReference"/>
          <w:sz w:val="20"/>
        </w:rPr>
        <w:footnoteRef/>
      </w:r>
      <w:r w:rsidRPr="00BB2953">
        <w:rPr>
          <w:sz w:val="20"/>
        </w:rPr>
        <w:t xml:space="preserve"> </w:t>
      </w:r>
      <w:r w:rsidRPr="00BB2953">
        <w:rPr>
          <w:i/>
          <w:sz w:val="20"/>
        </w:rPr>
        <w:t xml:space="preserve">See id. </w:t>
      </w:r>
      <w:r w:rsidRPr="00BB2953">
        <w:rPr>
          <w:sz w:val="20"/>
        </w:rPr>
        <w:t xml:space="preserve">at 12862, 12918-19, paras. 198, 336, 339.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90" w:rsidRDefault="00CD2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90" w:rsidRDefault="00CD2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32" w:rsidRDefault="00EA743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1E9677E6" wp14:editId="0D826E5A">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EA7432" w:rsidRDefault="00EA743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5FD02439" wp14:editId="4F0A7B05">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97CB5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601E4043" wp14:editId="0394353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432" w:rsidRDefault="00EA7432">
                          <w:pPr>
                            <w:rPr>
                              <w:rFonts w:ascii="Arial" w:hAnsi="Arial"/>
                              <w:b/>
                            </w:rPr>
                          </w:pPr>
                          <w:r>
                            <w:rPr>
                              <w:rFonts w:ascii="Arial" w:hAnsi="Arial"/>
                              <w:b/>
                            </w:rPr>
                            <w:t>Federal Communications Commission</w:t>
                          </w:r>
                        </w:p>
                        <w:p w:rsidR="00EA7432" w:rsidRDefault="00EA743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A7432" w:rsidRDefault="00EA743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1E4043"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EA7432" w:rsidRDefault="00EA7432">
                    <w:pPr>
                      <w:rPr>
                        <w:rFonts w:ascii="Arial" w:hAnsi="Arial"/>
                        <w:b/>
                      </w:rPr>
                    </w:pPr>
                    <w:r>
                      <w:rPr>
                        <w:rFonts w:ascii="Arial" w:hAnsi="Arial"/>
                        <w:b/>
                      </w:rPr>
                      <w:t>Federal Communications Commission</w:t>
                    </w:r>
                  </w:p>
                  <w:p w:rsidR="00EA7432" w:rsidRDefault="00EA743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A7432" w:rsidRDefault="00EA7432">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67C94D06" wp14:editId="309CD02C">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432" w:rsidRDefault="00EA7432">
                          <w:pPr>
                            <w:spacing w:before="40"/>
                            <w:jc w:val="right"/>
                            <w:rPr>
                              <w:rFonts w:ascii="Arial" w:hAnsi="Arial"/>
                              <w:b/>
                              <w:sz w:val="16"/>
                            </w:rPr>
                          </w:pPr>
                          <w:r>
                            <w:rPr>
                              <w:rFonts w:ascii="Arial" w:hAnsi="Arial"/>
                              <w:b/>
                              <w:sz w:val="16"/>
                            </w:rPr>
                            <w:t>News Media Information 202 / 418-0500</w:t>
                          </w:r>
                        </w:p>
                        <w:p w:rsidR="00EA7432" w:rsidRDefault="00EA7432">
                          <w:pPr>
                            <w:jc w:val="right"/>
                            <w:rPr>
                              <w:rFonts w:ascii="Arial" w:hAnsi="Arial"/>
                              <w:b/>
                              <w:sz w:val="16"/>
                            </w:rPr>
                          </w:pPr>
                          <w:r>
                            <w:rPr>
                              <w:rFonts w:ascii="Arial" w:hAnsi="Arial"/>
                              <w:b/>
                              <w:sz w:val="16"/>
                            </w:rPr>
                            <w:tab/>
                            <w:t>Internet: http://www.fcc.gov</w:t>
                          </w:r>
                        </w:p>
                        <w:p w:rsidR="00EA7432" w:rsidRDefault="00EA7432">
                          <w:pPr>
                            <w:jc w:val="right"/>
                            <w:rPr>
                              <w:rFonts w:ascii="Arial" w:hAnsi="Arial"/>
                              <w:b/>
                              <w:sz w:val="16"/>
                            </w:rPr>
                          </w:pPr>
                          <w:r>
                            <w:rPr>
                              <w:rFonts w:ascii="Arial" w:hAnsi="Arial"/>
                              <w:b/>
                              <w:sz w:val="16"/>
                            </w:rPr>
                            <w:t>TTY: 1-888-835-5322</w:t>
                          </w:r>
                        </w:p>
                        <w:p w:rsidR="00EA7432" w:rsidRDefault="00EA743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C94D06" id="Text Box 5" o:spid="_x0000_s1027" type="#_x0000_t202" style="position:absolute;left:0;text-align:left;margin-left:301.5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EA7432" w:rsidRDefault="00EA7432">
                    <w:pPr>
                      <w:spacing w:before="40"/>
                      <w:jc w:val="right"/>
                      <w:rPr>
                        <w:rFonts w:ascii="Arial" w:hAnsi="Arial"/>
                        <w:b/>
                        <w:sz w:val="16"/>
                      </w:rPr>
                    </w:pPr>
                    <w:r>
                      <w:rPr>
                        <w:rFonts w:ascii="Arial" w:hAnsi="Arial"/>
                        <w:b/>
                        <w:sz w:val="16"/>
                      </w:rPr>
                      <w:t>News Media Information 202 / 418-0500</w:t>
                    </w:r>
                  </w:p>
                  <w:p w:rsidR="00EA7432" w:rsidRDefault="00EA7432">
                    <w:pPr>
                      <w:jc w:val="right"/>
                      <w:rPr>
                        <w:rFonts w:ascii="Arial" w:hAnsi="Arial"/>
                        <w:b/>
                        <w:sz w:val="16"/>
                      </w:rPr>
                    </w:pPr>
                    <w:r>
                      <w:rPr>
                        <w:rFonts w:ascii="Arial" w:hAnsi="Arial"/>
                        <w:b/>
                        <w:sz w:val="16"/>
                      </w:rPr>
                      <w:tab/>
                      <w:t>Internet: http://www.fcc.gov</w:t>
                    </w:r>
                  </w:p>
                  <w:p w:rsidR="00EA7432" w:rsidRDefault="00EA7432">
                    <w:pPr>
                      <w:jc w:val="right"/>
                      <w:rPr>
                        <w:rFonts w:ascii="Arial" w:hAnsi="Arial"/>
                        <w:b/>
                        <w:sz w:val="16"/>
                      </w:rPr>
                    </w:pPr>
                    <w:r>
                      <w:rPr>
                        <w:rFonts w:ascii="Arial" w:hAnsi="Arial"/>
                        <w:b/>
                        <w:sz w:val="16"/>
                      </w:rPr>
                      <w:t>TTY: 1-888-835-5322</w:t>
                    </w:r>
                  </w:p>
                  <w:p w:rsidR="00EA7432" w:rsidRDefault="00EA7432">
                    <w:pPr>
                      <w:jc w:val="right"/>
                    </w:pPr>
                  </w:p>
                </w:txbxContent>
              </v:textbox>
            </v:shape>
          </w:pict>
        </mc:Fallback>
      </mc:AlternateContent>
    </w:r>
  </w:p>
  <w:p w:rsidR="00EA7432" w:rsidRDefault="00EA7432">
    <w:pPr>
      <w:pStyle w:val="Header"/>
      <w:tabs>
        <w:tab w:val="clear" w:pos="4320"/>
        <w:tab w:val="clear" w:pos="8640"/>
        <w:tab w:val="left" w:pos="1080"/>
      </w:tabs>
      <w:ind w:left="720"/>
      <w:rPr>
        <w:rFonts w:ascii="Arial" w:hAnsi="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32"/>
    <w:rsid w:val="000338A0"/>
    <w:rsid w:val="00060882"/>
    <w:rsid w:val="000860E4"/>
    <w:rsid w:val="000F543F"/>
    <w:rsid w:val="001676FA"/>
    <w:rsid w:val="004E2A62"/>
    <w:rsid w:val="0056096E"/>
    <w:rsid w:val="00A0186E"/>
    <w:rsid w:val="00A26FA7"/>
    <w:rsid w:val="00BB1221"/>
    <w:rsid w:val="00BB2953"/>
    <w:rsid w:val="00BC07A3"/>
    <w:rsid w:val="00CD2B90"/>
    <w:rsid w:val="00CE3A04"/>
    <w:rsid w:val="00DA1477"/>
    <w:rsid w:val="00DD36E4"/>
    <w:rsid w:val="00EA7432"/>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3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A7432"/>
    <w:pPr>
      <w:tabs>
        <w:tab w:val="center" w:pos="4320"/>
        <w:tab w:val="right" w:pos="8640"/>
      </w:tabs>
    </w:pPr>
  </w:style>
  <w:style w:type="character" w:customStyle="1" w:styleId="HeaderChar">
    <w:name w:val="Header Char"/>
    <w:basedOn w:val="DefaultParagraphFont"/>
    <w:link w:val="Header"/>
    <w:semiHidden/>
    <w:rsid w:val="00EA7432"/>
    <w:rPr>
      <w:rFonts w:ascii="Times New Roman" w:eastAsia="Times New Roman" w:hAnsi="Times New Roman" w:cs="Times New Roman"/>
      <w:szCs w:val="20"/>
    </w:rPr>
  </w:style>
  <w:style w:type="character" w:styleId="Hyperlink">
    <w:name w:val="Hyperlink"/>
    <w:semiHidden/>
    <w:rsid w:val="00EA7432"/>
    <w:rPr>
      <w:color w:val="0000FF"/>
      <w:u w:val="single"/>
    </w:rPr>
  </w:style>
  <w:style w:type="character" w:styleId="FootnoteReference">
    <w:name w:val="footnote reference"/>
    <w:aliases w:val="Style 12,(NECG) Footnote Reference,Style 13,Appel note de bas de p,Style 124,fr,o,Style 3,FR,Style 17,Footnote Reference/,Style 6,Style 7,Style 4,Footnote Reference1,Style 34,Style 9"/>
    <w:rsid w:val="00EA7432"/>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
    <w:basedOn w:val="Normal"/>
    <w:link w:val="FootnoteTextChar"/>
    <w:rsid w:val="00EA7432"/>
    <w:pPr>
      <w:tabs>
        <w:tab w:val="left" w:pos="720"/>
      </w:tabs>
      <w:spacing w:after="200"/>
    </w:p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EA7432"/>
    <w:rPr>
      <w:rFonts w:ascii="Times New Roman" w:eastAsia="Times New Roman" w:hAnsi="Times New Roman" w:cs="Times New Roman"/>
      <w:szCs w:val="20"/>
    </w:rPr>
  </w:style>
  <w:style w:type="paragraph" w:styleId="Footer">
    <w:name w:val="footer"/>
    <w:basedOn w:val="Normal"/>
    <w:link w:val="FooterChar"/>
    <w:uiPriority w:val="99"/>
    <w:unhideWhenUsed/>
    <w:rsid w:val="001676FA"/>
    <w:pPr>
      <w:tabs>
        <w:tab w:val="center" w:pos="4680"/>
        <w:tab w:val="right" w:pos="9360"/>
      </w:tabs>
    </w:pPr>
  </w:style>
  <w:style w:type="character" w:customStyle="1" w:styleId="FooterChar">
    <w:name w:val="Footer Char"/>
    <w:basedOn w:val="DefaultParagraphFont"/>
    <w:link w:val="Footer"/>
    <w:uiPriority w:val="99"/>
    <w:rsid w:val="001676FA"/>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3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A7432"/>
    <w:pPr>
      <w:tabs>
        <w:tab w:val="center" w:pos="4320"/>
        <w:tab w:val="right" w:pos="8640"/>
      </w:tabs>
    </w:pPr>
  </w:style>
  <w:style w:type="character" w:customStyle="1" w:styleId="HeaderChar">
    <w:name w:val="Header Char"/>
    <w:basedOn w:val="DefaultParagraphFont"/>
    <w:link w:val="Header"/>
    <w:semiHidden/>
    <w:rsid w:val="00EA7432"/>
    <w:rPr>
      <w:rFonts w:ascii="Times New Roman" w:eastAsia="Times New Roman" w:hAnsi="Times New Roman" w:cs="Times New Roman"/>
      <w:szCs w:val="20"/>
    </w:rPr>
  </w:style>
  <w:style w:type="character" w:styleId="Hyperlink">
    <w:name w:val="Hyperlink"/>
    <w:semiHidden/>
    <w:rsid w:val="00EA7432"/>
    <w:rPr>
      <w:color w:val="0000FF"/>
      <w:u w:val="single"/>
    </w:rPr>
  </w:style>
  <w:style w:type="character" w:styleId="FootnoteReference">
    <w:name w:val="footnote reference"/>
    <w:aliases w:val="Style 12,(NECG) Footnote Reference,Style 13,Appel note de bas de p,Style 124,fr,o,Style 3,FR,Style 17,Footnote Reference/,Style 6,Style 7,Style 4,Footnote Reference1,Style 34,Style 9"/>
    <w:rsid w:val="00EA7432"/>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
    <w:basedOn w:val="Normal"/>
    <w:link w:val="FootnoteTextChar"/>
    <w:rsid w:val="00EA7432"/>
    <w:pPr>
      <w:tabs>
        <w:tab w:val="left" w:pos="720"/>
      </w:tabs>
      <w:spacing w:after="200"/>
    </w:p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EA7432"/>
    <w:rPr>
      <w:rFonts w:ascii="Times New Roman" w:eastAsia="Times New Roman" w:hAnsi="Times New Roman" w:cs="Times New Roman"/>
      <w:szCs w:val="20"/>
    </w:rPr>
  </w:style>
  <w:style w:type="paragraph" w:styleId="Footer">
    <w:name w:val="footer"/>
    <w:basedOn w:val="Normal"/>
    <w:link w:val="FooterChar"/>
    <w:uiPriority w:val="99"/>
    <w:unhideWhenUsed/>
    <w:rsid w:val="001676FA"/>
    <w:pPr>
      <w:tabs>
        <w:tab w:val="center" w:pos="4680"/>
        <w:tab w:val="right" w:pos="9360"/>
      </w:tabs>
    </w:pPr>
  </w:style>
  <w:style w:type="character" w:customStyle="1" w:styleId="FooterChar">
    <w:name w:val="Footer Char"/>
    <w:basedOn w:val="DefaultParagraphFont"/>
    <w:link w:val="Footer"/>
    <w:uiPriority w:val="99"/>
    <w:rsid w:val="001676F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hristine.sanquist@fcc.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2797</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2016-03-29T21:17:00Z</dcterms:created>
  <dcterms:modified xsi:type="dcterms:W3CDTF">2016-03-29T21:17:00Z</dcterms:modified>
  <cp:category> </cp:category>
  <cp:contentStatus> </cp:contentStatus>
</cp:coreProperties>
</file>