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21" w:rsidRDefault="00732221" w:rsidP="00732221">
      <w:pPr>
        <w:jc w:val="right"/>
        <w:rPr>
          <w:b/>
          <w:szCs w:val="22"/>
        </w:rPr>
      </w:pPr>
      <w:bookmarkStart w:id="0" w:name="_GoBack"/>
      <w:bookmarkEnd w:id="0"/>
      <w:r>
        <w:rPr>
          <w:b/>
          <w:szCs w:val="22"/>
        </w:rPr>
        <w:t>DA 1</w:t>
      </w:r>
      <w:r w:rsidR="00160608">
        <w:rPr>
          <w:b/>
          <w:szCs w:val="22"/>
        </w:rPr>
        <w:t>6</w:t>
      </w:r>
      <w:r>
        <w:rPr>
          <w:b/>
          <w:szCs w:val="22"/>
        </w:rPr>
        <w:t>-</w:t>
      </w:r>
      <w:r w:rsidR="0043785D">
        <w:rPr>
          <w:b/>
          <w:szCs w:val="22"/>
        </w:rPr>
        <w:t>341</w:t>
      </w:r>
    </w:p>
    <w:p w:rsidR="00732221" w:rsidRDefault="00732221" w:rsidP="00732221">
      <w:pPr>
        <w:jc w:val="right"/>
        <w:rPr>
          <w:b/>
          <w:caps/>
          <w:szCs w:val="22"/>
        </w:rPr>
      </w:pPr>
      <w:r>
        <w:rPr>
          <w:b/>
          <w:szCs w:val="22"/>
        </w:rPr>
        <w:t xml:space="preserve">Released:  March </w:t>
      </w:r>
      <w:r w:rsidR="002F661D">
        <w:rPr>
          <w:b/>
          <w:szCs w:val="22"/>
        </w:rPr>
        <w:t>31</w:t>
      </w:r>
      <w:r>
        <w:rPr>
          <w:b/>
          <w:szCs w:val="22"/>
        </w:rPr>
        <w:t>, 201</w:t>
      </w:r>
      <w:r w:rsidR="00160608">
        <w:rPr>
          <w:b/>
          <w:szCs w:val="22"/>
        </w:rPr>
        <w:t>6</w:t>
      </w:r>
    </w:p>
    <w:p w:rsidR="00732221" w:rsidRDefault="00732221" w:rsidP="00A274D7">
      <w:pPr>
        <w:spacing w:after="240"/>
        <w:rPr>
          <w:b/>
          <w:caps/>
          <w:szCs w:val="22"/>
        </w:rPr>
      </w:pPr>
    </w:p>
    <w:p w:rsidR="00732221" w:rsidRDefault="00732221" w:rsidP="00732221">
      <w:pPr>
        <w:jc w:val="center"/>
        <w:rPr>
          <w:b/>
          <w:caps/>
          <w:szCs w:val="22"/>
        </w:rPr>
      </w:pPr>
      <w:r>
        <w:rPr>
          <w:b/>
          <w:caps/>
          <w:szCs w:val="22"/>
        </w:rPr>
        <w:t xml:space="preserve">Consumer AND Governmental Affairs Bureau Seeks Comment on </w:t>
      </w:r>
    </w:p>
    <w:p w:rsidR="00833EA1" w:rsidRDefault="00732221" w:rsidP="00980A53">
      <w:pPr>
        <w:jc w:val="center"/>
        <w:rPr>
          <w:b/>
          <w:caps/>
          <w:szCs w:val="22"/>
        </w:rPr>
      </w:pPr>
      <w:r>
        <w:rPr>
          <w:b/>
          <w:caps/>
          <w:szCs w:val="22"/>
        </w:rPr>
        <w:t xml:space="preserve">petition for declaratory ruling filed by </w:t>
      </w:r>
      <w:r w:rsidR="00160608">
        <w:rPr>
          <w:b/>
          <w:caps/>
          <w:szCs w:val="22"/>
        </w:rPr>
        <w:t>Todd C. Bank</w:t>
      </w:r>
      <w:r w:rsidR="00833EA1">
        <w:rPr>
          <w:b/>
          <w:caps/>
          <w:szCs w:val="22"/>
        </w:rPr>
        <w:t xml:space="preserve"> </w:t>
      </w:r>
    </w:p>
    <w:p w:rsidR="00833EA1" w:rsidRDefault="00833EA1" w:rsidP="00833EA1">
      <w:pPr>
        <w:jc w:val="center"/>
        <w:rPr>
          <w:b/>
          <w:caps/>
          <w:szCs w:val="22"/>
        </w:rPr>
      </w:pPr>
      <w:r>
        <w:rPr>
          <w:b/>
          <w:caps/>
          <w:szCs w:val="22"/>
        </w:rPr>
        <w:t xml:space="preserve">REGARDING </w:t>
      </w:r>
      <w:r w:rsidR="00892EB9">
        <w:rPr>
          <w:b/>
          <w:caps/>
          <w:szCs w:val="22"/>
        </w:rPr>
        <w:t>THE TCPA’S PROVISION CONCERNING PRERECORDED CALLS</w:t>
      </w:r>
    </w:p>
    <w:p w:rsidR="00732221" w:rsidRDefault="00732221" w:rsidP="00732221">
      <w:pPr>
        <w:jc w:val="center"/>
        <w:rPr>
          <w:b/>
          <w:caps/>
          <w:szCs w:val="22"/>
        </w:rPr>
      </w:pPr>
    </w:p>
    <w:p w:rsidR="00732221" w:rsidRDefault="00732221" w:rsidP="00732221">
      <w:pPr>
        <w:spacing w:after="240"/>
        <w:jc w:val="center"/>
        <w:rPr>
          <w:b/>
          <w:szCs w:val="22"/>
        </w:rPr>
      </w:pPr>
      <w:r>
        <w:rPr>
          <w:b/>
          <w:szCs w:val="22"/>
        </w:rPr>
        <w:t>CG Docket No. 02-278</w:t>
      </w:r>
    </w:p>
    <w:p w:rsidR="00732221" w:rsidRDefault="00732221" w:rsidP="00732221">
      <w:pPr>
        <w:jc w:val="center"/>
        <w:rPr>
          <w:szCs w:val="22"/>
        </w:rPr>
      </w:pPr>
    </w:p>
    <w:p w:rsidR="00732221" w:rsidRDefault="00732221" w:rsidP="00732221">
      <w:pPr>
        <w:pStyle w:val="Heading3"/>
        <w:numPr>
          <w:ilvl w:val="0"/>
          <w:numId w:val="0"/>
        </w:numPr>
        <w:spacing w:after="0"/>
        <w:rPr>
          <w:szCs w:val="22"/>
        </w:rPr>
      </w:pPr>
      <w:r>
        <w:rPr>
          <w:szCs w:val="22"/>
        </w:rPr>
        <w:t>Comment Date</w:t>
      </w:r>
      <w:r>
        <w:rPr>
          <w:b w:val="0"/>
          <w:szCs w:val="22"/>
        </w:rPr>
        <w:t>:</w:t>
      </w:r>
      <w:r w:rsidR="00C550D2">
        <w:rPr>
          <w:szCs w:val="22"/>
        </w:rPr>
        <w:t xml:space="preserve">  May 2</w:t>
      </w:r>
      <w:r w:rsidR="00160608">
        <w:rPr>
          <w:szCs w:val="22"/>
        </w:rPr>
        <w:t>, 2016</w:t>
      </w:r>
    </w:p>
    <w:p w:rsidR="00732221" w:rsidRPr="0049075F" w:rsidRDefault="00732221" w:rsidP="00732221">
      <w:pPr>
        <w:spacing w:after="240"/>
        <w:rPr>
          <w:b/>
        </w:rPr>
      </w:pPr>
      <w:r>
        <w:rPr>
          <w:b/>
        </w:rPr>
        <w:t>Reply Comment Date</w:t>
      </w:r>
      <w:r>
        <w:t>:</w:t>
      </w:r>
      <w:r w:rsidR="00C550D2">
        <w:rPr>
          <w:b/>
        </w:rPr>
        <w:t xml:space="preserve"> May 17</w:t>
      </w:r>
      <w:r w:rsidR="00160608">
        <w:rPr>
          <w:b/>
        </w:rPr>
        <w:t>, 2016</w:t>
      </w:r>
      <w:r>
        <w:rPr>
          <w:b/>
        </w:rPr>
        <w:t xml:space="preserve"> </w:t>
      </w:r>
    </w:p>
    <w:p w:rsidR="009A2A4D" w:rsidRDefault="00732221" w:rsidP="00732221">
      <w:pPr>
        <w:autoSpaceDE w:val="0"/>
        <w:autoSpaceDN w:val="0"/>
        <w:adjustRightInd w:val="0"/>
        <w:spacing w:after="240"/>
        <w:ind w:firstLine="720"/>
        <w:rPr>
          <w:szCs w:val="22"/>
        </w:rPr>
      </w:pPr>
      <w:r>
        <w:rPr>
          <w:szCs w:val="22"/>
        </w:rPr>
        <w:t xml:space="preserve">With this Public Notice, we seek comment on </w:t>
      </w:r>
      <w:r w:rsidRPr="00156B05">
        <w:rPr>
          <w:szCs w:val="22"/>
        </w:rPr>
        <w:t xml:space="preserve">a petition </w:t>
      </w:r>
      <w:r w:rsidR="00A45FA6">
        <w:rPr>
          <w:szCs w:val="22"/>
        </w:rPr>
        <w:t xml:space="preserve">for declaratory ruling </w:t>
      </w:r>
      <w:r>
        <w:rPr>
          <w:szCs w:val="22"/>
        </w:rPr>
        <w:t xml:space="preserve">filed by </w:t>
      </w:r>
      <w:r w:rsidR="0011352E">
        <w:rPr>
          <w:szCs w:val="22"/>
        </w:rPr>
        <w:t>Todd C. Bank</w:t>
      </w:r>
      <w:r>
        <w:rPr>
          <w:szCs w:val="22"/>
        </w:rPr>
        <w:t xml:space="preserve"> </w:t>
      </w:r>
      <w:r w:rsidRPr="00C9106B">
        <w:rPr>
          <w:szCs w:val="22"/>
        </w:rPr>
        <w:t>(</w:t>
      </w:r>
      <w:r w:rsidR="0011352E">
        <w:rPr>
          <w:szCs w:val="22"/>
        </w:rPr>
        <w:t>Bank</w:t>
      </w:r>
      <w:r w:rsidRPr="00C9106B">
        <w:rPr>
          <w:szCs w:val="22"/>
        </w:rPr>
        <w:t>)</w:t>
      </w:r>
      <w:r w:rsidR="000B21D6">
        <w:rPr>
          <w:rStyle w:val="FootnoteReference"/>
          <w:szCs w:val="22"/>
        </w:rPr>
        <w:footnoteReference w:id="2"/>
      </w:r>
      <w:r>
        <w:rPr>
          <w:szCs w:val="22"/>
        </w:rPr>
        <w:t xml:space="preserve"> </w:t>
      </w:r>
      <w:r w:rsidR="00A45FA6">
        <w:rPr>
          <w:szCs w:val="22"/>
        </w:rPr>
        <w:t xml:space="preserve">asking the Commission to </w:t>
      </w:r>
      <w:r w:rsidR="00350DA0">
        <w:rPr>
          <w:szCs w:val="22"/>
        </w:rPr>
        <w:t xml:space="preserve">clarify </w:t>
      </w:r>
      <w:r w:rsidR="00C80C52">
        <w:t xml:space="preserve">whether a telephone line in a home that is used for business purposes can be considered a </w:t>
      </w:r>
      <w:r w:rsidR="000B21D6">
        <w:rPr>
          <w:szCs w:val="22"/>
        </w:rPr>
        <w:t xml:space="preserve">“residential” </w:t>
      </w:r>
      <w:r w:rsidR="00C87ED0">
        <w:rPr>
          <w:szCs w:val="22"/>
        </w:rPr>
        <w:t xml:space="preserve">line </w:t>
      </w:r>
      <w:r w:rsidR="000B21D6">
        <w:rPr>
          <w:szCs w:val="22"/>
        </w:rPr>
        <w:t>under the Telephone Consumer Protection Act (</w:t>
      </w:r>
      <w:r w:rsidR="00350DA0">
        <w:rPr>
          <w:szCs w:val="22"/>
        </w:rPr>
        <w:t>TCPA</w:t>
      </w:r>
      <w:r w:rsidR="000B21D6">
        <w:rPr>
          <w:szCs w:val="22"/>
        </w:rPr>
        <w:t>)</w:t>
      </w:r>
      <w:r w:rsidR="00A52393">
        <w:rPr>
          <w:rStyle w:val="FootnoteReference"/>
          <w:szCs w:val="22"/>
        </w:rPr>
        <w:footnoteReference w:id="3"/>
      </w:r>
      <w:r w:rsidR="00A52393">
        <w:rPr>
          <w:szCs w:val="22"/>
        </w:rPr>
        <w:t xml:space="preserve"> </w:t>
      </w:r>
      <w:r w:rsidR="00A45FA6">
        <w:rPr>
          <w:szCs w:val="22"/>
        </w:rPr>
        <w:t xml:space="preserve"> and the Commission’s implementing rules</w:t>
      </w:r>
      <w:r w:rsidR="000B21D6">
        <w:rPr>
          <w:szCs w:val="22"/>
        </w:rPr>
        <w:t>.</w:t>
      </w:r>
      <w:r w:rsidR="00833EA1">
        <w:rPr>
          <w:szCs w:val="22"/>
        </w:rPr>
        <w:t xml:space="preserve"> </w:t>
      </w:r>
      <w:r w:rsidR="00A52393">
        <w:rPr>
          <w:szCs w:val="22"/>
        </w:rPr>
        <w:t xml:space="preserve"> </w:t>
      </w:r>
      <w:r w:rsidR="000B21D6">
        <w:rPr>
          <w:szCs w:val="22"/>
        </w:rPr>
        <w:t>The Commission’s rule</w:t>
      </w:r>
      <w:r w:rsidR="0047018F">
        <w:rPr>
          <w:szCs w:val="22"/>
        </w:rPr>
        <w:t>s</w:t>
      </w:r>
      <w:r w:rsidR="00CC68ED">
        <w:rPr>
          <w:szCs w:val="22"/>
        </w:rPr>
        <w:t xml:space="preserve"> require in pertinent part </w:t>
      </w:r>
      <w:r w:rsidR="000B21D6">
        <w:rPr>
          <w:szCs w:val="22"/>
        </w:rPr>
        <w:t>that</w:t>
      </w:r>
      <w:r w:rsidR="00CC68ED">
        <w:rPr>
          <w:szCs w:val="22"/>
        </w:rPr>
        <w:t xml:space="preserve"> a caller obtain prior express consent from the called party before initiating </w:t>
      </w:r>
      <w:r w:rsidR="00833EA1">
        <w:rPr>
          <w:szCs w:val="22"/>
        </w:rPr>
        <w:t xml:space="preserve">a telemarketing call </w:t>
      </w:r>
      <w:r w:rsidR="00892EB9">
        <w:rPr>
          <w:szCs w:val="22"/>
        </w:rPr>
        <w:t xml:space="preserve">to a residential telephone line </w:t>
      </w:r>
      <w:r w:rsidR="00833EA1">
        <w:rPr>
          <w:szCs w:val="22"/>
        </w:rPr>
        <w:t>using a</w:t>
      </w:r>
      <w:r w:rsidR="00A45FA6">
        <w:rPr>
          <w:szCs w:val="22"/>
        </w:rPr>
        <w:t>n</w:t>
      </w:r>
      <w:r w:rsidR="00833EA1">
        <w:rPr>
          <w:szCs w:val="22"/>
        </w:rPr>
        <w:t xml:space="preserve"> artificial </w:t>
      </w:r>
      <w:r w:rsidR="00A45FA6">
        <w:rPr>
          <w:szCs w:val="22"/>
        </w:rPr>
        <w:t xml:space="preserve">or prerecorded </w:t>
      </w:r>
      <w:r w:rsidR="00833EA1">
        <w:rPr>
          <w:szCs w:val="22"/>
        </w:rPr>
        <w:t>voice.</w:t>
      </w:r>
      <w:r w:rsidR="00833EA1">
        <w:rPr>
          <w:rStyle w:val="FootnoteReference"/>
          <w:szCs w:val="22"/>
        </w:rPr>
        <w:footnoteReference w:id="4"/>
      </w:r>
    </w:p>
    <w:p w:rsidR="008A45B8" w:rsidRPr="006D1897" w:rsidRDefault="00CD761C" w:rsidP="006D1897">
      <w:pPr>
        <w:autoSpaceDE w:val="0"/>
        <w:autoSpaceDN w:val="0"/>
        <w:adjustRightInd w:val="0"/>
        <w:spacing w:after="240"/>
        <w:ind w:firstLine="720"/>
        <w:rPr>
          <w:szCs w:val="22"/>
        </w:rPr>
      </w:pPr>
      <w:r>
        <w:rPr>
          <w:szCs w:val="22"/>
        </w:rPr>
        <w:t>Bank is an attorney with a law practice based in his home.</w:t>
      </w:r>
      <w:r w:rsidR="004F2B29">
        <w:rPr>
          <w:rStyle w:val="FootnoteReference"/>
          <w:szCs w:val="22"/>
        </w:rPr>
        <w:footnoteReference w:id="5"/>
      </w:r>
      <w:r>
        <w:rPr>
          <w:szCs w:val="22"/>
        </w:rPr>
        <w:t xml:space="preserve">  The telephone number that Bank uses for his business is </w:t>
      </w:r>
      <w:r w:rsidR="004F2B29">
        <w:rPr>
          <w:szCs w:val="22"/>
        </w:rPr>
        <w:t xml:space="preserve">listed publicly as both a business and </w:t>
      </w:r>
      <w:r w:rsidR="00A52393">
        <w:rPr>
          <w:szCs w:val="22"/>
        </w:rPr>
        <w:t xml:space="preserve">a </w:t>
      </w:r>
      <w:r w:rsidR="004F2B29">
        <w:rPr>
          <w:szCs w:val="22"/>
        </w:rPr>
        <w:t>residential number</w:t>
      </w:r>
      <w:r>
        <w:rPr>
          <w:szCs w:val="22"/>
        </w:rPr>
        <w:t>.</w:t>
      </w:r>
      <w:r w:rsidR="004F2B29">
        <w:rPr>
          <w:rStyle w:val="FootnoteReference"/>
          <w:szCs w:val="22"/>
        </w:rPr>
        <w:footnoteReference w:id="6"/>
      </w:r>
      <w:r>
        <w:rPr>
          <w:szCs w:val="22"/>
        </w:rPr>
        <w:t xml:space="preserve">  </w:t>
      </w:r>
      <w:r w:rsidR="008A45B8" w:rsidRPr="006D1897">
        <w:t xml:space="preserve">Bank asks the Commission to clarify the scope of its rules to establish a “bright-line” test that when a telephone line is </w:t>
      </w:r>
      <w:r w:rsidR="008A45B8" w:rsidRPr="006D1897">
        <w:lastRenderedPageBreak/>
        <w:t>provided as “residential” service by the telephone service provider, it is subject to the Commission’s rules prohibiting calls using an artificial or prerecorded voice to a “residential line.”</w:t>
      </w:r>
      <w:r w:rsidR="006D1897">
        <w:rPr>
          <w:rStyle w:val="FootnoteReference"/>
        </w:rPr>
        <w:footnoteReference w:id="7"/>
      </w:r>
      <w:r w:rsidR="008A45B8" w:rsidRPr="006D1897">
        <w:t xml:space="preserve">  </w:t>
      </w:r>
    </w:p>
    <w:p w:rsidR="008A45B8" w:rsidRDefault="008A45B8" w:rsidP="006D1897">
      <w:pPr>
        <w:autoSpaceDE w:val="0"/>
        <w:autoSpaceDN w:val="0"/>
        <w:spacing w:after="240"/>
        <w:ind w:firstLine="720"/>
      </w:pPr>
      <w:r>
        <w:t>We seek comment on whether the Commission should</w:t>
      </w:r>
      <w:r w:rsidR="006D1897">
        <w:t>, as a matter of clarifying the statute and its rules,</w:t>
      </w:r>
      <w:r>
        <w:t xml:space="preserve"> (1) establish such a bright-line </w:t>
      </w:r>
      <w:r w:rsidR="006D1897">
        <w:t>test</w:t>
      </w:r>
      <w:r>
        <w:t xml:space="preserve"> for identifying a “residential line” under the prohibition against unconsented-to calls using</w:t>
      </w:r>
      <w:r w:rsidR="001E56DB">
        <w:t xml:space="preserve"> an artificial or pre-recorded </w:t>
      </w:r>
      <w:r>
        <w:t>voic</w:t>
      </w:r>
      <w:r w:rsidR="00907358">
        <w:t>e, (2) </w:t>
      </w:r>
      <w:r w:rsidR="009F7041">
        <w:t>adopt some other bright-</w:t>
      </w:r>
      <w:r>
        <w:t xml:space="preserve">line test to identify such lines, or (3) identify some other method, </w:t>
      </w:r>
      <w:r w:rsidR="001E56DB">
        <w:t>such as</w:t>
      </w:r>
      <w:r>
        <w:t xml:space="preserve"> a multi-factor analysis, for determining whether a telephone line is a “residential line” for purposes of the artificial/prerecorded voice call prohibition.  </w:t>
      </w:r>
      <w:r w:rsidR="00BB0382">
        <w:t>W</w:t>
      </w:r>
      <w:r w:rsidR="00C80C52">
        <w:t>e seek comment on which factors should be considered by the Commission</w:t>
      </w:r>
      <w:r w:rsidR="00BB0382">
        <w:t xml:space="preserve"> were it to adopt a multi-factor approach</w:t>
      </w:r>
      <w:r w:rsidR="00C80C52">
        <w:t xml:space="preserve">.  </w:t>
      </w:r>
      <w:r>
        <w:t xml:space="preserve">We also seek comment on any other issues raised in the </w:t>
      </w:r>
      <w:r>
        <w:rPr>
          <w:i/>
          <w:iCs/>
        </w:rPr>
        <w:t>Petition</w:t>
      </w:r>
      <w:r>
        <w:t xml:space="preserve">.  </w:t>
      </w:r>
    </w:p>
    <w:p w:rsidR="00732221" w:rsidRDefault="00732221" w:rsidP="00732221">
      <w:pPr>
        <w:autoSpaceDE w:val="0"/>
        <w:autoSpaceDN w:val="0"/>
        <w:adjustRightInd w:val="0"/>
        <w:ind w:firstLine="720"/>
        <w:rPr>
          <w:szCs w:val="22"/>
        </w:rPr>
      </w:pPr>
      <w:r>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szCs w:val="22"/>
        </w:rPr>
        <w:t>See</w:t>
      </w:r>
      <w:r>
        <w:rPr>
          <w:szCs w:val="22"/>
        </w:rPr>
        <w:t xml:space="preserve"> Electronic Filing of Documents in Rulemaking Proceedings, 63 FR 24121 (1998).</w:t>
      </w:r>
    </w:p>
    <w:p w:rsidR="00732221" w:rsidRDefault="00732221" w:rsidP="00732221">
      <w:pPr>
        <w:autoSpaceDE w:val="0"/>
        <w:autoSpaceDN w:val="0"/>
        <w:adjustRightInd w:val="0"/>
        <w:ind w:firstLine="720"/>
        <w:rPr>
          <w:szCs w:val="22"/>
        </w:rPr>
      </w:pPr>
    </w:p>
    <w:p w:rsidR="00732221" w:rsidRDefault="00732221" w:rsidP="00732221">
      <w:pPr>
        <w:numPr>
          <w:ilvl w:val="0"/>
          <w:numId w:val="19"/>
        </w:numPr>
        <w:autoSpaceDE w:val="0"/>
        <w:autoSpaceDN w:val="0"/>
        <w:adjustRightInd w:val="0"/>
        <w:rPr>
          <w:szCs w:val="22"/>
        </w:rPr>
      </w:pPr>
      <w:r>
        <w:rPr>
          <w:szCs w:val="22"/>
        </w:rPr>
        <w:t xml:space="preserve">Electronic Filers:  Comments may be filed electronically using the Internet by accessing the ECFS:  http://fjallfoss.fcc.gov/ecfs2/.  </w:t>
      </w:r>
    </w:p>
    <w:p w:rsidR="00732221" w:rsidRDefault="00732221" w:rsidP="00732221">
      <w:pPr>
        <w:numPr>
          <w:ilvl w:val="0"/>
          <w:numId w:val="19"/>
        </w:numPr>
        <w:autoSpaceDE w:val="0"/>
        <w:autoSpaceDN w:val="0"/>
        <w:adjustRightInd w:val="0"/>
        <w:rPr>
          <w:szCs w:val="22"/>
        </w:rPr>
      </w:pPr>
      <w:r>
        <w:rPr>
          <w:szCs w:val="22"/>
        </w:rPr>
        <w:t xml:space="preserve">Paper Filers:  Parties who choose to file by paper must file an original and one copy of each filing.  </w:t>
      </w:r>
    </w:p>
    <w:p w:rsidR="00732221" w:rsidRDefault="00732221" w:rsidP="00732221">
      <w:pPr>
        <w:numPr>
          <w:ilvl w:val="0"/>
          <w:numId w:val="19"/>
        </w:numPr>
        <w:autoSpaceDE w:val="0"/>
        <w:autoSpaceDN w:val="0"/>
        <w:adjustRightInd w:val="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32221" w:rsidRDefault="00732221" w:rsidP="00732221">
      <w:pPr>
        <w:numPr>
          <w:ilvl w:val="0"/>
          <w:numId w:val="19"/>
        </w:numPr>
        <w:autoSpaceDE w:val="0"/>
        <w:autoSpaceDN w:val="0"/>
        <w:adjustRightInd w:val="0"/>
        <w:rPr>
          <w:szCs w:val="22"/>
        </w:rPr>
      </w:pPr>
      <w:r>
        <w:rPr>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  </w:t>
      </w:r>
    </w:p>
    <w:p w:rsidR="00732221" w:rsidRDefault="00732221" w:rsidP="00732221">
      <w:pPr>
        <w:numPr>
          <w:ilvl w:val="0"/>
          <w:numId w:val="19"/>
        </w:numPr>
        <w:autoSpaceDE w:val="0"/>
        <w:autoSpaceDN w:val="0"/>
        <w:adjustRightInd w:val="0"/>
        <w:rPr>
          <w:szCs w:val="22"/>
        </w:rPr>
      </w:pPr>
      <w:r>
        <w:rPr>
          <w:szCs w:val="22"/>
        </w:rPr>
        <w:t>Commercial overnight mail (other than U.S. Postal Service Express Mail and Priority Mail) must be sent to 9300 East Hampton Drive, Capitol Heights, MD  20743.</w:t>
      </w:r>
    </w:p>
    <w:p w:rsidR="00732221" w:rsidRPr="00972530" w:rsidRDefault="00732221" w:rsidP="00732221">
      <w:pPr>
        <w:numPr>
          <w:ilvl w:val="0"/>
          <w:numId w:val="19"/>
        </w:numPr>
        <w:autoSpaceDE w:val="0"/>
        <w:autoSpaceDN w:val="0"/>
        <w:adjustRightInd w:val="0"/>
        <w:spacing w:after="240"/>
        <w:rPr>
          <w:szCs w:val="22"/>
        </w:rPr>
      </w:pPr>
      <w:r>
        <w:rPr>
          <w:szCs w:val="22"/>
        </w:rPr>
        <w:t>U.S. Postal Service first-class, Express, and Priority mail must be addressed to 445 12th Street, SW, Washington DC  20554.</w:t>
      </w:r>
    </w:p>
    <w:p w:rsidR="00732221" w:rsidRPr="00972530" w:rsidRDefault="00732221" w:rsidP="00732221">
      <w:pPr>
        <w:spacing w:after="240"/>
        <w:ind w:firstLine="720"/>
      </w:pPr>
      <w:r>
        <w:t xml:space="preserve">People with Disabilities:  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&amp; Governmental Affairs Bureau at 202-418-0530 (voice), 202-418-0432 (tty).</w:t>
      </w:r>
    </w:p>
    <w:p w:rsidR="00732221" w:rsidRPr="00972530" w:rsidRDefault="00732221" w:rsidP="00732221">
      <w:pPr>
        <w:spacing w:after="240"/>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8"/>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w:t>
      </w:r>
      <w:r>
        <w:lastRenderedPageBreak/>
        <w:t xml:space="preserve">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Pr>
          <w:szCs w:val="22"/>
        </w:rPr>
        <w:tab/>
      </w:r>
    </w:p>
    <w:p w:rsidR="00B071E4" w:rsidRDefault="00732221" w:rsidP="00B071E4">
      <w:pPr>
        <w:spacing w:after="240"/>
        <w:ind w:firstLine="720"/>
        <w:rPr>
          <w:szCs w:val="22"/>
        </w:rPr>
      </w:pPr>
      <w:r w:rsidRPr="004A244B">
        <w:rPr>
          <w:b/>
          <w:szCs w:val="22"/>
        </w:rPr>
        <w:t>FOR FURTHER INFORMATION CONTACT:</w:t>
      </w:r>
      <w:r w:rsidRPr="004A244B">
        <w:rPr>
          <w:szCs w:val="22"/>
        </w:rPr>
        <w:t xml:space="preserve">  </w:t>
      </w:r>
      <w:r>
        <w:rPr>
          <w:szCs w:val="22"/>
        </w:rPr>
        <w:t xml:space="preserve">Robert Finley, </w:t>
      </w:r>
      <w:r w:rsidRPr="004A244B">
        <w:rPr>
          <w:szCs w:val="22"/>
        </w:rPr>
        <w:t>Consumer and Governmental Affairs Bureau, Federal Communica</w:t>
      </w:r>
      <w:r>
        <w:rPr>
          <w:szCs w:val="22"/>
        </w:rPr>
        <w:t>tions Commission, (202) 418-7835</w:t>
      </w:r>
      <w:r w:rsidR="00B071E4">
        <w:rPr>
          <w:szCs w:val="22"/>
        </w:rPr>
        <w:t xml:space="preserve"> or </w:t>
      </w:r>
      <w:hyperlink r:id="rId9" w:history="1">
        <w:r w:rsidR="00B071E4" w:rsidRPr="00F021F0">
          <w:rPr>
            <w:rStyle w:val="Hyperlink"/>
            <w:szCs w:val="22"/>
          </w:rPr>
          <w:t>Robert.Finley@fcc.gov</w:t>
        </w:r>
      </w:hyperlink>
      <w:r w:rsidR="00B071E4">
        <w:rPr>
          <w:szCs w:val="22"/>
        </w:rPr>
        <w:t>.</w:t>
      </w:r>
    </w:p>
    <w:p w:rsidR="00732221" w:rsidRDefault="00732221" w:rsidP="00732221">
      <w:pPr>
        <w:jc w:val="center"/>
        <w:rPr>
          <w:b/>
          <w:sz w:val="24"/>
          <w:szCs w:val="24"/>
        </w:rPr>
      </w:pPr>
      <w:r>
        <w:rPr>
          <w:b/>
          <w:sz w:val="24"/>
          <w:szCs w:val="24"/>
        </w:rPr>
        <w:t>-FCC-</w:t>
      </w:r>
    </w:p>
    <w:p w:rsidR="00732221" w:rsidRPr="00732221" w:rsidRDefault="00732221" w:rsidP="00732221"/>
    <w:sectPr w:rsidR="00732221" w:rsidRPr="0073222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34" w:rsidRDefault="00260F34">
      <w:r>
        <w:separator/>
      </w:r>
    </w:p>
  </w:endnote>
  <w:endnote w:type="continuationSeparator" w:id="0">
    <w:p w:rsidR="00260F34" w:rsidRDefault="00260F34">
      <w:r>
        <w:continuationSeparator/>
      </w:r>
    </w:p>
  </w:endnote>
  <w:endnote w:type="continuationNotice" w:id="1">
    <w:p w:rsidR="00260F34" w:rsidRDefault="00260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95" w:rsidRDefault="00A62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495" w:rsidRDefault="00A62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95" w:rsidRDefault="00A62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A8C">
      <w:rPr>
        <w:rStyle w:val="PageNumber"/>
        <w:noProof/>
      </w:rPr>
      <w:t>2</w:t>
    </w:r>
    <w:r>
      <w:rPr>
        <w:rStyle w:val="PageNumber"/>
      </w:rPr>
      <w:fldChar w:fldCharType="end"/>
    </w:r>
  </w:p>
  <w:p w:rsidR="00A62495" w:rsidRDefault="00A62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DF" w:rsidRDefault="0036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34" w:rsidRDefault="00260F34">
      <w:r>
        <w:separator/>
      </w:r>
    </w:p>
  </w:footnote>
  <w:footnote w:type="continuationSeparator" w:id="0">
    <w:p w:rsidR="00260F34" w:rsidRDefault="00260F34">
      <w:r>
        <w:continuationSeparator/>
      </w:r>
    </w:p>
  </w:footnote>
  <w:footnote w:type="continuationNotice" w:id="1">
    <w:p w:rsidR="00260F34" w:rsidRDefault="00260F34"/>
  </w:footnote>
  <w:footnote w:id="2">
    <w:p w:rsidR="00A62495" w:rsidRPr="00A274D7" w:rsidRDefault="00A62495" w:rsidP="000B21D6">
      <w:pPr>
        <w:pStyle w:val="FootnoteText"/>
        <w:rPr>
          <w:sz w:val="20"/>
        </w:rPr>
      </w:pPr>
      <w:r w:rsidRPr="00A274D7">
        <w:rPr>
          <w:rStyle w:val="FootnoteReference"/>
          <w:sz w:val="20"/>
        </w:rPr>
        <w:footnoteRef/>
      </w:r>
      <w:r w:rsidRPr="00A274D7">
        <w:rPr>
          <w:sz w:val="20"/>
        </w:rPr>
        <w:t xml:space="preserve"> </w:t>
      </w:r>
      <w:r w:rsidRPr="00A274D7">
        <w:rPr>
          <w:i/>
          <w:sz w:val="20"/>
        </w:rPr>
        <w:t>See Petition for Declaratory Ruling to Clarify the Scope of Rule 64.1200(a)(2)</w:t>
      </w:r>
      <w:r w:rsidRPr="00A274D7">
        <w:rPr>
          <w:sz w:val="20"/>
        </w:rPr>
        <w:t>, CG Docket No. 02-278, filed by Todd C. Bank on Mar. 7, 2016 (</w:t>
      </w:r>
      <w:r w:rsidRPr="00A274D7">
        <w:rPr>
          <w:i/>
          <w:sz w:val="20"/>
        </w:rPr>
        <w:t>Petition</w:t>
      </w:r>
      <w:r w:rsidRPr="00A274D7">
        <w:rPr>
          <w:sz w:val="20"/>
        </w:rPr>
        <w:t>).</w:t>
      </w:r>
    </w:p>
  </w:footnote>
  <w:footnote w:id="3">
    <w:p w:rsidR="00A52393" w:rsidRPr="000E6912" w:rsidRDefault="00A52393" w:rsidP="00A52393">
      <w:pPr>
        <w:pStyle w:val="FootnoteText"/>
        <w:rPr>
          <w:sz w:val="20"/>
        </w:rPr>
      </w:pPr>
      <w:r w:rsidRPr="00763862">
        <w:rPr>
          <w:rStyle w:val="FootnoteReference"/>
          <w:sz w:val="20"/>
        </w:rPr>
        <w:footnoteRef/>
      </w:r>
      <w:r w:rsidRPr="00763862">
        <w:rPr>
          <w:sz w:val="20"/>
        </w:rPr>
        <w:t xml:space="preserve"> </w:t>
      </w:r>
      <w:r w:rsidR="000E6912" w:rsidRPr="000E6912">
        <w:rPr>
          <w:sz w:val="20"/>
        </w:rPr>
        <w:t>The TCPA is codified as 47 U</w:t>
      </w:r>
      <w:r w:rsidR="00124EF1">
        <w:rPr>
          <w:sz w:val="20"/>
        </w:rPr>
        <w:t>.</w:t>
      </w:r>
      <w:r w:rsidR="000E6912" w:rsidRPr="000E6912">
        <w:rPr>
          <w:sz w:val="20"/>
        </w:rPr>
        <w:t>S</w:t>
      </w:r>
      <w:r w:rsidR="00124EF1">
        <w:rPr>
          <w:sz w:val="20"/>
        </w:rPr>
        <w:t>.</w:t>
      </w:r>
      <w:r w:rsidR="000E6912" w:rsidRPr="000E6912">
        <w:rPr>
          <w:sz w:val="20"/>
        </w:rPr>
        <w:t>C</w:t>
      </w:r>
      <w:r w:rsidR="00124EF1">
        <w:rPr>
          <w:sz w:val="20"/>
        </w:rPr>
        <w:t>.</w:t>
      </w:r>
      <w:r w:rsidR="000E6912" w:rsidRPr="00763862">
        <w:rPr>
          <w:sz w:val="20"/>
        </w:rPr>
        <w:t xml:space="preserve"> § 227. The Commission’s implementing rules are codif</w:t>
      </w:r>
      <w:r w:rsidR="000E6912" w:rsidRPr="000E6912">
        <w:rPr>
          <w:sz w:val="20"/>
        </w:rPr>
        <w:t>ied as 47 CFR</w:t>
      </w:r>
      <w:r w:rsidR="000E6912" w:rsidRPr="00763862">
        <w:rPr>
          <w:sz w:val="20"/>
        </w:rPr>
        <w:t xml:space="preserve"> § 64.1200. </w:t>
      </w:r>
    </w:p>
  </w:footnote>
  <w:footnote w:id="4">
    <w:p w:rsidR="00A62495" w:rsidRPr="00763862" w:rsidRDefault="00A62495">
      <w:pPr>
        <w:pStyle w:val="FootnoteText"/>
        <w:rPr>
          <w:sz w:val="20"/>
        </w:rPr>
      </w:pPr>
      <w:r>
        <w:rPr>
          <w:rStyle w:val="FootnoteReference"/>
        </w:rPr>
        <w:footnoteRef/>
      </w:r>
      <w:r>
        <w:t xml:space="preserve"> </w:t>
      </w:r>
      <w:r w:rsidRPr="00124EF1">
        <w:rPr>
          <w:sz w:val="20"/>
        </w:rPr>
        <w:t xml:space="preserve">47 CFR § 64.1200(a)(3).  We note that although the petitioner cites </w:t>
      </w:r>
      <w:r w:rsidR="00EA77F3">
        <w:rPr>
          <w:sz w:val="20"/>
        </w:rPr>
        <w:t xml:space="preserve">section </w:t>
      </w:r>
      <w:r w:rsidRPr="00124EF1">
        <w:rPr>
          <w:sz w:val="20"/>
        </w:rPr>
        <w:t xml:space="preserve">64.1200(a)(2) </w:t>
      </w:r>
      <w:r w:rsidR="00EA77F3">
        <w:rPr>
          <w:sz w:val="20"/>
        </w:rPr>
        <w:t xml:space="preserve">of the Commission’s rules </w:t>
      </w:r>
      <w:r w:rsidRPr="00124EF1">
        <w:rPr>
          <w:sz w:val="20"/>
        </w:rPr>
        <w:t xml:space="preserve">in his petition, he appears to be referring to the current section 64.1200(a)(3), which concerns artificial or prerecorded voice calls to residential lines.  The Commission’s relevant rule was amended and renumbered </w:t>
      </w:r>
      <w:r w:rsidR="00124EF1" w:rsidRPr="00124EF1">
        <w:rPr>
          <w:sz w:val="20"/>
        </w:rPr>
        <w:t>in Feb</w:t>
      </w:r>
      <w:r w:rsidR="00BB0382">
        <w:rPr>
          <w:sz w:val="20"/>
        </w:rPr>
        <w:t>ruary</w:t>
      </w:r>
      <w:r w:rsidR="00124EF1" w:rsidRPr="00124EF1">
        <w:rPr>
          <w:sz w:val="20"/>
        </w:rPr>
        <w:t xml:space="preserve"> 2012, </w:t>
      </w:r>
      <w:r w:rsidR="00124EF1" w:rsidRPr="00EA77F3">
        <w:rPr>
          <w:i/>
          <w:sz w:val="20"/>
        </w:rPr>
        <w:t xml:space="preserve">see </w:t>
      </w:r>
      <w:r w:rsidR="00124EF1" w:rsidRPr="00846A90">
        <w:rPr>
          <w:i/>
          <w:sz w:val="20"/>
        </w:rPr>
        <w:t>Rules and Regulations Implementing the Telephone Consumer Protection Act of 1991</w:t>
      </w:r>
      <w:r w:rsidR="00124EF1" w:rsidRPr="00846A90">
        <w:rPr>
          <w:sz w:val="20"/>
        </w:rPr>
        <w:t xml:space="preserve">, CG Docket No. 02-278, Report and Order, 27 FCC Rcd 1830 (2012), </w:t>
      </w:r>
      <w:r w:rsidRPr="00124EF1">
        <w:rPr>
          <w:sz w:val="20"/>
        </w:rPr>
        <w:t>after the call at issue in the petitioner’s underlying litigation</w:t>
      </w:r>
      <w:r w:rsidR="00124EF1">
        <w:rPr>
          <w:sz w:val="20"/>
        </w:rPr>
        <w:t xml:space="preserve">, </w:t>
      </w:r>
      <w:r w:rsidR="00124EF1">
        <w:rPr>
          <w:i/>
          <w:sz w:val="20"/>
        </w:rPr>
        <w:t>s</w:t>
      </w:r>
      <w:r w:rsidR="00124EF1" w:rsidRPr="00124EF1">
        <w:rPr>
          <w:i/>
          <w:sz w:val="20"/>
        </w:rPr>
        <w:t>ee</w:t>
      </w:r>
      <w:r w:rsidR="000E6912" w:rsidRPr="00124EF1">
        <w:rPr>
          <w:sz w:val="20"/>
        </w:rPr>
        <w:t xml:space="preserve"> </w:t>
      </w:r>
      <w:r w:rsidR="000E6912" w:rsidRPr="00124EF1">
        <w:rPr>
          <w:i/>
          <w:sz w:val="20"/>
        </w:rPr>
        <w:t>Petition</w:t>
      </w:r>
      <w:r w:rsidR="000E6912" w:rsidRPr="00EA77F3">
        <w:rPr>
          <w:sz w:val="20"/>
        </w:rPr>
        <w:t xml:space="preserve"> </w:t>
      </w:r>
      <w:r w:rsidR="00725B05" w:rsidRPr="00EA77F3">
        <w:rPr>
          <w:sz w:val="20"/>
        </w:rPr>
        <w:t>Ex</w:t>
      </w:r>
      <w:r w:rsidR="00AA7E4F" w:rsidRPr="00EA77F3">
        <w:rPr>
          <w:sz w:val="20"/>
        </w:rPr>
        <w:t>.</w:t>
      </w:r>
      <w:r w:rsidR="00725B05" w:rsidRPr="00EA77F3">
        <w:rPr>
          <w:sz w:val="20"/>
        </w:rPr>
        <w:t xml:space="preserve"> A</w:t>
      </w:r>
      <w:r w:rsidR="00AA7E4F" w:rsidRPr="00EA77F3">
        <w:rPr>
          <w:sz w:val="20"/>
        </w:rPr>
        <w:t xml:space="preserve"> at 2</w:t>
      </w:r>
      <w:r w:rsidR="00124EF1" w:rsidRPr="00EA77F3">
        <w:rPr>
          <w:sz w:val="20"/>
        </w:rPr>
        <w:t xml:space="preserve"> (Bank received call at issue on Jan. 17, 2012)</w:t>
      </w:r>
      <w:r w:rsidR="00725B05" w:rsidRPr="00EA77F3">
        <w:rPr>
          <w:sz w:val="20"/>
        </w:rPr>
        <w:t>.</w:t>
      </w:r>
    </w:p>
  </w:footnote>
  <w:footnote w:id="5">
    <w:p w:rsidR="00A62495" w:rsidRPr="00A274D7" w:rsidRDefault="00A62495">
      <w:pPr>
        <w:pStyle w:val="FootnoteText"/>
        <w:rPr>
          <w:sz w:val="20"/>
        </w:rPr>
      </w:pPr>
      <w:r w:rsidRPr="00A274D7">
        <w:rPr>
          <w:rStyle w:val="FootnoteReference"/>
          <w:sz w:val="20"/>
        </w:rPr>
        <w:footnoteRef/>
      </w:r>
      <w:r w:rsidRPr="00A274D7">
        <w:rPr>
          <w:sz w:val="20"/>
        </w:rPr>
        <w:t xml:space="preserve"> </w:t>
      </w:r>
      <w:r w:rsidRPr="00A274D7">
        <w:rPr>
          <w:i/>
          <w:sz w:val="20"/>
        </w:rPr>
        <w:t>Petition</w:t>
      </w:r>
      <w:r w:rsidRPr="00A274D7">
        <w:rPr>
          <w:sz w:val="20"/>
        </w:rPr>
        <w:t xml:space="preserve"> at 1.</w:t>
      </w:r>
    </w:p>
  </w:footnote>
  <w:footnote w:id="6">
    <w:p w:rsidR="00A62495" w:rsidRPr="00A274D7" w:rsidRDefault="00A62495">
      <w:pPr>
        <w:pStyle w:val="FootnoteText"/>
        <w:rPr>
          <w:sz w:val="20"/>
        </w:rPr>
      </w:pPr>
      <w:r w:rsidRPr="00A274D7">
        <w:rPr>
          <w:rStyle w:val="FootnoteReference"/>
          <w:sz w:val="20"/>
        </w:rPr>
        <w:footnoteRef/>
      </w:r>
      <w:r w:rsidRPr="00A274D7">
        <w:rPr>
          <w:sz w:val="20"/>
        </w:rPr>
        <w:t xml:space="preserve"> </w:t>
      </w:r>
      <w:r w:rsidRPr="00A274D7">
        <w:rPr>
          <w:i/>
          <w:sz w:val="20"/>
        </w:rPr>
        <w:t>Id.</w:t>
      </w:r>
      <w:r w:rsidRPr="00A274D7">
        <w:rPr>
          <w:sz w:val="20"/>
        </w:rPr>
        <w:t xml:space="preserve"> at 1.</w:t>
      </w:r>
    </w:p>
  </w:footnote>
  <w:footnote w:id="7">
    <w:p w:rsidR="006D1897" w:rsidRPr="006D1897" w:rsidRDefault="006D1897">
      <w:pPr>
        <w:pStyle w:val="FootnoteText"/>
        <w:rPr>
          <w:sz w:val="20"/>
        </w:rPr>
      </w:pPr>
      <w:r w:rsidRPr="006D1897">
        <w:rPr>
          <w:rStyle w:val="FootnoteReference"/>
          <w:sz w:val="20"/>
        </w:rPr>
        <w:footnoteRef/>
      </w:r>
      <w:r w:rsidRPr="006D1897">
        <w:rPr>
          <w:sz w:val="20"/>
        </w:rPr>
        <w:t xml:space="preserve"> 47 CFR § 64.1200(a)(3)</w:t>
      </w:r>
      <w:r>
        <w:rPr>
          <w:sz w:val="20"/>
        </w:rPr>
        <w:t xml:space="preserve"> (implementing</w:t>
      </w:r>
      <w:r w:rsidRPr="006D1897">
        <w:rPr>
          <w:sz w:val="20"/>
        </w:rPr>
        <w:t xml:space="preserve"> 47 U.S.C. § 227(b)(1)(B)</w:t>
      </w:r>
      <w:r>
        <w:rPr>
          <w:sz w:val="20"/>
        </w:rPr>
        <w:t>)</w:t>
      </w:r>
      <w:r w:rsidRPr="006D1897">
        <w:rPr>
          <w:sz w:val="20"/>
        </w:rPr>
        <w:t>.</w:t>
      </w:r>
    </w:p>
  </w:footnote>
  <w:footnote w:id="8">
    <w:p w:rsidR="00A62495" w:rsidRPr="00E10ACB" w:rsidRDefault="00A62495" w:rsidP="00732221">
      <w:pPr>
        <w:pStyle w:val="FootnoteText"/>
        <w:rPr>
          <w:iCs/>
          <w:sz w:val="20"/>
        </w:rPr>
      </w:pPr>
      <w:r w:rsidRPr="00E10ACB">
        <w:rPr>
          <w:rStyle w:val="FootnoteReference"/>
          <w:sz w:val="20"/>
        </w:rPr>
        <w:footnoteRef/>
      </w:r>
      <w:r w:rsidRPr="00E10ACB">
        <w:rPr>
          <w:sz w:val="20"/>
        </w:rPr>
        <w:t xml:space="preserve"> 47 CFR §§ 1.1200 </w:t>
      </w:r>
      <w:r w:rsidRPr="00E10ACB">
        <w:rPr>
          <w:i/>
          <w:iCs/>
          <w:sz w:val="20"/>
        </w:rPr>
        <w:t>et seq</w:t>
      </w:r>
      <w:r w:rsidRPr="00E10ACB">
        <w:rPr>
          <w:iCs/>
          <w:sz w:val="20"/>
        </w:rPr>
        <w:t>.</w:t>
      </w:r>
    </w:p>
    <w:p w:rsidR="00A62495" w:rsidRPr="00E10ACB" w:rsidRDefault="00A62495" w:rsidP="00732221">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DF" w:rsidRDefault="0036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DF" w:rsidRDefault="00364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95" w:rsidRDefault="00146A8C">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3" type="#_x0000_t75" alt="fcc_logo" style="position:absolute;left:0;text-align:left;margin-left:2.4pt;margin-top:8.5pt;width:41.75pt;height:41.75pt;z-index:251659264;visibility:visible" o:allowincell="f">
          <v:imagedata r:id="rId1" o:title="fcc_logo"/>
          <w10:wrap type="topAndBottom"/>
        </v:shape>
      </w:pict>
    </w:r>
    <w:r>
      <w:rPr>
        <w:rFonts w:ascii="Arial" w:hAnsi="Arial" w:cs="Arial"/>
        <w:b/>
        <w:noProof/>
        <w:sz w:val="24"/>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62495" w:rsidRDefault="00A62495">
                <w:pPr>
                  <w:rPr>
                    <w:rFonts w:ascii="Arial" w:hAnsi="Arial"/>
                    <w:b/>
                  </w:rPr>
                </w:pPr>
                <w:r>
                  <w:rPr>
                    <w:rFonts w:ascii="Arial" w:hAnsi="Arial"/>
                    <w:b/>
                  </w:rPr>
                  <w:t>Federal Communications Commission</w:t>
                </w:r>
              </w:p>
              <w:p w:rsidR="00A62495" w:rsidRDefault="00A6249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62495" w:rsidRDefault="00A62495">
                <w:pPr>
                  <w:rPr>
                    <w:rFonts w:ascii="Arial" w:hAnsi="Arial"/>
                    <w:sz w:val="24"/>
                  </w:rPr>
                </w:pPr>
                <w:r>
                  <w:rPr>
                    <w:rFonts w:ascii="Arial" w:hAnsi="Arial"/>
                    <w:b/>
                  </w:rPr>
                  <w:t>Washington, D.C. 20554</w:t>
                </w:r>
              </w:p>
            </w:txbxContent>
          </v:textbox>
        </v:shape>
      </w:pict>
    </w:r>
    <w:r w:rsidR="00A62495">
      <w:rPr>
        <w:rFonts w:ascii="Arial" w:hAnsi="Arial" w:cs="Arial"/>
        <w:b/>
        <w:kern w:val="28"/>
        <w:sz w:val="96"/>
      </w:rPr>
      <w:t>PUBLIC NOTICE</w:t>
    </w:r>
  </w:p>
  <w:p w:rsidR="00A62495" w:rsidRDefault="00146A8C">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Text Box 5" o:spid="_x0000_s2050" type="#_x0000_t202" style="position:absolute;left:0;text-align:left;margin-left:292.05pt;margin-top:6pt;width:180.6pt;height:4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rsidR="00A62495" w:rsidRDefault="00A62495">
                <w:pPr>
                  <w:spacing w:before="40"/>
                  <w:jc w:val="right"/>
                  <w:rPr>
                    <w:rFonts w:ascii="Arial" w:hAnsi="Arial"/>
                    <w:b/>
                    <w:sz w:val="16"/>
                  </w:rPr>
                </w:pPr>
                <w:r>
                  <w:rPr>
                    <w:rFonts w:ascii="Arial" w:hAnsi="Arial"/>
                    <w:b/>
                    <w:sz w:val="16"/>
                  </w:rPr>
                  <w:t>News Media Information 202 / 418-0500</w:t>
                </w:r>
              </w:p>
              <w:p w:rsidR="00A62495" w:rsidRDefault="00A6249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62495" w:rsidRDefault="00A62495">
                <w:pPr>
                  <w:jc w:val="right"/>
                  <w:rPr>
                    <w:rFonts w:ascii="Arial" w:hAnsi="Arial"/>
                    <w:b/>
                    <w:sz w:val="16"/>
                  </w:rPr>
                </w:pPr>
                <w:r>
                  <w:rPr>
                    <w:rFonts w:ascii="Arial" w:hAnsi="Arial"/>
                    <w:b/>
                    <w:sz w:val="16"/>
                  </w:rPr>
                  <w:t>TTY: 1-888-835-5322</w:t>
                </w:r>
              </w:p>
              <w:p w:rsidR="00A62495" w:rsidRDefault="00A62495">
                <w:pPr>
                  <w:jc w:val="right"/>
                </w:pPr>
              </w:p>
            </w:txbxContent>
          </v:textbox>
        </v:shape>
      </w:pict>
    </w:r>
  </w:p>
  <w:p w:rsidR="00A62495" w:rsidRDefault="00146A8C">
    <w:pPr>
      <w:pStyle w:val="Header"/>
      <w:tabs>
        <w:tab w:val="clear" w:pos="4320"/>
        <w:tab w:val="clear" w:pos="8640"/>
        <w:tab w:val="left" w:pos="1080"/>
      </w:tabs>
      <w:ind w:left="720"/>
      <w:rPr>
        <w:rFonts w:ascii="Arial" w:hAnsi="Arial"/>
        <w:b/>
        <w:sz w:val="24"/>
      </w:rPr>
    </w:pPr>
    <w:r>
      <w:rPr>
        <w:rFonts w:ascii="Arial" w:hAnsi="Arial"/>
        <w:b/>
        <w:noProof/>
      </w:rPr>
      <w:pict>
        <v:line id="Line 4" o:spid="_x0000_s2049" style="position:absolute;left:0;text-align:left;z-index:251657216;visibility:visibl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762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8"/>
  </w:num>
  <w:num w:numId="13">
    <w:abstractNumId w:val="1"/>
  </w:num>
  <w:num w:numId="14">
    <w:abstractNumId w:val="5"/>
  </w:num>
  <w:num w:numId="15">
    <w:abstractNumId w:val="2"/>
  </w:num>
  <w:num w:numId="16">
    <w:abstractNumId w:val="13"/>
  </w:num>
  <w:num w:numId="17">
    <w:abstractNumId w:val="6"/>
  </w:num>
  <w:num w:numId="18">
    <w:abstractNumId w:val="3"/>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C6D"/>
    <w:rsid w:val="00013BE9"/>
    <w:rsid w:val="00031BC6"/>
    <w:rsid w:val="00037B03"/>
    <w:rsid w:val="000430E0"/>
    <w:rsid w:val="00050350"/>
    <w:rsid w:val="00065BF1"/>
    <w:rsid w:val="000748CB"/>
    <w:rsid w:val="00086B09"/>
    <w:rsid w:val="00092C70"/>
    <w:rsid w:val="00093F43"/>
    <w:rsid w:val="000949F1"/>
    <w:rsid w:val="000B21D6"/>
    <w:rsid w:val="000E0C11"/>
    <w:rsid w:val="000E6912"/>
    <w:rsid w:val="000F74BF"/>
    <w:rsid w:val="001053E8"/>
    <w:rsid w:val="0011352E"/>
    <w:rsid w:val="00124EF1"/>
    <w:rsid w:val="00126F81"/>
    <w:rsid w:val="00146A8C"/>
    <w:rsid w:val="00153250"/>
    <w:rsid w:val="00156B05"/>
    <w:rsid w:val="00160608"/>
    <w:rsid w:val="00181D05"/>
    <w:rsid w:val="001872C1"/>
    <w:rsid w:val="0019372A"/>
    <w:rsid w:val="00196BB5"/>
    <w:rsid w:val="001B3372"/>
    <w:rsid w:val="001B3C81"/>
    <w:rsid w:val="001C43C9"/>
    <w:rsid w:val="001E4B5C"/>
    <w:rsid w:val="001E56DB"/>
    <w:rsid w:val="00204C2C"/>
    <w:rsid w:val="00212869"/>
    <w:rsid w:val="00223F1B"/>
    <w:rsid w:val="00225913"/>
    <w:rsid w:val="00231A7A"/>
    <w:rsid w:val="002339F1"/>
    <w:rsid w:val="00260F34"/>
    <w:rsid w:val="00273647"/>
    <w:rsid w:val="00281097"/>
    <w:rsid w:val="002831E9"/>
    <w:rsid w:val="002B5377"/>
    <w:rsid w:val="002E4680"/>
    <w:rsid w:val="002F661D"/>
    <w:rsid w:val="00300E31"/>
    <w:rsid w:val="003119FD"/>
    <w:rsid w:val="00330631"/>
    <w:rsid w:val="00333E9D"/>
    <w:rsid w:val="00340DC0"/>
    <w:rsid w:val="00350DA0"/>
    <w:rsid w:val="00364ADF"/>
    <w:rsid w:val="0037275D"/>
    <w:rsid w:val="00374F0E"/>
    <w:rsid w:val="00383E46"/>
    <w:rsid w:val="00386301"/>
    <w:rsid w:val="003863C2"/>
    <w:rsid w:val="0038736B"/>
    <w:rsid w:val="0039395B"/>
    <w:rsid w:val="003A15AE"/>
    <w:rsid w:val="003B695B"/>
    <w:rsid w:val="003C2C70"/>
    <w:rsid w:val="00402754"/>
    <w:rsid w:val="00407239"/>
    <w:rsid w:val="00413032"/>
    <w:rsid w:val="00433F76"/>
    <w:rsid w:val="0043785D"/>
    <w:rsid w:val="00450093"/>
    <w:rsid w:val="0047018F"/>
    <w:rsid w:val="00471DD1"/>
    <w:rsid w:val="00477ADF"/>
    <w:rsid w:val="0048449A"/>
    <w:rsid w:val="0049075F"/>
    <w:rsid w:val="00492C68"/>
    <w:rsid w:val="004C6A2F"/>
    <w:rsid w:val="004F2B29"/>
    <w:rsid w:val="004F58D7"/>
    <w:rsid w:val="00503552"/>
    <w:rsid w:val="00507275"/>
    <w:rsid w:val="00524C35"/>
    <w:rsid w:val="005279A1"/>
    <w:rsid w:val="00541273"/>
    <w:rsid w:val="005425D1"/>
    <w:rsid w:val="00542C1E"/>
    <w:rsid w:val="00543AD9"/>
    <w:rsid w:val="005859AD"/>
    <w:rsid w:val="00585BB6"/>
    <w:rsid w:val="00596418"/>
    <w:rsid w:val="005A02C2"/>
    <w:rsid w:val="005B6508"/>
    <w:rsid w:val="005C757A"/>
    <w:rsid w:val="005E0542"/>
    <w:rsid w:val="005E0D6A"/>
    <w:rsid w:val="005E1C87"/>
    <w:rsid w:val="005E3667"/>
    <w:rsid w:val="005E6C10"/>
    <w:rsid w:val="00645CC8"/>
    <w:rsid w:val="00660147"/>
    <w:rsid w:val="006705CE"/>
    <w:rsid w:val="00672ACE"/>
    <w:rsid w:val="0068162B"/>
    <w:rsid w:val="006961B4"/>
    <w:rsid w:val="006A427A"/>
    <w:rsid w:val="006A5B3C"/>
    <w:rsid w:val="006D1083"/>
    <w:rsid w:val="006D1897"/>
    <w:rsid w:val="00701F20"/>
    <w:rsid w:val="00707DAF"/>
    <w:rsid w:val="00713046"/>
    <w:rsid w:val="00725B05"/>
    <w:rsid w:val="00732221"/>
    <w:rsid w:val="00763862"/>
    <w:rsid w:val="00765029"/>
    <w:rsid w:val="00772222"/>
    <w:rsid w:val="00772D1A"/>
    <w:rsid w:val="00774B59"/>
    <w:rsid w:val="00783445"/>
    <w:rsid w:val="007840F9"/>
    <w:rsid w:val="00793562"/>
    <w:rsid w:val="007A2D7F"/>
    <w:rsid w:val="007C1E04"/>
    <w:rsid w:val="007C7DE0"/>
    <w:rsid w:val="007D044D"/>
    <w:rsid w:val="007D275E"/>
    <w:rsid w:val="007F1F59"/>
    <w:rsid w:val="00807404"/>
    <w:rsid w:val="00824C12"/>
    <w:rsid w:val="00825FE6"/>
    <w:rsid w:val="00831BC4"/>
    <w:rsid w:val="00833EA1"/>
    <w:rsid w:val="00846A90"/>
    <w:rsid w:val="00850FBB"/>
    <w:rsid w:val="00852E1E"/>
    <w:rsid w:val="008622DC"/>
    <w:rsid w:val="00885A2F"/>
    <w:rsid w:val="00886521"/>
    <w:rsid w:val="00892EB9"/>
    <w:rsid w:val="008A1FAE"/>
    <w:rsid w:val="008A45B8"/>
    <w:rsid w:val="008A67AE"/>
    <w:rsid w:val="008B4506"/>
    <w:rsid w:val="008B566A"/>
    <w:rsid w:val="00907358"/>
    <w:rsid w:val="00937E6A"/>
    <w:rsid w:val="009400ED"/>
    <w:rsid w:val="00972530"/>
    <w:rsid w:val="00980A53"/>
    <w:rsid w:val="00981DFE"/>
    <w:rsid w:val="009868BF"/>
    <w:rsid w:val="009A2A4D"/>
    <w:rsid w:val="009A781D"/>
    <w:rsid w:val="009B6479"/>
    <w:rsid w:val="009D4152"/>
    <w:rsid w:val="009E3268"/>
    <w:rsid w:val="009F7041"/>
    <w:rsid w:val="00A05BD8"/>
    <w:rsid w:val="00A121E7"/>
    <w:rsid w:val="00A15407"/>
    <w:rsid w:val="00A274D7"/>
    <w:rsid w:val="00A35514"/>
    <w:rsid w:val="00A45FA6"/>
    <w:rsid w:val="00A52393"/>
    <w:rsid w:val="00A5247E"/>
    <w:rsid w:val="00A62495"/>
    <w:rsid w:val="00A66B35"/>
    <w:rsid w:val="00A757D1"/>
    <w:rsid w:val="00A97D88"/>
    <w:rsid w:val="00AA59FC"/>
    <w:rsid w:val="00AA7E4F"/>
    <w:rsid w:val="00AB512E"/>
    <w:rsid w:val="00AC3941"/>
    <w:rsid w:val="00B03334"/>
    <w:rsid w:val="00B071E4"/>
    <w:rsid w:val="00B133B6"/>
    <w:rsid w:val="00B22C58"/>
    <w:rsid w:val="00B318C1"/>
    <w:rsid w:val="00B37CB3"/>
    <w:rsid w:val="00B524FD"/>
    <w:rsid w:val="00B72273"/>
    <w:rsid w:val="00B77AEC"/>
    <w:rsid w:val="00B77E6D"/>
    <w:rsid w:val="00BA56E6"/>
    <w:rsid w:val="00BB0382"/>
    <w:rsid w:val="00BB4CBE"/>
    <w:rsid w:val="00BD043A"/>
    <w:rsid w:val="00BD31A9"/>
    <w:rsid w:val="00C05D46"/>
    <w:rsid w:val="00C1132A"/>
    <w:rsid w:val="00C23C62"/>
    <w:rsid w:val="00C408C5"/>
    <w:rsid w:val="00C550D2"/>
    <w:rsid w:val="00C6752C"/>
    <w:rsid w:val="00C74842"/>
    <w:rsid w:val="00C80C52"/>
    <w:rsid w:val="00C818BF"/>
    <w:rsid w:val="00C8298A"/>
    <w:rsid w:val="00C83A89"/>
    <w:rsid w:val="00C87ED0"/>
    <w:rsid w:val="00C9106B"/>
    <w:rsid w:val="00C97647"/>
    <w:rsid w:val="00CB4162"/>
    <w:rsid w:val="00CB4B96"/>
    <w:rsid w:val="00CC3BFF"/>
    <w:rsid w:val="00CC5346"/>
    <w:rsid w:val="00CC62FB"/>
    <w:rsid w:val="00CC68ED"/>
    <w:rsid w:val="00CD0CFC"/>
    <w:rsid w:val="00CD51C7"/>
    <w:rsid w:val="00CD761C"/>
    <w:rsid w:val="00CE423D"/>
    <w:rsid w:val="00D03657"/>
    <w:rsid w:val="00D11A32"/>
    <w:rsid w:val="00D145BA"/>
    <w:rsid w:val="00D27807"/>
    <w:rsid w:val="00D3239B"/>
    <w:rsid w:val="00D40EB3"/>
    <w:rsid w:val="00D66D11"/>
    <w:rsid w:val="00D835D7"/>
    <w:rsid w:val="00D95C94"/>
    <w:rsid w:val="00DC28A8"/>
    <w:rsid w:val="00DE6138"/>
    <w:rsid w:val="00DE79BD"/>
    <w:rsid w:val="00DF4CD4"/>
    <w:rsid w:val="00E10ACB"/>
    <w:rsid w:val="00E11A24"/>
    <w:rsid w:val="00E174E7"/>
    <w:rsid w:val="00E24A7E"/>
    <w:rsid w:val="00E36986"/>
    <w:rsid w:val="00E515CE"/>
    <w:rsid w:val="00E64307"/>
    <w:rsid w:val="00E65E84"/>
    <w:rsid w:val="00E82FA0"/>
    <w:rsid w:val="00E85885"/>
    <w:rsid w:val="00EA77F3"/>
    <w:rsid w:val="00EB6A74"/>
    <w:rsid w:val="00EC2762"/>
    <w:rsid w:val="00EC4C4A"/>
    <w:rsid w:val="00EC5409"/>
    <w:rsid w:val="00EC55D8"/>
    <w:rsid w:val="00ED224C"/>
    <w:rsid w:val="00ED4A50"/>
    <w:rsid w:val="00ED6C6D"/>
    <w:rsid w:val="00EE7AA4"/>
    <w:rsid w:val="00F24A1C"/>
    <w:rsid w:val="00F278BB"/>
    <w:rsid w:val="00F31E2F"/>
    <w:rsid w:val="00F3718A"/>
    <w:rsid w:val="00F55147"/>
    <w:rsid w:val="00F5532E"/>
    <w:rsid w:val="00F61254"/>
    <w:rsid w:val="00F633DE"/>
    <w:rsid w:val="00F73AA2"/>
    <w:rsid w:val="00F80609"/>
    <w:rsid w:val="00FA0887"/>
    <w:rsid w:val="00FA5191"/>
    <w:rsid w:val="00FB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Pr>
      <w:sz w:val="22"/>
      <w:lang w:val="en-US" w:eastAsia="en-US" w:bidi="ar-SA"/>
    </w:r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semiHidden/>
    <w:unhideWhenUsed/>
    <w:rPr>
      <w:vertAlign w:val="superscript"/>
    </w:rPr>
  </w:style>
  <w:style w:type="paragraph" w:customStyle="1" w:styleId="MediumList2-Accent21">
    <w:name w:val="Medium List 2 - Accent 21"/>
    <w:hidden/>
    <w:uiPriority w:val="71"/>
    <w:rsid w:val="00886521"/>
    <w:rPr>
      <w:sz w:val="22"/>
    </w:rPr>
  </w:style>
  <w:style w:type="paragraph" w:styleId="Revision">
    <w:name w:val="Revision"/>
    <w:hidden/>
    <w:uiPriority w:val="99"/>
    <w:semiHidden/>
    <w:rsid w:val="0043785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89763">
      <w:bodyDiv w:val="1"/>
      <w:marLeft w:val="0"/>
      <w:marRight w:val="0"/>
      <w:marTop w:val="0"/>
      <w:marBottom w:val="0"/>
      <w:divBdr>
        <w:top w:val="none" w:sz="0" w:space="0" w:color="auto"/>
        <w:left w:val="none" w:sz="0" w:space="0" w:color="auto"/>
        <w:bottom w:val="none" w:sz="0" w:space="0" w:color="auto"/>
        <w:right w:val="none" w:sz="0" w:space="0" w:color="auto"/>
      </w:divBdr>
    </w:div>
    <w:div w:id="1005087100">
      <w:bodyDiv w:val="1"/>
      <w:marLeft w:val="0"/>
      <w:marRight w:val="0"/>
      <w:marTop w:val="0"/>
      <w:marBottom w:val="0"/>
      <w:divBdr>
        <w:top w:val="none" w:sz="0" w:space="0" w:color="auto"/>
        <w:left w:val="none" w:sz="0" w:space="0" w:color="auto"/>
        <w:bottom w:val="none" w:sz="0" w:space="0" w:color="auto"/>
        <w:right w:val="none" w:sz="0" w:space="0" w:color="auto"/>
      </w:divBdr>
    </w:div>
    <w:div w:id="1633099857">
      <w:bodyDiv w:val="1"/>
      <w:marLeft w:val="0"/>
      <w:marRight w:val="0"/>
      <w:marTop w:val="0"/>
      <w:marBottom w:val="0"/>
      <w:divBdr>
        <w:top w:val="none" w:sz="0" w:space="0" w:color="auto"/>
        <w:left w:val="none" w:sz="0" w:space="0" w:color="auto"/>
        <w:bottom w:val="none" w:sz="0" w:space="0" w:color="auto"/>
        <w:right w:val="none" w:sz="0" w:space="0" w:color="auto"/>
      </w:divBdr>
      <w:divsChild>
        <w:div w:id="189996283">
          <w:marLeft w:val="0"/>
          <w:marRight w:val="0"/>
          <w:marTop w:val="0"/>
          <w:marBottom w:val="0"/>
          <w:divBdr>
            <w:top w:val="none" w:sz="0" w:space="0" w:color="auto"/>
            <w:left w:val="none" w:sz="0" w:space="0" w:color="auto"/>
            <w:bottom w:val="none" w:sz="0" w:space="0" w:color="auto"/>
            <w:right w:val="none" w:sz="0" w:space="0" w:color="auto"/>
          </w:divBdr>
        </w:div>
        <w:div w:id="1231430360">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1427727749">
          <w:marLeft w:val="0"/>
          <w:marRight w:val="0"/>
          <w:marTop w:val="0"/>
          <w:marBottom w:val="0"/>
          <w:divBdr>
            <w:top w:val="none" w:sz="0" w:space="0" w:color="auto"/>
            <w:left w:val="none" w:sz="0" w:space="0" w:color="auto"/>
            <w:bottom w:val="none" w:sz="0" w:space="0" w:color="auto"/>
            <w:right w:val="none" w:sz="0" w:space="0" w:color="auto"/>
          </w:divBdr>
        </w:div>
      </w:divsChild>
    </w:div>
    <w:div w:id="1753621905">
      <w:bodyDiv w:val="1"/>
      <w:marLeft w:val="0"/>
      <w:marRight w:val="0"/>
      <w:marTop w:val="0"/>
      <w:marBottom w:val="0"/>
      <w:divBdr>
        <w:top w:val="none" w:sz="0" w:space="0" w:color="auto"/>
        <w:left w:val="none" w:sz="0" w:space="0" w:color="auto"/>
        <w:bottom w:val="none" w:sz="0" w:space="0" w:color="auto"/>
        <w:right w:val="none" w:sz="0" w:space="0" w:color="auto"/>
      </w:divBdr>
      <w:divsChild>
        <w:div w:id="127867611">
          <w:marLeft w:val="0"/>
          <w:marRight w:val="0"/>
          <w:marTop w:val="0"/>
          <w:marBottom w:val="0"/>
          <w:divBdr>
            <w:top w:val="none" w:sz="0" w:space="0" w:color="auto"/>
            <w:left w:val="none" w:sz="0" w:space="0" w:color="auto"/>
            <w:bottom w:val="none" w:sz="0" w:space="0" w:color="auto"/>
            <w:right w:val="none" w:sz="0" w:space="0" w:color="auto"/>
          </w:divBdr>
        </w:div>
        <w:div w:id="392580826">
          <w:marLeft w:val="0"/>
          <w:marRight w:val="0"/>
          <w:marTop w:val="0"/>
          <w:marBottom w:val="0"/>
          <w:divBdr>
            <w:top w:val="none" w:sz="0" w:space="0" w:color="auto"/>
            <w:left w:val="none" w:sz="0" w:space="0" w:color="auto"/>
            <w:bottom w:val="none" w:sz="0" w:space="0" w:color="auto"/>
            <w:right w:val="none" w:sz="0" w:space="0" w:color="auto"/>
          </w:divBdr>
        </w:div>
        <w:div w:id="601954175">
          <w:marLeft w:val="0"/>
          <w:marRight w:val="0"/>
          <w:marTop w:val="0"/>
          <w:marBottom w:val="0"/>
          <w:divBdr>
            <w:top w:val="none" w:sz="0" w:space="0" w:color="auto"/>
            <w:left w:val="none" w:sz="0" w:space="0" w:color="auto"/>
            <w:bottom w:val="none" w:sz="0" w:space="0" w:color="auto"/>
            <w:right w:val="none" w:sz="0" w:space="0" w:color="auto"/>
          </w:divBdr>
        </w:div>
        <w:div w:id="724913139">
          <w:marLeft w:val="0"/>
          <w:marRight w:val="0"/>
          <w:marTop w:val="0"/>
          <w:marBottom w:val="0"/>
          <w:divBdr>
            <w:top w:val="none" w:sz="0" w:space="0" w:color="auto"/>
            <w:left w:val="none" w:sz="0" w:space="0" w:color="auto"/>
            <w:bottom w:val="none" w:sz="0" w:space="0" w:color="auto"/>
            <w:right w:val="none" w:sz="0" w:space="0" w:color="auto"/>
          </w:divBdr>
        </w:div>
        <w:div w:id="736365833">
          <w:marLeft w:val="0"/>
          <w:marRight w:val="0"/>
          <w:marTop w:val="0"/>
          <w:marBottom w:val="0"/>
          <w:divBdr>
            <w:top w:val="none" w:sz="0" w:space="0" w:color="auto"/>
            <w:left w:val="none" w:sz="0" w:space="0" w:color="auto"/>
            <w:bottom w:val="none" w:sz="0" w:space="0" w:color="auto"/>
            <w:right w:val="none" w:sz="0" w:space="0" w:color="auto"/>
          </w:divBdr>
        </w:div>
        <w:div w:id="1408647583">
          <w:marLeft w:val="0"/>
          <w:marRight w:val="0"/>
          <w:marTop w:val="0"/>
          <w:marBottom w:val="0"/>
          <w:divBdr>
            <w:top w:val="none" w:sz="0" w:space="0" w:color="auto"/>
            <w:left w:val="none" w:sz="0" w:space="0" w:color="auto"/>
            <w:bottom w:val="none" w:sz="0" w:space="0" w:color="auto"/>
            <w:right w:val="none" w:sz="0" w:space="0" w:color="auto"/>
          </w:divBdr>
        </w:div>
        <w:div w:id="1663964903">
          <w:marLeft w:val="0"/>
          <w:marRight w:val="0"/>
          <w:marTop w:val="0"/>
          <w:marBottom w:val="0"/>
          <w:divBdr>
            <w:top w:val="none" w:sz="0" w:space="0" w:color="auto"/>
            <w:left w:val="none" w:sz="0" w:space="0" w:color="auto"/>
            <w:bottom w:val="none" w:sz="0" w:space="0" w:color="auto"/>
            <w:right w:val="none" w:sz="0" w:space="0" w:color="auto"/>
          </w:divBdr>
        </w:div>
        <w:div w:id="1811701841">
          <w:marLeft w:val="0"/>
          <w:marRight w:val="0"/>
          <w:marTop w:val="0"/>
          <w:marBottom w:val="0"/>
          <w:divBdr>
            <w:top w:val="none" w:sz="0" w:space="0" w:color="auto"/>
            <w:left w:val="none" w:sz="0" w:space="0" w:color="auto"/>
            <w:bottom w:val="none" w:sz="0" w:space="0" w:color="auto"/>
            <w:right w:val="none" w:sz="0" w:space="0" w:color="auto"/>
          </w:divBdr>
        </w:div>
      </w:divsChild>
    </w:div>
    <w:div w:id="20970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Finley@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895</Words>
  <Characters>5000</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5921</CharactersWithSpaces>
  <SharedDoc>false</SharedDoc>
  <HyperlinkBase> </HyperlinkBase>
  <HLinks>
    <vt:vector size="18" baseType="variant">
      <vt:variant>
        <vt:i4>3342416</vt:i4>
      </vt:variant>
      <vt:variant>
        <vt:i4>6</vt:i4>
      </vt:variant>
      <vt:variant>
        <vt:i4>0</vt:i4>
      </vt:variant>
      <vt:variant>
        <vt:i4>5</vt:i4>
      </vt:variant>
      <vt:variant>
        <vt:lpwstr>mailto:Josh.Zeldis@fcc.gov</vt:lpwstr>
      </vt:variant>
      <vt:variant>
        <vt:lpwstr/>
      </vt:variant>
      <vt:variant>
        <vt:i4>4587579</vt:i4>
      </vt:variant>
      <vt:variant>
        <vt:i4>3</vt:i4>
      </vt:variant>
      <vt:variant>
        <vt:i4>0</vt:i4>
      </vt:variant>
      <vt:variant>
        <vt:i4>5</vt:i4>
      </vt:variant>
      <vt:variant>
        <vt:lpwstr>mailto:Robert.Finley@fcc.gov</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2015-03-10T20:46:00Z</cp:lastPrinted>
  <dcterms:created xsi:type="dcterms:W3CDTF">2016-03-31T17:16:00Z</dcterms:created>
  <dcterms:modified xsi:type="dcterms:W3CDTF">2016-03-31T17:16:00Z</dcterms:modified>
  <cp:category> </cp:category>
  <cp:contentStatus> </cp:contentStatus>
</cp:coreProperties>
</file>