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pPr>
        <w:jc w:val="center"/>
        <w:rPr>
          <w:b/>
        </w:rPr>
      </w:pPr>
      <w:bookmarkStart w:id="0" w:name="_GoBack"/>
      <w:bookmarkEnd w:id="0"/>
      <w:r>
        <w:rPr>
          <w:b/>
        </w:rPr>
        <w:t>Before the</w:t>
      </w:r>
    </w:p>
    <w:p w:rsidR="00276941" w:rsidRDefault="00276941">
      <w:pPr>
        <w:jc w:val="center"/>
        <w:rPr>
          <w:b/>
        </w:rPr>
      </w:pPr>
      <w:r>
        <w:rPr>
          <w:b/>
        </w:rPr>
        <w:t>Federal Communications Commission</w:t>
      </w:r>
    </w:p>
    <w:p w:rsidR="00276941" w:rsidRDefault="00276941">
      <w:pPr>
        <w:jc w:val="center"/>
        <w:rPr>
          <w:b/>
        </w:rPr>
      </w:pPr>
      <w:r>
        <w:rPr>
          <w:b/>
        </w:rPr>
        <w:t>Washington, D.C. 20554</w:t>
      </w:r>
    </w:p>
    <w:p w:rsidR="00276941" w:rsidRDefault="00276941"/>
    <w:p w:rsidR="00276941" w:rsidRDefault="00276941"/>
    <w:tbl>
      <w:tblPr>
        <w:tblW w:w="18792" w:type="dxa"/>
        <w:tblLayout w:type="fixed"/>
        <w:tblLook w:val="0000" w:firstRow="0" w:lastRow="0" w:firstColumn="0" w:lastColumn="0" w:noHBand="0" w:noVBand="0"/>
      </w:tblPr>
      <w:tblGrid>
        <w:gridCol w:w="4698"/>
        <w:gridCol w:w="4698"/>
        <w:gridCol w:w="4698"/>
        <w:gridCol w:w="4698"/>
      </w:tblGrid>
      <w:tr w:rsidR="00276941">
        <w:tc>
          <w:tcPr>
            <w:tcW w:w="4698" w:type="dxa"/>
          </w:tcPr>
          <w:p w:rsidR="00276941" w:rsidRDefault="00276941">
            <w:pPr>
              <w:tabs>
                <w:tab w:val="center" w:pos="4680"/>
              </w:tabs>
              <w:suppressAutoHyphens/>
              <w:rPr>
                <w:spacing w:val="-2"/>
              </w:rPr>
            </w:pPr>
            <w:r>
              <w:rPr>
                <w:spacing w:val="-2"/>
              </w:rPr>
              <w:t>In the Matter of</w:t>
            </w:r>
          </w:p>
          <w:p w:rsidR="00276941" w:rsidRDefault="00276941">
            <w:pPr>
              <w:tabs>
                <w:tab w:val="center" w:pos="4680"/>
              </w:tabs>
              <w:suppressAutoHyphens/>
              <w:rPr>
                <w:spacing w:val="-2"/>
              </w:rPr>
            </w:pPr>
          </w:p>
          <w:p w:rsidR="000B1398" w:rsidRDefault="000B1398" w:rsidP="000B1398">
            <w:pPr>
              <w:tabs>
                <w:tab w:val="center" w:pos="4680"/>
              </w:tabs>
              <w:suppressAutoHyphens/>
              <w:rPr>
                <w:rStyle w:val="StyleParaNum11pt1CharCharCharCharCharCharCharCharCharCharCharCharCharCharCharCharChar"/>
                <w:bCs/>
              </w:rPr>
            </w:pPr>
            <w:r>
              <w:rPr>
                <w:rStyle w:val="StyleParaNum11pt1CharCharCharCharCharCharCharCharCharCharCharCharCharCharCharCharChar"/>
                <w:bCs/>
              </w:rPr>
              <w:t>Telcordia Technologies, Inc. Petition to Reform Amendment 57 and to Order a Competitive Bidding Process for Number Portability Administration</w:t>
            </w:r>
          </w:p>
          <w:p w:rsidR="000B1398" w:rsidRDefault="000B1398" w:rsidP="000B1398">
            <w:pPr>
              <w:tabs>
                <w:tab w:val="center" w:pos="4680"/>
              </w:tabs>
              <w:suppressAutoHyphens/>
              <w:rPr>
                <w:szCs w:val="22"/>
              </w:rPr>
            </w:pPr>
          </w:p>
          <w:p w:rsidR="001F2EC6" w:rsidRPr="001F2EC6" w:rsidRDefault="001F2EC6" w:rsidP="001F2EC6">
            <w:pPr>
              <w:tabs>
                <w:tab w:val="center" w:pos="4680"/>
              </w:tabs>
              <w:suppressAutoHyphens/>
              <w:rPr>
                <w:spacing w:val="-2"/>
                <w:szCs w:val="22"/>
              </w:rPr>
            </w:pPr>
            <w:r w:rsidRPr="001F2EC6">
              <w:rPr>
                <w:szCs w:val="22"/>
              </w:rPr>
              <w:t>Petition of Telcordia Technologies, Inc. to Reform or Strike Amendment 70, to Institute Competitive Bidding for Number Portability Administration and to End the NAPM LLC’s Interim  Role in Number Portability Administration Contract</w:t>
            </w:r>
          </w:p>
          <w:p w:rsidR="001F2EC6" w:rsidRPr="001F2EC6" w:rsidRDefault="001F2EC6" w:rsidP="001F2EC6">
            <w:pPr>
              <w:tabs>
                <w:tab w:val="center" w:pos="4680"/>
              </w:tabs>
              <w:suppressAutoHyphens/>
              <w:rPr>
                <w:spacing w:val="-2"/>
                <w:szCs w:val="22"/>
              </w:rPr>
            </w:pPr>
          </w:p>
          <w:p w:rsidR="00276941" w:rsidRDefault="001F2EC6" w:rsidP="001F2EC6">
            <w:pPr>
              <w:snapToGrid w:val="0"/>
              <w:rPr>
                <w:szCs w:val="22"/>
              </w:rPr>
            </w:pPr>
            <w:r w:rsidRPr="001F2EC6">
              <w:rPr>
                <w:spacing w:val="-2"/>
                <w:szCs w:val="22"/>
              </w:rPr>
              <w:t>Telephone Number Portability</w:t>
            </w:r>
          </w:p>
        </w:tc>
        <w:tc>
          <w:tcPr>
            <w:tcW w:w="4698" w:type="dxa"/>
          </w:tcPr>
          <w:p w:rsidR="00276941" w:rsidRDefault="00276941">
            <w:pPr>
              <w:rPr>
                <w:b/>
              </w:rPr>
            </w:pPr>
            <w:r>
              <w:rPr>
                <w:b/>
              </w:rPr>
              <w:t>)</w:t>
            </w:r>
          </w:p>
          <w:p w:rsidR="00276941" w:rsidRDefault="00276941">
            <w:pPr>
              <w:rPr>
                <w:b/>
              </w:rPr>
            </w:pPr>
            <w:r>
              <w:rPr>
                <w:b/>
              </w:rPr>
              <w:t>)</w:t>
            </w:r>
          </w:p>
          <w:p w:rsidR="000B1398" w:rsidRDefault="00276941" w:rsidP="001F2EC6">
            <w:pPr>
              <w:tabs>
                <w:tab w:val="center" w:pos="4680"/>
              </w:tabs>
              <w:suppressAutoHyphens/>
              <w:rPr>
                <w:spacing w:val="-2"/>
                <w:szCs w:val="22"/>
                <w:lang w:val="sv-SE"/>
              </w:rPr>
            </w:pPr>
            <w:r>
              <w:rPr>
                <w:b/>
              </w:rPr>
              <w:t xml:space="preserve">)     </w:t>
            </w:r>
            <w:r w:rsidR="000B1398">
              <w:rPr>
                <w:spacing w:val="-2"/>
                <w:szCs w:val="22"/>
                <w:lang w:val="sv-SE"/>
              </w:rPr>
              <w:t>WC Docket No. 07-149</w:t>
            </w:r>
          </w:p>
          <w:p w:rsidR="00276941" w:rsidRPr="00950A4F" w:rsidRDefault="001F2EC6">
            <w:pPr>
              <w:rPr>
                <w:b/>
              </w:rPr>
            </w:pPr>
            <w:r w:rsidRPr="00950A4F">
              <w:rPr>
                <w:b/>
              </w:rPr>
              <w:t>)</w:t>
            </w:r>
          </w:p>
          <w:p w:rsidR="00276941" w:rsidRDefault="00276941">
            <w:pPr>
              <w:rPr>
                <w:b/>
              </w:rPr>
            </w:pPr>
            <w:r>
              <w:rPr>
                <w:b/>
              </w:rPr>
              <w:t>)</w:t>
            </w:r>
          </w:p>
          <w:p w:rsidR="00276941" w:rsidRDefault="00276941">
            <w:pPr>
              <w:rPr>
                <w:b/>
              </w:rPr>
            </w:pPr>
            <w:r>
              <w:rPr>
                <w:b/>
              </w:rPr>
              <w:t>)</w:t>
            </w:r>
          </w:p>
          <w:p w:rsidR="00276941" w:rsidRDefault="00276941">
            <w:pPr>
              <w:rPr>
                <w:b/>
              </w:rPr>
            </w:pPr>
            <w:r>
              <w:rPr>
                <w:b/>
              </w:rPr>
              <w:t>)</w:t>
            </w:r>
          </w:p>
          <w:p w:rsidR="001F2EC6" w:rsidRDefault="00276941" w:rsidP="001F2EC6">
            <w:pPr>
              <w:tabs>
                <w:tab w:val="center" w:pos="4680"/>
              </w:tabs>
              <w:suppressAutoHyphens/>
              <w:rPr>
                <w:spacing w:val="-2"/>
                <w:szCs w:val="22"/>
                <w:lang w:val="sv-SE"/>
              </w:rPr>
            </w:pPr>
            <w:r>
              <w:rPr>
                <w:b/>
              </w:rPr>
              <w:t>)</w:t>
            </w:r>
            <w:r w:rsidR="001F2EC6" w:rsidRPr="001F2EC6">
              <w:rPr>
                <w:spacing w:val="-2"/>
                <w:szCs w:val="22"/>
                <w:lang w:val="sv-SE"/>
              </w:rPr>
              <w:t xml:space="preserve"> </w:t>
            </w:r>
          </w:p>
          <w:p w:rsidR="000B1398" w:rsidRPr="001F2EC6" w:rsidRDefault="001F2EC6" w:rsidP="000B1398">
            <w:pPr>
              <w:tabs>
                <w:tab w:val="center" w:pos="4680"/>
              </w:tabs>
              <w:suppressAutoHyphens/>
              <w:rPr>
                <w:spacing w:val="-2"/>
                <w:szCs w:val="22"/>
                <w:lang w:val="sv-SE"/>
              </w:rPr>
            </w:pPr>
            <w:r w:rsidRPr="00950A4F">
              <w:rPr>
                <w:b/>
                <w:spacing w:val="-2"/>
                <w:szCs w:val="22"/>
                <w:lang w:val="sv-SE"/>
              </w:rPr>
              <w:t>)</w:t>
            </w:r>
            <w:r>
              <w:rPr>
                <w:spacing w:val="-2"/>
                <w:szCs w:val="22"/>
                <w:lang w:val="sv-SE"/>
              </w:rPr>
              <w:t xml:space="preserve">    </w:t>
            </w:r>
            <w:r w:rsidR="000B1398" w:rsidRPr="001F2EC6">
              <w:rPr>
                <w:spacing w:val="-2"/>
                <w:szCs w:val="22"/>
                <w:lang w:val="sv-SE"/>
              </w:rPr>
              <w:t>WC Docket No. 09-109</w:t>
            </w:r>
          </w:p>
          <w:p w:rsidR="00276941" w:rsidRDefault="00950A4F">
            <w:pPr>
              <w:rPr>
                <w:b/>
              </w:rPr>
            </w:pPr>
            <w:r>
              <w:rPr>
                <w:b/>
              </w:rPr>
              <w:t>)</w:t>
            </w:r>
          </w:p>
          <w:p w:rsidR="000B1398" w:rsidRDefault="000B1398">
            <w:pPr>
              <w:rPr>
                <w:b/>
              </w:rPr>
            </w:pPr>
            <w:r>
              <w:rPr>
                <w:b/>
              </w:rPr>
              <w:t>)</w:t>
            </w:r>
          </w:p>
          <w:p w:rsidR="000B1398" w:rsidRPr="000B1398" w:rsidRDefault="000B1398" w:rsidP="000B1398">
            <w:pPr>
              <w:tabs>
                <w:tab w:val="center" w:pos="4680"/>
              </w:tabs>
              <w:suppressAutoHyphens/>
              <w:rPr>
                <w:spacing w:val="-2"/>
                <w:szCs w:val="22"/>
                <w:lang w:val="sv-SE"/>
              </w:rPr>
            </w:pPr>
            <w:r>
              <w:rPr>
                <w:b/>
              </w:rPr>
              <w:t>)</w:t>
            </w:r>
            <w:r w:rsidRPr="001F2EC6">
              <w:rPr>
                <w:spacing w:val="-2"/>
                <w:szCs w:val="22"/>
                <w:lang w:val="sv-SE"/>
              </w:rPr>
              <w:t xml:space="preserve"> </w:t>
            </w:r>
            <w:r>
              <w:rPr>
                <w:spacing w:val="-2"/>
                <w:szCs w:val="22"/>
                <w:lang w:val="sv-SE"/>
              </w:rPr>
              <w:t xml:space="preserve">   </w:t>
            </w:r>
            <w:r w:rsidRPr="001F2EC6">
              <w:rPr>
                <w:spacing w:val="-2"/>
                <w:szCs w:val="22"/>
                <w:lang w:val="sv-SE"/>
              </w:rPr>
              <w:t>CC Docket No. 95-116</w:t>
            </w:r>
          </w:p>
          <w:p w:rsidR="00276941" w:rsidRDefault="000B1398">
            <w:pPr>
              <w:rPr>
                <w:b/>
              </w:rPr>
            </w:pPr>
            <w:r>
              <w:rPr>
                <w:b/>
              </w:rPr>
              <w:t>)</w:t>
            </w:r>
          </w:p>
        </w:tc>
        <w:tc>
          <w:tcPr>
            <w:tcW w:w="4698" w:type="dxa"/>
          </w:tcPr>
          <w:p w:rsidR="00276941" w:rsidRDefault="00276941">
            <w:pPr>
              <w:snapToGrid w:val="0"/>
              <w:rPr>
                <w:szCs w:val="22"/>
              </w:rPr>
            </w:pPr>
          </w:p>
        </w:tc>
        <w:tc>
          <w:tcPr>
            <w:tcW w:w="4698" w:type="dxa"/>
          </w:tcPr>
          <w:p w:rsidR="00276941" w:rsidRDefault="00276941">
            <w:pPr>
              <w:rPr>
                <w:b/>
              </w:rPr>
            </w:pPr>
          </w:p>
        </w:tc>
      </w:tr>
      <w:tr w:rsidR="001F2EC6">
        <w:tc>
          <w:tcPr>
            <w:tcW w:w="4698" w:type="dxa"/>
          </w:tcPr>
          <w:p w:rsidR="001F2EC6" w:rsidRDefault="001F2EC6">
            <w:pPr>
              <w:tabs>
                <w:tab w:val="center" w:pos="4680"/>
              </w:tabs>
              <w:suppressAutoHyphens/>
              <w:rPr>
                <w:spacing w:val="-2"/>
              </w:rPr>
            </w:pPr>
          </w:p>
        </w:tc>
        <w:tc>
          <w:tcPr>
            <w:tcW w:w="4698" w:type="dxa"/>
          </w:tcPr>
          <w:p w:rsidR="001F2EC6" w:rsidRDefault="001F2EC6">
            <w:pPr>
              <w:rPr>
                <w:b/>
              </w:rPr>
            </w:pPr>
          </w:p>
        </w:tc>
        <w:tc>
          <w:tcPr>
            <w:tcW w:w="4698" w:type="dxa"/>
          </w:tcPr>
          <w:p w:rsidR="001F2EC6" w:rsidRDefault="001F2EC6">
            <w:pPr>
              <w:snapToGrid w:val="0"/>
              <w:rPr>
                <w:szCs w:val="22"/>
              </w:rPr>
            </w:pPr>
          </w:p>
        </w:tc>
        <w:tc>
          <w:tcPr>
            <w:tcW w:w="4698" w:type="dxa"/>
          </w:tcPr>
          <w:p w:rsidR="001F2EC6" w:rsidRDefault="001F2EC6">
            <w:pPr>
              <w:rPr>
                <w:b/>
              </w:rPr>
            </w:pPr>
          </w:p>
        </w:tc>
      </w:tr>
    </w:tbl>
    <w:p w:rsidR="00276941" w:rsidRDefault="00924141">
      <w:pPr>
        <w:snapToGrid w:val="0"/>
        <w:jc w:val="center"/>
        <w:rPr>
          <w:b/>
          <w:bCs/>
          <w:szCs w:val="22"/>
        </w:rPr>
      </w:pPr>
      <w:r>
        <w:rPr>
          <w:b/>
          <w:bCs/>
          <w:szCs w:val="22"/>
        </w:rPr>
        <w:t>SECOND</w:t>
      </w:r>
      <w:r w:rsidR="009B3662">
        <w:rPr>
          <w:b/>
          <w:bCs/>
          <w:szCs w:val="22"/>
        </w:rPr>
        <w:t xml:space="preserve"> </w:t>
      </w:r>
      <w:r w:rsidR="00276941">
        <w:rPr>
          <w:b/>
          <w:bCs/>
          <w:szCs w:val="22"/>
        </w:rPr>
        <w:t>PROTECTIVE ORDER</w:t>
      </w:r>
    </w:p>
    <w:p w:rsidR="00276941" w:rsidRDefault="00276941">
      <w:pPr>
        <w:spacing w:after="120"/>
        <w:rPr>
          <w:szCs w:val="22"/>
        </w:rPr>
      </w:pPr>
    </w:p>
    <w:p w:rsidR="00276941" w:rsidRDefault="00276941">
      <w:pPr>
        <w:snapToGrid w:val="0"/>
        <w:spacing w:line="225" w:lineRule="auto"/>
        <w:rPr>
          <w:szCs w:val="22"/>
        </w:rPr>
      </w:pPr>
      <w:r w:rsidRPr="006D7F76">
        <w:rPr>
          <w:b/>
          <w:bCs/>
          <w:spacing w:val="-2"/>
          <w:szCs w:val="22"/>
        </w:rPr>
        <w:t>Adopted:</w:t>
      </w:r>
      <w:r w:rsidR="00263888" w:rsidRPr="006D7F76">
        <w:rPr>
          <w:b/>
          <w:bCs/>
          <w:spacing w:val="-2"/>
          <w:szCs w:val="22"/>
        </w:rPr>
        <w:t xml:space="preserve"> </w:t>
      </w:r>
      <w:r w:rsidR="00B120C4">
        <w:rPr>
          <w:b/>
          <w:bCs/>
          <w:spacing w:val="-2"/>
          <w:szCs w:val="22"/>
        </w:rPr>
        <w:t xml:space="preserve">March </w:t>
      </w:r>
      <w:r w:rsidR="004152EB">
        <w:rPr>
          <w:b/>
          <w:bCs/>
          <w:spacing w:val="-2"/>
          <w:szCs w:val="22"/>
        </w:rPr>
        <w:t>31</w:t>
      </w:r>
      <w:r w:rsidR="00B120C4">
        <w:rPr>
          <w:b/>
          <w:bCs/>
          <w:spacing w:val="-2"/>
          <w:szCs w:val="22"/>
        </w:rPr>
        <w:t>, 2016</w:t>
      </w:r>
      <w:r w:rsidRPr="006D7F76">
        <w:rPr>
          <w:spacing w:val="-2"/>
          <w:szCs w:val="22"/>
        </w:rPr>
        <w:tab/>
      </w:r>
      <w:r w:rsidRPr="006D7F76">
        <w:rPr>
          <w:spacing w:val="-2"/>
          <w:szCs w:val="22"/>
        </w:rPr>
        <w:tab/>
      </w:r>
      <w:r w:rsidRPr="006D7F76">
        <w:rPr>
          <w:spacing w:val="-2"/>
          <w:szCs w:val="22"/>
        </w:rPr>
        <w:tab/>
      </w:r>
      <w:r w:rsidR="009B3662" w:rsidRPr="006D7F76">
        <w:rPr>
          <w:spacing w:val="-2"/>
          <w:szCs w:val="22"/>
        </w:rPr>
        <w:tab/>
      </w:r>
      <w:r w:rsidR="009B3662" w:rsidRPr="006D7F76">
        <w:rPr>
          <w:spacing w:val="-2"/>
          <w:szCs w:val="22"/>
        </w:rPr>
        <w:tab/>
      </w:r>
      <w:r w:rsidR="009B3662" w:rsidRPr="006D7F76">
        <w:rPr>
          <w:spacing w:val="-2"/>
          <w:szCs w:val="22"/>
        </w:rPr>
        <w:tab/>
      </w:r>
      <w:r w:rsidRPr="006D7F76">
        <w:rPr>
          <w:b/>
          <w:spacing w:val="-2"/>
          <w:szCs w:val="22"/>
        </w:rPr>
        <w:t>R</w:t>
      </w:r>
      <w:r w:rsidRPr="006D7F76">
        <w:rPr>
          <w:b/>
          <w:bCs/>
          <w:spacing w:val="-2"/>
          <w:szCs w:val="22"/>
        </w:rPr>
        <w:t xml:space="preserve">eleased: </w:t>
      </w:r>
      <w:r w:rsidR="00B120C4">
        <w:rPr>
          <w:b/>
          <w:bCs/>
          <w:spacing w:val="-2"/>
          <w:szCs w:val="22"/>
        </w:rPr>
        <w:t xml:space="preserve">March </w:t>
      </w:r>
      <w:r w:rsidR="004152EB">
        <w:rPr>
          <w:b/>
          <w:bCs/>
          <w:spacing w:val="-2"/>
          <w:szCs w:val="22"/>
        </w:rPr>
        <w:t>31</w:t>
      </w:r>
      <w:r w:rsidR="00B120C4">
        <w:rPr>
          <w:b/>
          <w:bCs/>
          <w:spacing w:val="-2"/>
          <w:szCs w:val="22"/>
        </w:rPr>
        <w:t>, 2016</w:t>
      </w:r>
    </w:p>
    <w:p w:rsidR="00276941" w:rsidRDefault="00276941">
      <w:pPr>
        <w:snapToGrid w:val="0"/>
        <w:rPr>
          <w:szCs w:val="22"/>
        </w:rPr>
      </w:pPr>
      <w:r>
        <w:rPr>
          <w:szCs w:val="22"/>
        </w:rPr>
        <w:t> </w:t>
      </w:r>
    </w:p>
    <w:p w:rsidR="00276941" w:rsidRDefault="009B3662">
      <w:pPr>
        <w:snapToGrid w:val="0"/>
        <w:rPr>
          <w:szCs w:val="22"/>
        </w:rPr>
      </w:pPr>
      <w:r>
        <w:rPr>
          <w:szCs w:val="22"/>
        </w:rPr>
        <w:t xml:space="preserve">By the </w:t>
      </w:r>
      <w:r w:rsidRPr="00224B65">
        <w:rPr>
          <w:szCs w:val="22"/>
        </w:rPr>
        <w:t xml:space="preserve">Chief, </w:t>
      </w:r>
      <w:r w:rsidR="001F2EC6">
        <w:rPr>
          <w:szCs w:val="22"/>
        </w:rPr>
        <w:t>Wireline Competition Bureau</w:t>
      </w:r>
      <w:r w:rsidR="00276941" w:rsidRPr="00224B65">
        <w:rPr>
          <w:szCs w:val="22"/>
        </w:rPr>
        <w:t>:</w:t>
      </w:r>
      <w:r w:rsidR="00276941">
        <w:rPr>
          <w:szCs w:val="22"/>
        </w:rPr>
        <w:t xml:space="preserve">  </w:t>
      </w:r>
    </w:p>
    <w:p w:rsidR="00276941" w:rsidRDefault="00276941">
      <w:pPr>
        <w:snapToGrid w:val="0"/>
        <w:rPr>
          <w:szCs w:val="22"/>
        </w:rPr>
      </w:pPr>
      <w:r>
        <w:rPr>
          <w:spacing w:val="-2"/>
          <w:szCs w:val="22"/>
        </w:rPr>
        <w:t> </w:t>
      </w:r>
    </w:p>
    <w:p w:rsidR="00924141" w:rsidRPr="00924141" w:rsidRDefault="00B120C4" w:rsidP="0069679C">
      <w:pPr>
        <w:pStyle w:val="ParaNum"/>
        <w:rPr>
          <w:color w:val="000000"/>
        </w:rPr>
      </w:pPr>
      <w:r>
        <w:rPr>
          <w:snapToGrid/>
          <w:kern w:val="0"/>
        </w:rPr>
        <w:t>On March 26, 2015 the Commission adopted an Order approving the recommendation of the North American Numbering Council (NANC) that Telcordia Technologies, Inc.</w:t>
      </w:r>
      <w:r w:rsidR="002E04EA">
        <w:rPr>
          <w:snapToGrid/>
          <w:kern w:val="0"/>
        </w:rPr>
        <w:t>,</w:t>
      </w:r>
      <w:r>
        <w:rPr>
          <w:snapToGrid/>
          <w:kern w:val="0"/>
        </w:rPr>
        <w:t xml:space="preserve"> d/b/a iconectiv (Telcordia) serve as the next local number portability administrator (LNPA).</w:t>
      </w:r>
      <w:r w:rsidR="00185D36">
        <w:rPr>
          <w:rStyle w:val="FootnoteReference"/>
          <w:snapToGrid/>
          <w:kern w:val="0"/>
        </w:rPr>
        <w:footnoteReference w:id="1"/>
      </w:r>
      <w:r>
        <w:rPr>
          <w:snapToGrid/>
          <w:kern w:val="0"/>
        </w:rPr>
        <w:t xml:space="preserve">  The Order directed the North American Portability Management, LLC (NAPM), with Commission oversight, to negotiate the terms of </w:t>
      </w:r>
      <w:r w:rsidR="002E04EA">
        <w:rPr>
          <w:snapToGrid/>
          <w:kern w:val="0"/>
        </w:rPr>
        <w:t>a</w:t>
      </w:r>
      <w:r>
        <w:rPr>
          <w:snapToGrid/>
          <w:kern w:val="0"/>
        </w:rPr>
        <w:t xml:space="preserve"> </w:t>
      </w:r>
      <w:r w:rsidR="00150C81">
        <w:rPr>
          <w:snapToGrid/>
          <w:kern w:val="0"/>
        </w:rPr>
        <w:t>Master Services Agreement</w:t>
      </w:r>
      <w:r w:rsidR="006A1937">
        <w:rPr>
          <w:snapToGrid/>
          <w:kern w:val="0"/>
        </w:rPr>
        <w:t xml:space="preserve"> or MSA</w:t>
      </w:r>
      <w:r>
        <w:rPr>
          <w:snapToGrid/>
          <w:kern w:val="0"/>
        </w:rPr>
        <w:t xml:space="preserve"> </w:t>
      </w:r>
      <w:r w:rsidR="00150C81">
        <w:rPr>
          <w:snapToGrid/>
          <w:kern w:val="0"/>
        </w:rPr>
        <w:t xml:space="preserve">(as defined herein) </w:t>
      </w:r>
      <w:r>
        <w:rPr>
          <w:snapToGrid/>
          <w:kern w:val="0"/>
        </w:rPr>
        <w:t xml:space="preserve">with Telcordia.  The Order further provided for the </w:t>
      </w:r>
      <w:r w:rsidR="00C45D39">
        <w:rPr>
          <w:snapToGrid/>
          <w:kern w:val="0"/>
        </w:rPr>
        <w:t>MSA</w:t>
      </w:r>
      <w:r w:rsidR="006A1937">
        <w:rPr>
          <w:snapToGrid/>
          <w:kern w:val="0"/>
        </w:rPr>
        <w:t>, a Voting Trust,</w:t>
      </w:r>
      <w:r>
        <w:rPr>
          <w:snapToGrid/>
          <w:kern w:val="0"/>
        </w:rPr>
        <w:t xml:space="preserve"> and a Code of Conduct relating to neutrality to be submitted to the Commission for review and approval.</w:t>
      </w:r>
      <w:r>
        <w:rPr>
          <w:rStyle w:val="FootnoteReference"/>
          <w:snapToGrid/>
          <w:kern w:val="0"/>
        </w:rPr>
        <w:footnoteReference w:id="2"/>
      </w:r>
      <w:r w:rsidR="00924141">
        <w:rPr>
          <w:snapToGrid/>
          <w:kern w:val="0"/>
        </w:rPr>
        <w:t xml:space="preserve">  It is anticipated that the NAPM and Telcordia will be submitting the </w:t>
      </w:r>
      <w:r w:rsidR="00C45D39">
        <w:rPr>
          <w:snapToGrid/>
          <w:kern w:val="0"/>
        </w:rPr>
        <w:t>MSA</w:t>
      </w:r>
      <w:r w:rsidR="00924141">
        <w:rPr>
          <w:snapToGrid/>
          <w:kern w:val="0"/>
        </w:rPr>
        <w:t xml:space="preserve"> and Code of Conduct to the Commission in the near future.</w:t>
      </w:r>
    </w:p>
    <w:p w:rsidR="00276941" w:rsidRDefault="000114C1" w:rsidP="0069679C">
      <w:pPr>
        <w:pStyle w:val="ParaNum"/>
        <w:rPr>
          <w:color w:val="000000"/>
        </w:rPr>
      </w:pPr>
      <w:r>
        <w:t>In our</w:t>
      </w:r>
      <w:r w:rsidR="00924141">
        <w:t xml:space="preserve"> </w:t>
      </w:r>
      <w:r w:rsidR="00D4554A" w:rsidRPr="003F550E">
        <w:rPr>
          <w:i/>
        </w:rPr>
        <w:t>Revised</w:t>
      </w:r>
      <w:r w:rsidR="00276941" w:rsidRPr="003F550E">
        <w:rPr>
          <w:i/>
        </w:rPr>
        <w:t xml:space="preserve"> Protective Order</w:t>
      </w:r>
      <w:r>
        <w:t xml:space="preserve"> in this proceeding</w:t>
      </w:r>
      <w:r w:rsidR="00276941">
        <w:t>,</w:t>
      </w:r>
      <w:r w:rsidR="00150C81">
        <w:rPr>
          <w:rStyle w:val="FootnoteReference"/>
        </w:rPr>
        <w:footnoteReference w:id="3"/>
      </w:r>
      <w:r w:rsidR="00276941">
        <w:t xml:space="preserve"> </w:t>
      </w:r>
      <w:r w:rsidR="00924141">
        <w:t xml:space="preserve">the </w:t>
      </w:r>
      <w:r w:rsidR="00A02DED">
        <w:t xml:space="preserve">Wireline Competition Bureau </w:t>
      </w:r>
      <w:r w:rsidR="009B3662">
        <w:t>adopt</w:t>
      </w:r>
      <w:r w:rsidR="00924141">
        <w:t>ed</w:t>
      </w:r>
      <w:r w:rsidR="009B3662">
        <w:t xml:space="preserve"> procedures to (i) limit access to proprietary or confidential information that may be filed in this proceeding, and (ii) </w:t>
      </w:r>
      <w:r w:rsidR="00094DEA">
        <w:t xml:space="preserve">more strictly limit </w:t>
      </w:r>
      <w:r w:rsidR="00276941">
        <w:t xml:space="preserve">access to certain particularly competitively sensitive information, which, if released to competitors or those with whom the Submitting Party does business, would allow </w:t>
      </w:r>
      <w:r w:rsidR="00276941">
        <w:lastRenderedPageBreak/>
        <w:t xml:space="preserve">those persons to gain a significant </w:t>
      </w:r>
      <w:r w:rsidR="00276941" w:rsidRPr="0069679C">
        <w:t>competitive</w:t>
      </w:r>
      <w:r w:rsidR="00276941">
        <w:t xml:space="preserve"> advantage or an advantage in negotiations.  </w:t>
      </w:r>
      <w:r>
        <w:t xml:space="preserve">In this Second Protective Order, we adopt similar procedures to those adopted in the </w:t>
      </w:r>
      <w:r w:rsidRPr="003F550E">
        <w:rPr>
          <w:i/>
        </w:rPr>
        <w:t>Revised Protective Order</w:t>
      </w:r>
      <w:r>
        <w:t xml:space="preserve"> but, due to the particularly sensitive nature of some of the information, information that</w:t>
      </w:r>
      <w:r w:rsidR="00C45D39">
        <w:t xml:space="preserve"> we consider</w:t>
      </w:r>
      <w:r>
        <w:t xml:space="preserve"> is </w:t>
      </w:r>
      <w:r w:rsidR="00C45D39">
        <w:t>of greater sensitivity</w:t>
      </w:r>
      <w:r>
        <w:t xml:space="preserve"> than </w:t>
      </w:r>
      <w:r w:rsidR="0037512F">
        <w:t xml:space="preserve">information </w:t>
      </w:r>
      <w:r w:rsidR="00AC3217">
        <w:t xml:space="preserve">normally </w:t>
      </w:r>
      <w:r w:rsidR="0037512F">
        <w:t xml:space="preserve">accorded </w:t>
      </w:r>
      <w:r>
        <w:t xml:space="preserve">our </w:t>
      </w:r>
      <w:r w:rsidR="00C45D39">
        <w:t>Highly Confidential designation</w:t>
      </w:r>
      <w:r w:rsidR="00AC3217">
        <w:t>, w</w:t>
      </w:r>
      <w:r>
        <w:t xml:space="preserve">e adopt additional safeguards for </w:t>
      </w:r>
      <w:r w:rsidR="00C45D39">
        <w:t>such information.  The particularly sensitive</w:t>
      </w:r>
      <w:r w:rsidR="000A3E3B">
        <w:t xml:space="preserve"> information relates to the </w:t>
      </w:r>
      <w:r w:rsidR="0037512F">
        <w:t xml:space="preserve">national </w:t>
      </w:r>
      <w:r w:rsidR="000A3E3B">
        <w:t>security</w:t>
      </w:r>
      <w:r w:rsidR="006A1937">
        <w:t xml:space="preserve"> and law enforcement aspects</w:t>
      </w:r>
      <w:r w:rsidR="000A3E3B">
        <w:t xml:space="preserve"> of the </w:t>
      </w:r>
      <w:r w:rsidR="00C45D39">
        <w:t>MSA and, i</w:t>
      </w:r>
      <w:r w:rsidR="0027647E">
        <w:t xml:space="preserve">n particular, </w:t>
      </w:r>
      <w:r w:rsidR="00C45D39">
        <w:t xml:space="preserve">to </w:t>
      </w:r>
      <w:r w:rsidR="006A1937">
        <w:t xml:space="preserve">certain </w:t>
      </w:r>
      <w:r w:rsidR="0027647E">
        <w:t xml:space="preserve">exhibits to the </w:t>
      </w:r>
      <w:r w:rsidR="00C45D39">
        <w:t>MSA</w:t>
      </w:r>
      <w:r w:rsidR="0027647E">
        <w:t xml:space="preserve"> that deal with such matters</w:t>
      </w:r>
      <w:r w:rsidR="000A3E3B">
        <w:t xml:space="preserve">.  </w:t>
      </w:r>
      <w:r>
        <w:t xml:space="preserve"> </w:t>
      </w:r>
      <w:r w:rsidR="00C45D39">
        <w:t>Notwithstanding these additional safeguards, w</w:t>
      </w:r>
      <w:r w:rsidR="00276941">
        <w:t xml:space="preserve">e are </w:t>
      </w:r>
      <w:r w:rsidR="000A3E3B">
        <w:t xml:space="preserve">nevertheless </w:t>
      </w:r>
      <w:r w:rsidR="00276941">
        <w:t xml:space="preserve">mindful of the right of the public to participate in this proceeding in a meaningful way.  </w:t>
      </w:r>
      <w:r w:rsidR="003564F3">
        <w:t>C</w:t>
      </w:r>
      <w:r w:rsidR="00276941">
        <w:t xml:space="preserve">onsistent with past practice, </w:t>
      </w:r>
      <w:r w:rsidR="003564F3">
        <w:t xml:space="preserve">therefore, </w:t>
      </w:r>
      <w:r w:rsidR="00276941">
        <w:t xml:space="preserve">we will make </w:t>
      </w:r>
      <w:r w:rsidR="000A3E3B">
        <w:t xml:space="preserve">the </w:t>
      </w:r>
      <w:r w:rsidR="00C45D39">
        <w:t>MSA</w:t>
      </w:r>
      <w:r w:rsidR="000A3E3B">
        <w:t xml:space="preserve"> </w:t>
      </w:r>
      <w:r w:rsidR="009B10BB">
        <w:t>including</w:t>
      </w:r>
      <w:r w:rsidR="000A3E3B">
        <w:t xml:space="preserve"> the </w:t>
      </w:r>
      <w:r w:rsidR="00C45D39">
        <w:t>exhibits</w:t>
      </w:r>
      <w:r w:rsidR="000A3E3B">
        <w:t xml:space="preserve"> </w:t>
      </w:r>
      <w:r w:rsidR="006A1937">
        <w:t xml:space="preserve">that address national security and law enforcement matters </w:t>
      </w:r>
      <w:r w:rsidR="00276941">
        <w:t>available to participants in this proceeding</w:t>
      </w:r>
      <w:r w:rsidR="009B3662">
        <w:t xml:space="preserve"> purs</w:t>
      </w:r>
      <w:r w:rsidR="009B10BB">
        <w:t xml:space="preserve">uant to a protective order; </w:t>
      </w:r>
      <w:r w:rsidR="009B3662">
        <w:t>in the case of Highly Confidential Information, we will</w:t>
      </w:r>
      <w:r w:rsidR="00276941">
        <w:t xml:space="preserve"> limit such access to their Outside Counsel of Record and Outside Consultants who </w:t>
      </w:r>
      <w:r w:rsidR="00FB551F">
        <w:t xml:space="preserve">are </w:t>
      </w:r>
      <w:r w:rsidR="00276941">
        <w:t>retain</w:t>
      </w:r>
      <w:r w:rsidR="00FB551F">
        <w:t>ed</w:t>
      </w:r>
      <w:r w:rsidR="00276941">
        <w:t xml:space="preserve"> to assist them in this proceeding, and employees of such Outside Counsel and Outside Consultants</w:t>
      </w:r>
      <w:r w:rsidR="009B10BB">
        <w:t xml:space="preserve">; and in the case of the </w:t>
      </w:r>
      <w:r w:rsidR="00C45D39">
        <w:t>exhibits</w:t>
      </w:r>
      <w:r w:rsidR="009B10BB">
        <w:t xml:space="preserve"> </w:t>
      </w:r>
      <w:r w:rsidR="006A1937">
        <w:t xml:space="preserve">that address national security and law enforcement matters </w:t>
      </w:r>
      <w:r w:rsidR="009B10BB">
        <w:t>we will add additional limitations</w:t>
      </w:r>
      <w:r w:rsidR="006A1937">
        <w:t>,</w:t>
      </w:r>
      <w:r w:rsidR="009B10BB">
        <w:t xml:space="preserve"> </w:t>
      </w:r>
      <w:r w:rsidR="006A1937">
        <w:t xml:space="preserve">described later in this Second Protective Order, </w:t>
      </w:r>
      <w:r w:rsidR="009B10BB">
        <w:t xml:space="preserve">as to who may view such information </w:t>
      </w:r>
      <w:r w:rsidR="00521856">
        <w:t>and under what circumstances</w:t>
      </w:r>
      <w:r w:rsidR="00276941">
        <w:t xml:space="preserve">.  We </w:t>
      </w:r>
      <w:r w:rsidR="00276941">
        <w:rPr>
          <w:szCs w:val="22"/>
        </w:rPr>
        <w:t xml:space="preserve">conclude that </w:t>
      </w:r>
      <w:r w:rsidR="00276941">
        <w:rPr>
          <w:color w:val="000000"/>
        </w:rPr>
        <w:t xml:space="preserve">the procedures we adopt in this </w:t>
      </w:r>
      <w:r w:rsidR="009B10BB">
        <w:rPr>
          <w:color w:val="000000"/>
        </w:rPr>
        <w:t>Second</w:t>
      </w:r>
      <w:r w:rsidR="009B3662">
        <w:rPr>
          <w:color w:val="000000"/>
        </w:rPr>
        <w:t xml:space="preserve"> </w:t>
      </w:r>
      <w:r w:rsidR="00276941">
        <w:rPr>
          <w:color w:val="000000"/>
        </w:rPr>
        <w:t xml:space="preserve">Protective Order give appropriate access to the public while protecting competitively sensitive information from improper disclosure, and that the procedures thereby serve the public interest. </w:t>
      </w:r>
    </w:p>
    <w:p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3F550E">
        <w:t>Second</w:t>
      </w:r>
      <w:r>
        <w:t xml:space="preserve"> Protective Order shall have the following meanings:</w:t>
      </w:r>
      <w:bookmarkEnd w:id="1"/>
    </w:p>
    <w:p w:rsidR="00276941" w:rsidRDefault="00276941">
      <w:pPr>
        <w:snapToGrid w:val="0"/>
        <w:spacing w:after="120"/>
        <w:ind w:firstLine="720"/>
        <w:rPr>
          <w:szCs w:val="22"/>
        </w:rPr>
      </w:pPr>
      <w:r>
        <w:rPr>
          <w:szCs w:val="22"/>
        </w:rPr>
        <w:t>“Acknowledgment” means the Acknowledgment of Confidentiality attached as Appendix B hereto.</w:t>
      </w:r>
    </w:p>
    <w:p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his</w:t>
      </w:r>
      <w:r w:rsidR="00521856">
        <w:rPr>
          <w:szCs w:val="22"/>
        </w:rPr>
        <w:t xml:space="preserve"> or her</w:t>
      </w:r>
      <w:r w:rsidR="00074E0E">
        <w:rPr>
          <w:szCs w:val="22"/>
        </w:rPr>
        <w:t xml:space="preserve">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rsidR="000D6B60" w:rsidRDefault="008E3F5F" w:rsidP="008E3F5F">
      <w:pPr>
        <w:snapToGrid w:val="0"/>
        <w:spacing w:after="120"/>
        <w:ind w:firstLine="720"/>
        <w:rPr>
          <w:szCs w:val="22"/>
        </w:rPr>
      </w:pPr>
      <w:r>
        <w:rPr>
          <w:szCs w:val="22"/>
        </w:rPr>
        <w:t>“Counsel” means In-House Counsel and Outside Counsel of Record.</w:t>
      </w:r>
    </w:p>
    <w:p w:rsidR="00AC128C" w:rsidRPr="008E3F5F" w:rsidRDefault="00AC128C" w:rsidP="008C748A">
      <w:pPr>
        <w:keepLines/>
        <w:snapToGrid w:val="0"/>
        <w:spacing w:after="120"/>
        <w:ind w:firstLine="720"/>
        <w:rPr>
          <w:szCs w:val="22"/>
        </w:rPr>
      </w:pPr>
      <w:r>
        <w:rPr>
          <w:rStyle w:val="StyleParaNum11ptCharCharCharCharCharCharCharCharCharCharCharCharChar"/>
          <w:szCs w:val="22"/>
        </w:rPr>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Default="00276941">
      <w:pPr>
        <w:snapToGrid w:val="0"/>
        <w:spacing w:after="120"/>
        <w:ind w:firstLine="720"/>
      </w:pPr>
      <w:r>
        <w:rPr>
          <w:szCs w:val="22"/>
        </w:rPr>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 xml:space="preserve">most sensitive business data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is described in Appendix A to this </w:t>
      </w:r>
      <w:r w:rsidR="00D4554A">
        <w:rPr>
          <w:rStyle w:val="StyleParaNum11ptCharCharCharCharCharCharCharCharCharCharCharCharChar"/>
          <w:szCs w:val="22"/>
        </w:rPr>
        <w:t>Second</w:t>
      </w:r>
      <w:r>
        <w:rPr>
          <w:rStyle w:val="StyleParaNum11ptCharCharCharCharCharCharCharCharCharCharCharCharChar"/>
          <w:szCs w:val="22"/>
        </w:rPr>
        <w:t xml:space="preserve"> Protective Order, as the same may be amended from time to time</w:t>
      </w:r>
      <w:r>
        <w:t>.</w:t>
      </w:r>
    </w:p>
    <w:p w:rsidR="008E3F5F" w:rsidRDefault="008E3F5F" w:rsidP="008E3F5F">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rsidR="00150C81" w:rsidRPr="008E3F5F" w:rsidRDefault="00150C81" w:rsidP="008E3F5F">
      <w:pPr>
        <w:snapToGrid w:val="0"/>
        <w:spacing w:after="120"/>
        <w:ind w:firstLine="720"/>
        <w:rPr>
          <w:szCs w:val="22"/>
        </w:rPr>
      </w:pPr>
      <w:r>
        <w:rPr>
          <w:rStyle w:val="StyleParaNum11ptCharCharCharCharCharCharCharCharCharCharCharCharChar"/>
          <w:szCs w:val="22"/>
        </w:rPr>
        <w:t xml:space="preserve">“MSA” means that certain </w:t>
      </w:r>
      <w:r w:rsidR="00CB13BF" w:rsidRPr="00CB13BF">
        <w:rPr>
          <w:szCs w:val="22"/>
        </w:rPr>
        <w:t>Master Services Agreement for Number Portability Administration Center/Service Management System between Telcordia Technologies, Inc., and North Ameri</w:t>
      </w:r>
      <w:r w:rsidR="00CB13BF">
        <w:rPr>
          <w:szCs w:val="22"/>
        </w:rPr>
        <w:t>can Portability Management LLC,</w:t>
      </w:r>
      <w:r w:rsidR="00CB13BF" w:rsidRPr="00CB13BF">
        <w:rPr>
          <w:szCs w:val="22"/>
        </w:rPr>
        <w:t xml:space="preserve"> consist</w:t>
      </w:r>
      <w:r w:rsidR="00CB13BF">
        <w:rPr>
          <w:szCs w:val="22"/>
        </w:rPr>
        <w:t>ing</w:t>
      </w:r>
      <w:r w:rsidR="00CB13BF" w:rsidRPr="00CB13BF">
        <w:rPr>
          <w:szCs w:val="22"/>
        </w:rPr>
        <w:t xml:space="preserve"> of seven substantially similar contracts, each dealing with a separate region of the country</w:t>
      </w:r>
      <w:r w:rsidR="00CB13BF">
        <w:rPr>
          <w:szCs w:val="22"/>
        </w:rPr>
        <w:t xml:space="preserve">, including all exhibits attached thereto.  </w:t>
      </w:r>
      <w:r w:rsidR="00CB13BF" w:rsidRPr="00CB13BF">
        <w:rPr>
          <w:szCs w:val="22"/>
        </w:rPr>
        <w:t xml:space="preserve"> </w:t>
      </w:r>
    </w:p>
    <w:p w:rsidR="008A3773" w:rsidRDefault="00351FA9" w:rsidP="008A3773">
      <w:pPr>
        <w:snapToGrid w:val="0"/>
        <w:spacing w:after="120"/>
        <w:rPr>
          <w:rFonts w:ascii="Calibri" w:hAnsi="Calibri" w:cs="Calibri"/>
          <w:szCs w:val="22"/>
        </w:rPr>
      </w:pPr>
      <w:r w:rsidRPr="001106B2">
        <w:rPr>
          <w:color w:val="000000"/>
        </w:rPr>
        <w:lastRenderedPageBreak/>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Pr>
        <w:t>case</w:t>
      </w:r>
      <w:r w:rsidRPr="001106B2">
        <w:rPr>
          <w:color w:val="000000"/>
        </w:rPr>
        <w:t xml:space="preserve"> may be, retained by a Participant, provided that such attorneys are not involved in Competitive Decision-Making.  The term “Outside Counsel of Record” includes any attorney employed by a non-commercial Participant, provided that such attorney is not involved in Competitive Decision-Making.  </w:t>
      </w:r>
    </w:p>
    <w:p w:rsidR="00276941" w:rsidRDefault="00276941" w:rsidP="008A3773">
      <w:pPr>
        <w:snapToGrid w:val="0"/>
        <w:spacing w:after="120"/>
        <w:ind w:firstLine="720"/>
      </w:pPr>
      <w:r>
        <w:t>“Outside Consultant” means a consultant or expert retained for the purpose of assisting Outside Counsel or a Participant, provided that such consultant or expert is not involved in Competitive Decision-Making.  The term “Outside Consultant” includes any consultant or expert employed by a non-commercial Participant, provided that such consultant or expert is not involved in Competitive Decision-Making.</w:t>
      </w:r>
    </w:p>
    <w:p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276941" w:rsidRDefault="00276941" w:rsidP="00F2663B">
      <w:pPr>
        <w:widowControl/>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rsidR="008E3F5F" w:rsidRDefault="008E3F5F" w:rsidP="00F2663B">
      <w:pPr>
        <w:widowControl/>
        <w:snapToGrid w:val="0"/>
        <w:spacing w:after="120"/>
        <w:ind w:firstLine="720"/>
      </w:pPr>
      <w:r>
        <w:rPr>
          <w:szCs w:val="22"/>
        </w:rPr>
        <w:t>“Redacted Confidential Document” means a copy of a Stamped Confidential Document where the Confidential Information has been redacted.</w:t>
      </w:r>
    </w:p>
    <w:p w:rsidR="00276941" w:rsidRDefault="00276941" w:rsidP="00F2663B">
      <w:pPr>
        <w:widowControl/>
        <w:snapToGrid w:val="0"/>
        <w:spacing w:after="120"/>
        <w:ind w:firstLine="720"/>
      </w:pPr>
      <w:r>
        <w:rPr>
          <w:szCs w:val="22"/>
        </w:rPr>
        <w:t>“Redacted Highly Confidential Document” means a copy of a Stamped Highly Confidential Document where the Highly Confidential Information has been redacted.</w:t>
      </w:r>
    </w:p>
    <w:p w:rsid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sidR="006A1937">
        <w:rPr>
          <w:szCs w:val="22"/>
        </w:rPr>
        <w:t xml:space="preserve">9 or </w:t>
      </w:r>
      <w:r w:rsidR="008F4814">
        <w:rPr>
          <w:szCs w:val="22"/>
        </w:rPr>
        <w:t>10</w:t>
      </w:r>
      <w:r w:rsidR="003564F3">
        <w:rPr>
          <w:szCs w:val="22"/>
        </w:rPr>
        <w:t xml:space="preserve"> </w:t>
      </w:r>
      <w:r>
        <w:rPr>
          <w:rStyle w:val="StyleParaNum11ptCharCharCharCharCharCharCharCharCharCharCharCharChar"/>
          <w:szCs w:val="22"/>
        </w:rPr>
        <w:t xml:space="preserve">of this </w:t>
      </w:r>
      <w:r w:rsidR="00D4554A">
        <w:rPr>
          <w:rStyle w:val="StyleParaNum11ptCharCharCharCharCharCharCharCharCharCharCharCharChar"/>
          <w:szCs w:val="22"/>
        </w:rPr>
        <w:t>Second</w:t>
      </w:r>
      <w:r>
        <w:rPr>
          <w:rStyle w:val="StyleParaNum11ptCharCharCharCharCharCharCharCharCharCharCharCharChar"/>
          <w:szCs w:val="22"/>
        </w:rPr>
        <w:t xml:space="preserve"> Protective Order.</w:t>
      </w:r>
    </w:p>
    <w:p w:rsidR="0027647E" w:rsidRPr="008E3F5F" w:rsidRDefault="0027647E" w:rsidP="008E3F5F">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“Security Documents</w:t>
      </w:r>
      <w:r w:rsidR="003F550E">
        <w:rPr>
          <w:rStyle w:val="StyleParaNum11ptCharCharCharCharCharCharCharCharCharCharCharCharChar"/>
          <w:szCs w:val="22"/>
        </w:rPr>
        <w:t>” means</w:t>
      </w:r>
      <w:r>
        <w:rPr>
          <w:rStyle w:val="StyleParaNum11ptCharCharCharCharCharCharCharCharCharCharCharCharChar"/>
          <w:szCs w:val="22"/>
        </w:rPr>
        <w:t xml:space="preserve"> </w:t>
      </w:r>
      <w:r w:rsidR="00521856">
        <w:rPr>
          <w:rStyle w:val="StyleParaNum11ptCharCharCharCharCharCharCharCharCharCharCharCharChar"/>
          <w:szCs w:val="22"/>
        </w:rPr>
        <w:t xml:space="preserve">Section 5.3 of the MSA and </w:t>
      </w:r>
      <w:r w:rsidR="00155D78">
        <w:rPr>
          <w:rStyle w:val="StyleParaNum11ptCharCharCharCharCharCharCharCharCharCharCharCharChar"/>
          <w:szCs w:val="22"/>
        </w:rPr>
        <w:t>Exhibits R1</w:t>
      </w:r>
      <w:r w:rsidR="00155D78">
        <w:rPr>
          <w:rStyle w:val="StyleParaNum11ptCharCharCharCharCharCharCharCharCharCharCharCharChar"/>
          <w:szCs w:val="22"/>
        </w:rPr>
        <w:noBreakHyphen/>
      </w:r>
      <w:r>
        <w:rPr>
          <w:rStyle w:val="StyleParaNum11ptCharCharCharCharCharCharCharCharCharCharCharCharChar"/>
          <w:szCs w:val="22"/>
        </w:rPr>
        <w:t xml:space="preserve">R5 </w:t>
      </w:r>
      <w:r w:rsidR="00521856">
        <w:rPr>
          <w:rStyle w:val="StyleParaNum11ptCharCharCharCharCharCharCharCharCharCharCharCharChar"/>
          <w:szCs w:val="22"/>
        </w:rPr>
        <w:t xml:space="preserve">to </w:t>
      </w:r>
      <w:r>
        <w:rPr>
          <w:rStyle w:val="StyleParaNum11ptCharCharCharCharCharCharCharCharCharCharCharCharChar"/>
          <w:szCs w:val="22"/>
        </w:rPr>
        <w:t xml:space="preserve">the </w:t>
      </w:r>
      <w:r w:rsidR="003F550E">
        <w:rPr>
          <w:rStyle w:val="StyleParaNum11ptCharCharCharCharCharCharCharCharCharCharCharCharChar"/>
          <w:szCs w:val="22"/>
        </w:rPr>
        <w:t>MSA</w:t>
      </w:r>
      <w:r>
        <w:rPr>
          <w:rStyle w:val="StyleParaNum11ptCharCharCharCharCharCharCharCharCharCharCharCharChar"/>
          <w:szCs w:val="22"/>
        </w:rPr>
        <w:t>.</w:t>
      </w:r>
    </w:p>
    <w:p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w:t>
      </w:r>
      <w:r w:rsidR="0027647E">
        <w:rPr>
          <w:rStyle w:val="StyleParaNum11ptCharCharCharCharCharCharCharCharCharCharCharCharChar"/>
          <w:szCs w:val="22"/>
        </w:rPr>
        <w:t>SECOND</w:t>
      </w:r>
      <w:r w:rsidR="00155D78">
        <w:rPr>
          <w:rStyle w:val="StyleParaNum11ptCharCharCharCharCharCharCharCharCharCharCharCharChar"/>
          <w:szCs w:val="22"/>
        </w:rPr>
        <w:t xml:space="preserve"> PROTECTIVE ORDER IN </w:t>
      </w:r>
      <w:r w:rsidR="00834D9E">
        <w:rPr>
          <w:rStyle w:val="StyleParaNum11ptCharCharCharCharCharCharCharCharCharCharCharCharChar"/>
          <w:szCs w:val="22"/>
        </w:rPr>
        <w:t>WC</w:t>
      </w:r>
      <w:r w:rsidR="00465B83">
        <w:rPr>
          <w:rStyle w:val="StyleParaNum11ptCharCharCharCharCharCharCharCharCharCharCharCharChar"/>
          <w:szCs w:val="22"/>
        </w:rPr>
        <w:t xml:space="preserve"> </w:t>
      </w:r>
      <w:r w:rsidR="00834D9E">
        <w:rPr>
          <w:caps/>
          <w:szCs w:val="22"/>
        </w:rPr>
        <w:t xml:space="preserve">Docket </w:t>
      </w:r>
      <w:r w:rsidR="0065088D">
        <w:rPr>
          <w:caps/>
          <w:szCs w:val="22"/>
        </w:rPr>
        <w:t>Nos</w:t>
      </w:r>
      <w:r w:rsidR="0065088D">
        <w:rPr>
          <w:rStyle w:val="StyleParaNum11ptCharCharCharCharCharCharCharCharCharCharCharCharChar"/>
          <w:szCs w:val="22"/>
        </w:rPr>
        <w:t xml:space="preserve">. 07-149, </w:t>
      </w:r>
      <w:r w:rsidR="00834D9E">
        <w:rPr>
          <w:rStyle w:val="StyleParaNum11ptCharCharCharCharCharCharCharCharCharCharCharCharChar"/>
          <w:szCs w:val="22"/>
        </w:rPr>
        <w:t xml:space="preserve"> 09-109 </w:t>
      </w:r>
      <w:r w:rsidR="00834D9E" w:rsidRPr="004630EF">
        <w:rPr>
          <w:caps/>
          <w:szCs w:val="22"/>
        </w:rPr>
        <w:t xml:space="preserve">&amp; CC DOCKET No. 95-116 </w:t>
      </w:r>
      <w:r>
        <w:rPr>
          <w:rStyle w:val="StyleParaNum11ptCharCharCharCharCharCharCharCharCharCharCharCharChar"/>
          <w:szCs w:val="22"/>
        </w:rPr>
        <w:t>BEFORE THE FEDERAL COMMUNICATIONS COMMISSION”</w:t>
      </w:r>
      <w:r w:rsidR="004A7312">
        <w:rPr>
          <w:rStyle w:val="StyleParaNum11ptCharCharCharCharCharCharCharCharCharCharCharCharChar"/>
          <w:szCs w:val="22"/>
        </w:rPr>
        <w:t>,</w:t>
      </w:r>
      <w:r>
        <w:rPr>
          <w:rStyle w:val="StyleParaNum11ptCharCharCharCharCharCharCharCharCharCharCharCharChar"/>
          <w:szCs w:val="22"/>
        </w:rPr>
        <w:t xml:space="preserve">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475B79">
        <w:rPr>
          <w:rStyle w:val="StyleParaNum11ptCharCharCharCharCharCharCharCharCharCharCharCharChar"/>
          <w:szCs w:val="22"/>
        </w:rPr>
        <w:t>5</w:t>
      </w:r>
      <w:r w:rsidR="00FB551F">
        <w:rPr>
          <w:rStyle w:val="StyleParaNum11ptCharCharCharCharCharCharCharCharCharCharCharCharChar"/>
          <w:szCs w:val="22"/>
        </w:rPr>
        <w:t xml:space="preserve"> of this </w:t>
      </w:r>
      <w:r w:rsidR="00D4554A">
        <w:rPr>
          <w:rStyle w:val="StyleParaNum11ptCharCharCharCharCharCharCharCharCharCharCharCharChar"/>
          <w:szCs w:val="22"/>
        </w:rPr>
        <w:t>Second</w:t>
      </w:r>
      <w:r w:rsidR="00FB551F">
        <w:rPr>
          <w:rStyle w:val="StyleParaNum11ptCharCharCharCharCharCharCharCharCharCharCharCharChar"/>
          <w:szCs w:val="22"/>
        </w:rPr>
        <w:t xml:space="preserve">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4"/>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w:t>
      </w:r>
      <w:r w:rsidR="0027647E">
        <w:rPr>
          <w:rStyle w:val="StyleParaNum11ptCharCharCharCharCharCharCharCharCharCharCharCharChar"/>
          <w:szCs w:val="22"/>
        </w:rPr>
        <w:t>SECOND</w:t>
      </w:r>
      <w:r>
        <w:rPr>
          <w:rStyle w:val="StyleParaNum11ptCharCharCharCharCharCharCharCharCharCharCharCharChar"/>
          <w:szCs w:val="22"/>
        </w:rPr>
        <w:t xml:space="preserve"> PROTECTIVE ORDER IN  </w:t>
      </w:r>
      <w:r w:rsidR="00834D9E">
        <w:rPr>
          <w:rStyle w:val="StyleParaNum11ptCharCharCharCharCharCharCharCharCharCharCharCharChar"/>
          <w:szCs w:val="22"/>
        </w:rPr>
        <w:t xml:space="preserve">WC </w:t>
      </w:r>
      <w:r w:rsidR="00834D9E">
        <w:rPr>
          <w:caps/>
          <w:szCs w:val="22"/>
        </w:rPr>
        <w:t xml:space="preserve">Docket </w:t>
      </w:r>
      <w:r w:rsidR="0065088D">
        <w:rPr>
          <w:caps/>
          <w:szCs w:val="22"/>
        </w:rPr>
        <w:t>Nos</w:t>
      </w:r>
      <w:r w:rsidR="0065088D">
        <w:rPr>
          <w:rStyle w:val="StyleParaNum11ptCharCharCharCharCharCharCharCharCharCharCharCharChar"/>
          <w:szCs w:val="22"/>
        </w:rPr>
        <w:t xml:space="preserve">. 07-149, </w:t>
      </w:r>
      <w:r w:rsidR="00834D9E">
        <w:rPr>
          <w:rStyle w:val="StyleParaNum11ptCharCharCharCharCharCharCharCharCharCharCharCharChar"/>
          <w:szCs w:val="22"/>
        </w:rPr>
        <w:t xml:space="preserve"> 09-109 </w:t>
      </w:r>
      <w:r w:rsidR="00834D9E" w:rsidRPr="004630EF">
        <w:rPr>
          <w:caps/>
          <w:szCs w:val="22"/>
        </w:rPr>
        <w:t xml:space="preserve">&amp; CC DOCKET No. 95-116 </w:t>
      </w:r>
      <w:r>
        <w:rPr>
          <w:rStyle w:val="StyleParaNum11ptCharCharCharCharCharCharCharCharCharCharCharCharChar"/>
          <w:szCs w:val="22"/>
        </w:rPr>
        <w:t>BEFORE THE FEDERAL COMMUNICATIONS COMMISSION”</w:t>
      </w:r>
      <w:r w:rsidR="004A7312">
        <w:rPr>
          <w:rStyle w:val="StyleParaNum11ptCharCharCharCharCharCharCharCharCharCharCharCharChar"/>
          <w:szCs w:val="22"/>
        </w:rPr>
        <w:t>,</w:t>
      </w:r>
      <w:r>
        <w:rPr>
          <w:rStyle w:val="StyleParaNum11ptCharCharCharCharCharCharCharCharCharCharCharCharChar"/>
          <w:szCs w:val="22"/>
        </w:rPr>
        <w:t xml:space="preserve">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475B79">
        <w:rPr>
          <w:rStyle w:val="StyleParaNum11ptCharCharCharCharCharCharCharCharCharCharCharCharChar"/>
          <w:szCs w:val="22"/>
        </w:rPr>
        <w:t>5</w:t>
      </w:r>
      <w:r w:rsidR="00FB551F">
        <w:rPr>
          <w:rStyle w:val="StyleParaNum11ptCharCharCharCharCharCharCharCharCharCharCharCharChar"/>
          <w:szCs w:val="22"/>
        </w:rPr>
        <w:t xml:space="preserve"> of this </w:t>
      </w:r>
      <w:r w:rsidR="00D4554A">
        <w:rPr>
          <w:rStyle w:val="StyleParaNum11ptCharCharCharCharCharCharCharCharCharCharCharCharChar"/>
          <w:szCs w:val="22"/>
        </w:rPr>
        <w:t>Second</w:t>
      </w:r>
      <w:r w:rsidR="00FB551F">
        <w:rPr>
          <w:rStyle w:val="StyleParaNum11ptCharCharCharCharCharCharCharCharCharCharCharCharChar"/>
          <w:szCs w:val="22"/>
        </w:rPr>
        <w:t xml:space="preserve">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rsidR="00276941" w:rsidRDefault="00276941" w:rsidP="0069679C">
      <w:pPr>
        <w:pStyle w:val="ParaNum"/>
      </w:pPr>
      <w:bookmarkStart w:id="2" w:name="_Ref287958858"/>
      <w:r>
        <w:rPr>
          <w:i/>
        </w:rPr>
        <w:t>Designation of Information as Highly Confidential.</w:t>
      </w:r>
      <w:r>
        <w:t xml:space="preserve">  </w:t>
      </w:r>
      <w:bookmarkEnd w:id="2"/>
      <w:r w:rsidR="00ED2351">
        <w:t xml:space="preserve">A Submitting Party may designate as Highly Confidential only </w:t>
      </w:r>
      <w:r w:rsidR="00155D78">
        <w:t>the</w:t>
      </w:r>
      <w:r w:rsidR="00ED2351">
        <w:t xml:space="preserve"> information described in Appendix A.  If a Submitting Party believes that the descriptions contained in Appendix A should be </w:t>
      </w:r>
      <w:r w:rsidR="00D4554A">
        <w:t>revised</w:t>
      </w:r>
      <w:r w:rsidR="00ED2351">
        <w:t>,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D4554A">
        <w:t>Second</w:t>
      </w:r>
      <w:r>
        <w:t xml:space="preserve"> Protective Order</w:t>
      </w:r>
      <w:r w:rsidR="00ED2351">
        <w:t xml:space="preserve">. </w:t>
      </w:r>
    </w:p>
    <w:p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D4554A">
        <w:rPr>
          <w:szCs w:val="22"/>
        </w:rPr>
        <w:t>Second</w:t>
      </w:r>
      <w:r w:rsidR="001E5F21">
        <w:rPr>
          <w:szCs w:val="22"/>
        </w:rPr>
        <w:t xml:space="preserve">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5"/>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w:t>
      </w:r>
      <w:r w:rsidR="00850C26">
        <w:rPr>
          <w:szCs w:val="22"/>
        </w:rPr>
        <w:t>three</w:t>
      </w:r>
      <w:r w:rsidRPr="00065552">
        <w:rPr>
          <w:szCs w:val="22"/>
        </w:rPr>
        <w:t xml:space="preser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6"/>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7"/>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8"/>
      </w:r>
      <w:bookmarkEnd w:id="3"/>
      <w:r w:rsidRPr="00065552">
        <w:t xml:space="preserve">  </w:t>
      </w:r>
    </w:p>
    <w:p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w:t>
      </w:r>
      <w:r w:rsidR="0027647E">
        <w:t>SECOND</w:t>
      </w:r>
      <w:r w:rsidR="00D05B49">
        <w:t xml:space="preserve"> PROTECTIVE ORDER IN </w:t>
      </w:r>
      <w:r w:rsidR="00834D9E">
        <w:rPr>
          <w:rStyle w:val="StyleParaNum11ptCharCharCharCharCharCharCharCharCharCharCharCharChar"/>
          <w:szCs w:val="22"/>
        </w:rPr>
        <w:t xml:space="preserve">WC </w:t>
      </w:r>
      <w:r w:rsidR="00834D9E">
        <w:rPr>
          <w:caps/>
          <w:szCs w:val="22"/>
        </w:rPr>
        <w:t xml:space="preserve">Docket </w:t>
      </w:r>
      <w:r w:rsidR="0065088D">
        <w:rPr>
          <w:caps/>
          <w:szCs w:val="22"/>
        </w:rPr>
        <w:t>Nos</w:t>
      </w:r>
      <w:r w:rsidR="0065088D">
        <w:rPr>
          <w:rStyle w:val="StyleParaNum11ptCharCharCharCharCharCharCharCharCharCharCharCharChar"/>
          <w:szCs w:val="22"/>
        </w:rPr>
        <w:t xml:space="preserve">. 07-149, </w:t>
      </w:r>
      <w:r w:rsidR="00834D9E">
        <w:rPr>
          <w:rStyle w:val="StyleParaNum11ptCharCharCharCharCharCharCharCharCharCharCharCharChar"/>
          <w:szCs w:val="22"/>
        </w:rPr>
        <w:t xml:space="preserve">09-109 </w:t>
      </w:r>
      <w:r w:rsidR="00834D9E" w:rsidRPr="004630EF">
        <w:rPr>
          <w:caps/>
          <w:szCs w:val="22"/>
        </w:rPr>
        <w:t>&amp; CC DOCKET No. 95-116</w:t>
      </w:r>
      <w:r w:rsidR="00D05B49">
        <w:t xml:space="preserve"> BEFORE THE FEDERAL COMMUNICATIONS COMMISSION” or “HIGHLY</w:t>
      </w:r>
      <w:r>
        <w:t xml:space="preserve"> CONFIDENTIAL INFORMATION – SUBJECT TO </w:t>
      </w:r>
      <w:r w:rsidR="0027647E">
        <w:t>SECOND</w:t>
      </w:r>
      <w:r>
        <w:t xml:space="preserve"> PROTECTIVE ORDER IN </w:t>
      </w:r>
      <w:r w:rsidR="00834D9E">
        <w:rPr>
          <w:rStyle w:val="StyleParaNum11ptCharCharCharCharCharCharCharCharCharCharCharCharChar"/>
          <w:szCs w:val="22"/>
        </w:rPr>
        <w:t xml:space="preserve">WC </w:t>
      </w:r>
      <w:r w:rsidR="00834D9E">
        <w:rPr>
          <w:caps/>
          <w:szCs w:val="22"/>
        </w:rPr>
        <w:t xml:space="preserve">Docket </w:t>
      </w:r>
      <w:r w:rsidR="0065088D">
        <w:rPr>
          <w:caps/>
          <w:szCs w:val="22"/>
        </w:rPr>
        <w:t>Nos</w:t>
      </w:r>
      <w:r w:rsidR="0065088D">
        <w:rPr>
          <w:rStyle w:val="StyleParaNum11ptCharCharCharCharCharCharCharCharCharCharCharCharChar"/>
          <w:szCs w:val="22"/>
        </w:rPr>
        <w:t xml:space="preserve">. 07-149, </w:t>
      </w:r>
      <w:r w:rsidR="00834D9E">
        <w:rPr>
          <w:rStyle w:val="StyleParaNum11ptCharCharCharCharCharCharCharCharCharCharCharCharChar"/>
          <w:szCs w:val="22"/>
        </w:rPr>
        <w:t xml:space="preserve"> 09-109 </w:t>
      </w:r>
      <w:r w:rsidR="00834D9E" w:rsidRPr="004630EF">
        <w:rPr>
          <w:caps/>
          <w:szCs w:val="22"/>
        </w:rPr>
        <w:t>&amp; CC DOCKET No. 95-116</w:t>
      </w:r>
      <w:r>
        <w:t xml:space="preserve"> BEFORE THE FEDERAL COMMUNICATIONS COMMISSION”</w:t>
      </w:r>
      <w:r w:rsidR="00D05B49">
        <w:t>, as appropriate.</w:t>
      </w:r>
      <w:r>
        <w:t xml:space="preserve">  The cover letter also shall contain this legend.  </w:t>
      </w:r>
      <w:r w:rsidR="00BD6DE0">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9"/>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8F4814">
        <w:t>Sanford Williams</w:t>
      </w:r>
      <w:r w:rsidR="008F4814" w:rsidRPr="004D59FB">
        <w:t>, Competition Policy Division, Wireline Competition Bureau, Federal Communications Commission, 445 12</w:t>
      </w:r>
      <w:r w:rsidR="008F4814" w:rsidRPr="004D59FB">
        <w:rPr>
          <w:vertAlign w:val="superscript"/>
        </w:rPr>
        <w:t>th</w:t>
      </w:r>
      <w:r w:rsidR="008F4814">
        <w:t xml:space="preserve"> Street, SW, Room 5-C217</w:t>
      </w:r>
      <w:r w:rsidR="008F4814" w:rsidRPr="004D59FB">
        <w:t xml:space="preserve"> Washington</w:t>
      </w:r>
      <w:r w:rsidR="008F4814">
        <w:t>, DC 20554; email: Sanford.Williams@fcc.gov, phone: (202) 418-1508</w:t>
      </w:r>
      <w:r w:rsidRPr="008D4912">
        <w:t>.</w:t>
      </w:r>
      <w:r>
        <w:t> </w:t>
      </w:r>
    </w:p>
    <w:p w:rsidR="00276941" w:rsidRPr="00065552" w:rsidRDefault="00276941" w:rsidP="00F2663B">
      <w:pPr>
        <w:pStyle w:val="ParaNum"/>
        <w:widowControl/>
      </w:pPr>
      <w:r w:rsidRPr="00065552">
        <w:rPr>
          <w:i/>
        </w:rPr>
        <w:t>Copying Sensitive Documents</w:t>
      </w:r>
      <w:r w:rsidRPr="00065552">
        <w:t xml:space="preserve">.  </w:t>
      </w:r>
      <w:bookmarkEnd w:id="4"/>
      <w:r w:rsidR="0027647E">
        <w:t>Apart from the Security Documents</w:t>
      </w:r>
      <w:r w:rsidR="00C45D39">
        <w:t>,</w:t>
      </w:r>
      <w:r w:rsidR="0027647E">
        <w:t xml:space="preserve"> for which no copies shall be made, i</w:t>
      </w:r>
      <w:r w:rsidRPr="00065552">
        <w:t>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475B79">
        <w:t>10</w:t>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rsidR="002325C6" w:rsidRDefault="00A62C3E" w:rsidP="00F2663B">
      <w:pPr>
        <w:pStyle w:val="ParaNum"/>
        <w:widowControl/>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27647E">
        <w:rPr>
          <w:rStyle w:val="StyleParaNum11ptCharCharCharCharCharCharCharCharCharCharCharCharChar"/>
          <w:szCs w:val="22"/>
        </w:rPr>
        <w:t xml:space="preserve">(a)  </w:t>
      </w:r>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475B79">
        <w:t>12</w:t>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7647E">
        <w:t>Second</w:t>
      </w:r>
      <w:r w:rsidR="0058044D">
        <w:t xml:space="preserve"> Protective Order shall sign and date the Acknowledgment agreeing to be bound by the terms and conditions of this </w:t>
      </w:r>
      <w:r w:rsidR="0027647E">
        <w:t>Second</w:t>
      </w:r>
      <w:r w:rsidR="0058044D">
        <w:t xml:space="preserve"> Protective Order</w:t>
      </w:r>
      <w:r w:rsidR="003322D5">
        <w:t>,</w:t>
      </w:r>
      <w:r w:rsidR="0058044D">
        <w:t xml:space="preserve"> and file the Acknowledgment </w:t>
      </w:r>
      <w:r w:rsidR="002A53B6">
        <w:t xml:space="preserve">in ECFS and a courtesy copy </w:t>
      </w:r>
      <w:r w:rsidR="0058044D">
        <w:t xml:space="preserve">with </w:t>
      </w:r>
      <w:r w:rsidR="00835C42">
        <w:t>Sanford Williams</w:t>
      </w:r>
      <w:r w:rsidR="00835C42" w:rsidRPr="004D59FB">
        <w:t>, Competition Policy Division, Wireline Competition Bureau, Federal Communications Commission, 445 12</w:t>
      </w:r>
      <w:r w:rsidR="00835C42" w:rsidRPr="004D59FB">
        <w:rPr>
          <w:vertAlign w:val="superscript"/>
        </w:rPr>
        <w:t>th</w:t>
      </w:r>
      <w:r w:rsidR="00835C42">
        <w:t xml:space="preserve"> Street, SW, Room 5-C217</w:t>
      </w:r>
      <w:r w:rsidR="00835C42" w:rsidRPr="004D59FB">
        <w:t xml:space="preserve"> Washington</w:t>
      </w:r>
      <w:r w:rsidR="00835C42">
        <w:t>, DC 20554; email: Sanford.Williams@fcc.gov, phone: (202) 418-1508</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w:t>
      </w:r>
      <w:r w:rsidR="00850C26">
        <w:t>three</w:t>
      </w:r>
      <w:r w:rsidR="0058044D">
        <w:t xml:space="preserve"> business days prior to such person’s reviewing or having access to the Submitting Party’s</w:t>
      </w:r>
      <w:r w:rsidR="00234879">
        <w:t xml:space="preserve"> Confidential Information or Highly Confidential Information</w:t>
      </w:r>
      <w:r w:rsidR="0058044D">
        <w:t>; where the person seeking access is one described in either clause 1 or 2 of paragraph</w:t>
      </w:r>
      <w:r w:rsidR="00475B79">
        <w:t xml:space="preserve"> 12</w:t>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82FE5">
        <w:t>1</w:t>
      </w:r>
      <w:r w:rsidR="00475B79">
        <w:t>2</w:t>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Except for persons described in paragraph</w:t>
      </w:r>
      <w:r w:rsidR="00155D78">
        <w:rPr>
          <w:szCs w:val="22"/>
        </w:rPr>
        <w:t xml:space="preserve"> </w:t>
      </w:r>
      <w:r w:rsidR="00475B79">
        <w:rPr>
          <w:szCs w:val="22"/>
        </w:rPr>
        <w:t>12</w:t>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persons described in paragraph</w:t>
      </w:r>
      <w:r w:rsidR="00475B79">
        <w:rPr>
          <w:szCs w:val="22"/>
        </w:rPr>
        <w:t>12</w:t>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rsidR="0027647E" w:rsidRPr="00AD115D" w:rsidRDefault="00AD115D" w:rsidP="00AD115D">
      <w:pPr>
        <w:pStyle w:val="ParaNum"/>
        <w:widowControl/>
        <w:numPr>
          <w:ilvl w:val="0"/>
          <w:numId w:val="0"/>
        </w:numPr>
        <w:ind w:firstLine="720"/>
        <w:rPr>
          <w:rStyle w:val="StyleParaNum11ptCharCharCharCharCharCharCharCharCharCharCharCharChar"/>
          <w:szCs w:val="22"/>
        </w:rPr>
      </w:pPr>
      <w:r>
        <w:t>(b)  In addition to complying with the provisions set forth in</w:t>
      </w:r>
      <w:r w:rsidR="009207A0">
        <w:t xml:space="preserve"> paragraph 8(a) above, </w:t>
      </w:r>
      <w:r w:rsidR="003B5967">
        <w:t xml:space="preserve">because of the heightened sensitive nature of and </w:t>
      </w:r>
      <w:r>
        <w:t xml:space="preserve">the Commission’s </w:t>
      </w:r>
      <w:r w:rsidR="00475B79">
        <w:t>particular</w:t>
      </w:r>
      <w:r>
        <w:t xml:space="preserve"> interest in the Security Documents, either the Wireline Competition Bureau or the Public Safety and Homeland Security Bureau may object to a person who has signed an Acknowledgement from having access to the Security Documents.  A person who has been denied access by a Bureau may appeal such decision to the Commission within ten days of the Bureau’s </w:t>
      </w:r>
      <w:r w:rsidR="009207A0">
        <w:t>decision</w:t>
      </w:r>
      <w:r>
        <w:t>.</w:t>
      </w:r>
    </w:p>
    <w:p w:rsidR="007F7EAD"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Stamped Highly Confidential Documents.</w:t>
      </w:r>
      <w:r w:rsidR="009207A0">
        <w:rPr>
          <w:rStyle w:val="StyleParaNum11ptCharCharCharCharCharCharCharCharCharCharCharCharChar"/>
          <w:szCs w:val="22"/>
        </w:rPr>
        <w:t xml:space="preserve">  </w:t>
      </w:r>
      <w:r w:rsidR="007F7EAD">
        <w:rPr>
          <w:rStyle w:val="StyleParaNum11ptCharCharCharCharCharCharCharCharCharCharCharCharChar"/>
          <w:szCs w:val="22"/>
        </w:rPr>
        <w:t xml:space="preserve">(a)  </w:t>
      </w:r>
      <w:r w:rsidR="009207A0">
        <w:rPr>
          <w:rStyle w:val="StyleParaNum11ptCharCharCharCharCharCharCharCharCharCharCharCharChar"/>
          <w:szCs w:val="22"/>
        </w:rPr>
        <w:t>A</w:t>
      </w:r>
      <w:r>
        <w:rPr>
          <w:rStyle w:val="StyleParaNum11ptCharCharCharCharCharCharCharCharCharCharCharCharChar"/>
          <w:szCs w:val="22"/>
        </w:rPr>
        <w:t xml:space="preserve">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rsidR="009207A0">
        <w:t>10</w:t>
      </w:r>
      <w:r>
        <w:t xml:space="preserve">, </w:t>
      </w:r>
      <w:r w:rsidR="009207A0">
        <w:t xml:space="preserve">except with respect to the Security Documents, </w:t>
      </w:r>
      <w:r>
        <w:t xml:space="preserve">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w:t>
      </w:r>
      <w:r w:rsidR="00850C26">
        <w:t>three</w:t>
      </w:r>
      <w:r>
        <w:t xml:space="preserve">-day period referred to in paragraph </w:t>
      </w:r>
      <w:r w:rsidR="00475B79">
        <w:t>8</w:t>
      </w:r>
      <w:r w:rsidR="009263CF">
        <w:t>(a) above</w:t>
      </w:r>
      <w:r>
        <w:t xml:space="preserve">.  All copies of documents that are removed from the Submitting Party’s office must be returned or destroyed in accordance with the terms of paragraph </w:t>
      </w:r>
      <w:r w:rsidR="00475B79">
        <w:t>21</w:t>
      </w:r>
      <w:r>
        <w:t>.</w:t>
      </w:r>
      <w:bookmarkEnd w:id="8"/>
      <w:r w:rsidR="009207A0">
        <w:t xml:space="preserve">  </w:t>
      </w:r>
    </w:p>
    <w:p w:rsidR="00276941" w:rsidRDefault="007F7EAD" w:rsidP="007F7EAD">
      <w:pPr>
        <w:pStyle w:val="ParaNum"/>
        <w:numPr>
          <w:ilvl w:val="0"/>
          <w:numId w:val="0"/>
        </w:numPr>
        <w:ind w:firstLine="720"/>
      </w:pPr>
      <w:r>
        <w:t xml:space="preserve">(b)  </w:t>
      </w:r>
      <w:r w:rsidR="009207A0">
        <w:t>With respect to the Security Documents</w:t>
      </w:r>
      <w:r>
        <w:t xml:space="preserve"> and in addition to all other requirements concerning Highly Confidential Documents</w:t>
      </w:r>
      <w:r w:rsidR="009207A0">
        <w:t xml:space="preserve">, a Reviewing </w:t>
      </w:r>
      <w:r w:rsidR="003B7F7E">
        <w:t>Party (</w:t>
      </w:r>
      <w:r w:rsidR="00835C42">
        <w:t xml:space="preserve">a) </w:t>
      </w:r>
      <w:r>
        <w:t xml:space="preserve">must </w:t>
      </w:r>
      <w:r w:rsidR="00835C42">
        <w:t xml:space="preserve">be a citizen of the United States of America, (b) </w:t>
      </w:r>
      <w:r>
        <w:t xml:space="preserve">shall </w:t>
      </w:r>
      <w:r w:rsidR="009207A0">
        <w:t>only be offered option (1) in this paragraph 9</w:t>
      </w:r>
      <w:r>
        <w:t>(a) above, and (c)</w:t>
      </w:r>
      <w:r w:rsidRPr="007F7EAD">
        <w:t xml:space="preserve"> </w:t>
      </w:r>
      <w:r>
        <w:t xml:space="preserve">no more than </w:t>
      </w:r>
      <w:r w:rsidR="009263CF">
        <w:t xml:space="preserve">four </w:t>
      </w:r>
      <w:r>
        <w:t xml:space="preserve">Outside Counsel or Outside Consultants </w:t>
      </w:r>
      <w:r w:rsidR="00351FA9">
        <w:t xml:space="preserve">or a combination thereof </w:t>
      </w:r>
      <w:r>
        <w:t xml:space="preserve">per </w:t>
      </w:r>
      <w:r w:rsidR="00351FA9">
        <w:t>Participant</w:t>
      </w:r>
      <w:r>
        <w:t xml:space="preserve"> shall have access to the Security Documents</w:t>
      </w:r>
      <w:r w:rsidR="009207A0">
        <w:t>.  No copies shall be made of the Security Documents and a Reviewing Party may only take away personal notes made while inspecting the Security Documents.</w:t>
      </w:r>
      <w:r w:rsidR="002A53B6">
        <w:t xml:space="preserve"> </w:t>
      </w:r>
    </w:p>
    <w:p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w:t>
      </w:r>
      <w:r w:rsidR="00346501">
        <w:t xml:space="preserve">the completion of </w:t>
      </w:r>
      <w:r w:rsidR="008A5186">
        <w:t>pr</w:t>
      </w:r>
      <w:r w:rsidR="00346501">
        <w:t>oceedings at the Commission</w:t>
      </w:r>
      <w:r>
        <w:t>.  The original disk or other storage medium shall be stored securely and a record kept of any persons given access to it.</w:t>
      </w:r>
      <w:bookmarkEnd w:id="9"/>
      <w:r>
        <w:t xml:space="preserve">  </w:t>
      </w:r>
      <w:bookmarkEnd w:id="10"/>
    </w:p>
    <w:p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D4554A">
        <w:rPr>
          <w:szCs w:val="22"/>
        </w:rPr>
        <w:t>Second</w:t>
      </w:r>
      <w:r w:rsidR="001E5F21">
        <w:rPr>
          <w:szCs w:val="22"/>
        </w:rPr>
        <w:t xml:space="preserve">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w:t>
      </w:r>
      <w:r w:rsidR="00351FA9">
        <w:rPr>
          <w:rStyle w:val="FootnoteReference"/>
        </w:rPr>
        <w:footnoteReference w:id="10"/>
      </w:r>
      <w:r>
        <w:t xml:space="preserve">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Confidential or Highly Confidential Information under this </w:t>
      </w:r>
      <w:r w:rsidR="00D4554A">
        <w:rPr>
          <w:szCs w:val="22"/>
        </w:rPr>
        <w:t>Second</w:t>
      </w:r>
      <w:r w:rsidR="001E5F21">
        <w:rPr>
          <w:szCs w:val="22"/>
        </w:rPr>
        <w:t xml:space="preserve"> Protective Order</w:t>
      </w:r>
      <w:r>
        <w:t>, as appropriate.   </w:t>
      </w:r>
    </w:p>
    <w:p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850C26">
        <w:t>10</w:t>
      </w:r>
      <w:r>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834D9E">
        <w:rPr>
          <w:rStyle w:val="StyleParaNum11ptCharCharCharCharCharCharCharCharCharCharCharCharChar"/>
          <w:szCs w:val="22"/>
        </w:rPr>
        <w:t xml:space="preserve">WC </w:t>
      </w:r>
      <w:r w:rsidR="00834D9E">
        <w:rPr>
          <w:caps/>
          <w:szCs w:val="22"/>
        </w:rPr>
        <w:t xml:space="preserve">Docket </w:t>
      </w:r>
      <w:r w:rsidR="0065088D">
        <w:rPr>
          <w:caps/>
          <w:szCs w:val="22"/>
        </w:rPr>
        <w:t>Nos</w:t>
      </w:r>
      <w:r w:rsidR="0065088D">
        <w:rPr>
          <w:rStyle w:val="StyleParaNum11ptCharCharCharCharCharCharCharCharCharCharCharCharChar"/>
          <w:szCs w:val="22"/>
        </w:rPr>
        <w:t xml:space="preserve">. 07-149, </w:t>
      </w:r>
      <w:r w:rsidR="00834D9E">
        <w:rPr>
          <w:rStyle w:val="StyleParaNum11ptCharCharCharCharCharCharCharCharCharCharCharCharChar"/>
          <w:szCs w:val="22"/>
        </w:rPr>
        <w:t xml:space="preserve">09-109 </w:t>
      </w:r>
      <w:r w:rsidR="00834D9E" w:rsidRPr="004630EF">
        <w:rPr>
          <w:caps/>
          <w:szCs w:val="22"/>
        </w:rPr>
        <w:t>&amp; CC DOCKET No. 95-116</w:t>
      </w:r>
      <w:r>
        <w:rPr>
          <w:rStyle w:val="StyleParaNum11ptCharCharCharCharCharCharCharCharCharCharCharCharChar"/>
        </w:rPr>
        <w:t xml:space="preserve"> BEFORE THE FEDERAL COMMUNICATIONS COMMISSION”</w:t>
      </w:r>
      <w:r w:rsidR="004A7312">
        <w:rPr>
          <w:rStyle w:val="StyleParaNum11ptCharCharCharCharCharCharCharCharCharCharCharCharChar"/>
        </w:rPr>
        <w:t>.</w:t>
      </w:r>
      <w:r>
        <w:rPr>
          <w:rStyle w:val="StyleParaNum11ptCharCharCharCharCharCharCharCharCharCharCharCharChar"/>
        </w:rPr>
        <w:t xml:space="preserve">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w:t>
      </w:r>
      <w:r w:rsidR="008445C4" w:rsidRPr="00834D9E">
        <w:rPr>
          <w:rStyle w:val="StyleParaNum11ptCharCharCharCharCharCharCharCharCharCharCharCharChar"/>
          <w:caps/>
          <w:szCs w:val="22"/>
        </w:rPr>
        <w:t>OrderS in</w:t>
      </w:r>
      <w:r w:rsidR="00465B83">
        <w:rPr>
          <w:rStyle w:val="StyleParaNum11ptCharCharCharCharCharCharCharCharCharCharCharCharChar"/>
          <w:caps/>
          <w:szCs w:val="22"/>
        </w:rPr>
        <w:t xml:space="preserve"> </w:t>
      </w:r>
      <w:r w:rsidR="00834D9E">
        <w:rPr>
          <w:rStyle w:val="StyleParaNum11ptCharCharCharCharCharCharCharCharCharCharCharCharChar"/>
          <w:szCs w:val="22"/>
        </w:rPr>
        <w:t xml:space="preserve">WC </w:t>
      </w:r>
      <w:r w:rsidR="00834D9E">
        <w:rPr>
          <w:caps/>
          <w:szCs w:val="22"/>
        </w:rPr>
        <w:t xml:space="preserve">Docket </w:t>
      </w:r>
      <w:r w:rsidR="0065088D">
        <w:rPr>
          <w:caps/>
          <w:szCs w:val="22"/>
        </w:rPr>
        <w:t>Nos</w:t>
      </w:r>
      <w:r w:rsidR="0065088D">
        <w:rPr>
          <w:rStyle w:val="StyleParaNum11ptCharCharCharCharCharCharCharCharCharCharCharCharChar"/>
          <w:szCs w:val="22"/>
        </w:rPr>
        <w:t>. 07-149</w:t>
      </w:r>
      <w:r w:rsidR="003B7F7E">
        <w:rPr>
          <w:rStyle w:val="StyleParaNum11ptCharCharCharCharCharCharCharCharCharCharCharCharChar"/>
          <w:szCs w:val="22"/>
        </w:rPr>
        <w:t>, 09</w:t>
      </w:r>
      <w:r w:rsidR="00834D9E">
        <w:rPr>
          <w:rStyle w:val="StyleParaNum11ptCharCharCharCharCharCharCharCharCharCharCharCharChar"/>
          <w:szCs w:val="22"/>
        </w:rPr>
        <w:t xml:space="preserve">-109 </w:t>
      </w:r>
      <w:r w:rsidR="00834D9E" w:rsidRPr="004630EF">
        <w:rPr>
          <w:caps/>
          <w:szCs w:val="22"/>
        </w:rPr>
        <w:t>&amp; CC DOCKET No. 95-116</w:t>
      </w:r>
      <w:r w:rsidR="008445C4">
        <w:rPr>
          <w:rStyle w:val="StyleParaNum11ptCharCharCharCharCharCharCharCharCharCharCharCharChar"/>
        </w:rPr>
        <w:t xml:space="preserve"> BEFORE THE FEDERAL COMMUNICATIONS COMMISSION”</w:t>
      </w:r>
      <w:r w:rsidR="004A7312">
        <w:rPr>
          <w:rStyle w:val="StyleParaNum11ptCharCharCharCharCharCharCharCharCharCharCharCharChar"/>
        </w:rPr>
        <w:t>.</w:t>
      </w:r>
      <w:r w:rsidR="008445C4">
        <w:rPr>
          <w:rStyle w:val="StyleParaNum11ptCharCharCharCharCharCharCharCharCharCharCharCharChar"/>
        </w:rPr>
        <w:t xml:space="preserve">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621943">
        <w:rPr>
          <w:i/>
        </w:rPr>
        <w:t>i.e.</w:t>
      </w:r>
      <w:r>
        <w:t>, containing no Confidential or Highly Confidential Information (the “Redacted Confidential Filing”) to the Commission via ECFS.</w:t>
      </w:r>
      <w:r>
        <w:rPr>
          <w:rStyle w:val="FootnoteReference"/>
          <w:szCs w:val="22"/>
        </w:rPr>
        <w:footnoteReference w:id="11"/>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xml:space="preserve">.  Two copies of each Confidential Filing and the accompanying cover letter must be delivered, as directed by Commission staff, to </w:t>
      </w:r>
      <w:r w:rsidR="008F4814">
        <w:t>Sanford Williams</w:t>
      </w:r>
      <w:r w:rsidR="008F4814" w:rsidRPr="004D59FB">
        <w:t>, Competition Policy Division, Wireline Competition Bureau, Federal Communications Commission, 445 12</w:t>
      </w:r>
      <w:r w:rsidR="008F4814" w:rsidRPr="004D59FB">
        <w:rPr>
          <w:vertAlign w:val="superscript"/>
        </w:rPr>
        <w:t>th</w:t>
      </w:r>
      <w:r w:rsidR="008F4814">
        <w:t xml:space="preserve"> Street, SW, Room 5-C217</w:t>
      </w:r>
      <w:r w:rsidR="008F4814" w:rsidRPr="004D59FB">
        <w:t xml:space="preserve"> Washington</w:t>
      </w:r>
      <w:r w:rsidR="008F4814">
        <w:t>, DC 20554; email: Sanford.Williams@fcc.gov, phone: (202) 418-1508</w:t>
      </w:r>
      <w:r>
        <w:t>.  Parties should not provide courtesy copies of pleadings containing Highly Confidential Information to Commission staff unless the Bureau so requests, and any such courtesy copies shall be submitted under seal.</w:t>
      </w:r>
      <w:bookmarkEnd w:id="13"/>
    </w:p>
    <w:p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9207A0">
        <w:t>Second</w:t>
      </w:r>
      <w:r w:rsidR="001E5F21">
        <w:t xml:space="preserve"> Protective Order</w:t>
      </w:r>
      <w:r>
        <w:t xml:space="preserve">, Confidential Information and Highly Confidential Information </w:t>
      </w:r>
      <w:r w:rsidR="0027753D">
        <w:t xml:space="preserve">shall </w:t>
      </w:r>
      <w:r>
        <w:t xml:space="preserve">not be disclosed further.  </w:t>
      </w:r>
    </w:p>
    <w:p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D4554A">
        <w:t>Second</w:t>
      </w:r>
      <w:r w:rsidR="001E5F21">
        <w:t xml:space="preserve">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D4554A">
        <w:t>Second</w:t>
      </w:r>
      <w:r w:rsidR="001E5F21">
        <w:t xml:space="preserve"> Protective Order</w:t>
      </w:r>
      <w:r>
        <w:t>.</w:t>
      </w:r>
    </w:p>
    <w:p w:rsidR="00A62C3E" w:rsidRDefault="00A62C3E" w:rsidP="0069679C">
      <w:pPr>
        <w:pStyle w:val="ParaNum"/>
      </w:pPr>
      <w:r>
        <w:rPr>
          <w:i/>
          <w:iCs/>
        </w:rPr>
        <w:t>Requests for Additional Disclosure</w:t>
      </w:r>
      <w:r>
        <w:t xml:space="preserve">.  If any person requests disclosure of Confidential or Highly Confidential Information outside the terms of this </w:t>
      </w:r>
      <w:r w:rsidR="00D4554A">
        <w:t>Second</w:t>
      </w:r>
      <w:r w:rsidR="001E5F21">
        <w:t xml:space="preserve"> Protective Order</w:t>
      </w:r>
      <w:r>
        <w:t>, such a request will be treated in accordance with sections 0.442 and 0.461 of the Commission’s rules.</w:t>
      </w:r>
    </w:p>
    <w:p w:rsidR="00A62C3E" w:rsidRDefault="00A62C3E" w:rsidP="0069679C">
      <w:pPr>
        <w:pStyle w:val="ParaNum"/>
      </w:pPr>
      <w:r>
        <w:rPr>
          <w:i/>
          <w:iCs/>
        </w:rPr>
        <w:t>Client Consultation</w:t>
      </w:r>
      <w:r>
        <w:t xml:space="preserve">.  Nothing in this </w:t>
      </w:r>
      <w:r w:rsidR="00D4554A">
        <w:t>Second</w:t>
      </w:r>
      <w:r w:rsidR="001E5F21">
        <w:t xml:space="preserve">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D4554A">
        <w:t>Second</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D4554A">
        <w:t>Second</w:t>
      </w:r>
      <w:r w:rsidR="001E5F21">
        <w:t xml:space="preserve">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rsidR="00A62C3E" w:rsidRDefault="00A62C3E" w:rsidP="0069679C">
      <w:pPr>
        <w:pStyle w:val="ParaNum"/>
      </w:pPr>
      <w:r>
        <w:rPr>
          <w:i/>
          <w:iCs/>
        </w:rPr>
        <w:t xml:space="preserve">Violations of the </w:t>
      </w:r>
      <w:r w:rsidR="00D4554A">
        <w:rPr>
          <w:i/>
          <w:iCs/>
        </w:rPr>
        <w:t>Second</w:t>
      </w:r>
      <w:r>
        <w:rPr>
          <w:i/>
          <w:iCs/>
        </w:rPr>
        <w:t xml:space="preserve"> Protective Order.  </w:t>
      </w:r>
      <w:r>
        <w:t xml:space="preserve">Should a Reviewing Party violate any of the terms of this </w:t>
      </w:r>
      <w:r w:rsidR="00D4554A">
        <w:t>Second</w:t>
      </w:r>
      <w:r>
        <w:t xml:space="preserve"> Protective Order, such Reviewing Party shall immediately convey that fact to the Commission and to the </w:t>
      </w:r>
      <w:r w:rsidR="008E4E85">
        <w:t xml:space="preserve">relevant </w:t>
      </w:r>
      <w:r>
        <w:t>Submitting Part</w:t>
      </w:r>
      <w:r w:rsidR="008E4E85">
        <w:t>ies</w:t>
      </w:r>
      <w:r>
        <w:t xml:space="preserve">.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w:t>
      </w:r>
      <w:r w:rsidR="00D4554A">
        <w:t>Second</w:t>
      </w:r>
      <w:r>
        <w:t xml:space="preserve">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w:t>
      </w:r>
      <w:r w:rsidR="00D4554A">
        <w:t>Second</w:t>
      </w:r>
      <w:r>
        <w:t xml:space="preserve"> Protective Order shall limit any other rights and remedies available to the Submitting Party at law or in equity against any person using Confidential or Highly Confidential Information in a manner not authorized by this </w:t>
      </w:r>
      <w:r w:rsidR="00D4554A">
        <w:t>Second</w:t>
      </w:r>
      <w:r>
        <w:t xml:space="preserve"> Protective Order.</w:t>
      </w:r>
    </w:p>
    <w:p w:rsidR="00A62C3E" w:rsidRDefault="00A62C3E" w:rsidP="0069679C">
      <w:pPr>
        <w:pStyle w:val="ParaNum"/>
      </w:pPr>
      <w:bookmarkStart w:id="15" w:name="_Ref379362621"/>
      <w:r>
        <w:rPr>
          <w:i/>
          <w:iCs/>
        </w:rPr>
        <w:t>Termination of Proceeding</w:t>
      </w:r>
      <w:r>
        <w:t xml:space="preserve">.  The provisions of this </w:t>
      </w:r>
      <w:r w:rsidR="00D4554A">
        <w:t>Second</w:t>
      </w:r>
      <w:r>
        <w:t xml:space="preserve">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w:t>
      </w:r>
      <w:r w:rsidR="00D4554A">
        <w:t>Second</w:t>
      </w:r>
      <w:r>
        <w:t xml:space="preserve">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Default="006238C9" w:rsidP="0069679C">
      <w:pPr>
        <w:pStyle w:val="ParaNum"/>
      </w:pPr>
      <w:r>
        <w:rPr>
          <w:i/>
          <w:iCs/>
        </w:rPr>
        <w:t>Questions</w:t>
      </w:r>
      <w:r w:rsidRPr="00CE23EC">
        <w:t>.</w:t>
      </w:r>
      <w:r>
        <w:t xml:space="preserve">  Questions concerning this </w:t>
      </w:r>
      <w:r w:rsidR="00D4554A">
        <w:t>Second</w:t>
      </w:r>
      <w:r>
        <w:t xml:space="preserve"> Protective Order should be addressed to </w:t>
      </w:r>
      <w:r w:rsidR="008D4912">
        <w:t>Neil Dellar</w:t>
      </w:r>
      <w:r w:rsidR="003B7F7E">
        <w:t xml:space="preserve">, </w:t>
      </w:r>
      <w:r w:rsidR="003B7F7E" w:rsidRPr="008D4912">
        <w:t>Transaction</w:t>
      </w:r>
      <w:r w:rsidR="008D4912" w:rsidRPr="008D4912">
        <w:t xml:space="preserve"> Team, Office of General Counsel</w:t>
      </w:r>
      <w:r w:rsidR="001F5F6A">
        <w:t>, Neil.Dellar@fcc.go</w:t>
      </w:r>
      <w:r w:rsidR="001F5F6A" w:rsidRPr="008D4912">
        <w:t>v, (202) 418-8214</w:t>
      </w:r>
      <w:r w:rsidR="005E74A1">
        <w:t>.</w:t>
      </w:r>
    </w:p>
    <w:bookmarkEnd w:id="14"/>
    <w:p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w:t>
      </w:r>
      <w:r w:rsidRPr="008D4912">
        <w:rPr>
          <w:rStyle w:val="StyleParaNum11ptCharCharCharCharCharCharCharCharCharCharCharCharChar"/>
        </w:rPr>
        <w:t xml:space="preserve">is issued pursuant to sections 4(i), 214 and 310(d) of the Communications Act of 1934, as amended, 47 U.S.C. §§ 154(i), 214 and 310(d), Section 4 of the Freedom of Information Act, 5 U.S.C. § 552(b)(4), and authority delegated under section </w:t>
      </w:r>
      <w:r w:rsidR="008D4912" w:rsidRPr="008D4912">
        <w:rPr>
          <w:rStyle w:val="StyleParaNum11ptCharCharCharCharCharCharCharCharCharCharCharCharChar"/>
        </w:rPr>
        <w:t xml:space="preserve">0.283 </w:t>
      </w:r>
      <w:r w:rsidRPr="008D4912">
        <w:rPr>
          <w:rStyle w:val="StyleParaNum11ptCharCharCharCharCharCharCharCharCharCharCharCharChar"/>
        </w:rPr>
        <w:t>of the Commission’s rules, 47 C.F.R. § </w:t>
      </w:r>
      <w:r w:rsidR="004A7015" w:rsidRPr="008D4912">
        <w:rPr>
          <w:rStyle w:val="StyleParaNum11ptCharCharCharCharCharCharCharCharCharCharCharCharChar"/>
        </w:rPr>
        <w:t>0.283</w:t>
      </w:r>
      <w:r w:rsidRPr="008D4912">
        <w:rPr>
          <w:rStyle w:val="StyleParaNum11ptCharCharCharCharCharCharCharCharCharCharCharCharChar"/>
        </w:rPr>
        <w:t>,</w:t>
      </w:r>
      <w:r>
        <w:rPr>
          <w:rStyle w:val="StyleParaNum11ptCharCharCharCharCharCharCharCharCharCharCharCharChar"/>
        </w:rPr>
        <w:t xml:space="preserve"> and is effective upon its adoption.</w:t>
      </w:r>
    </w:p>
    <w:p w:rsidR="00276941" w:rsidRDefault="00276941" w:rsidP="0069679C">
      <w:pPr>
        <w:pStyle w:val="ParaNum"/>
        <w:numPr>
          <w:ilvl w:val="0"/>
          <w:numId w:val="0"/>
        </w:numPr>
      </w:pPr>
    </w:p>
    <w:p w:rsidR="00276941" w:rsidRDefault="00276941">
      <w:pPr>
        <w:snapToGrid w:val="0"/>
        <w:ind w:left="2880" w:firstLine="720"/>
        <w:rPr>
          <w:szCs w:val="22"/>
        </w:rPr>
      </w:pPr>
      <w:r>
        <w:rPr>
          <w:szCs w:val="22"/>
        </w:rPr>
        <w:t>FEDERAL COMMUNICATIONS COMMISSION</w:t>
      </w:r>
    </w:p>
    <w:p w:rsidR="00276941" w:rsidRDefault="00276941">
      <w:pPr>
        <w:snapToGrid w:val="0"/>
        <w:rPr>
          <w:szCs w:val="22"/>
        </w:rPr>
      </w:pPr>
    </w:p>
    <w:p w:rsidR="00276941" w:rsidRDefault="00276941">
      <w:pPr>
        <w:snapToGrid w:val="0"/>
        <w:rPr>
          <w:szCs w:val="22"/>
        </w:rPr>
      </w:pPr>
    </w:p>
    <w:p w:rsidR="00276941" w:rsidRDefault="00276941">
      <w:pPr>
        <w:snapToGrid w:val="0"/>
        <w:rPr>
          <w:szCs w:val="22"/>
        </w:rPr>
      </w:pPr>
    </w:p>
    <w:p w:rsidR="00F2663B" w:rsidRDefault="00F2663B">
      <w:pPr>
        <w:snapToGrid w:val="0"/>
        <w:rPr>
          <w:szCs w:val="22"/>
        </w:rPr>
      </w:pPr>
    </w:p>
    <w:p w:rsidR="00276941" w:rsidRPr="008D4912" w:rsidRDefault="00D4554A">
      <w:pPr>
        <w:snapToGrid w:val="0"/>
        <w:ind w:left="2880" w:firstLine="720"/>
        <w:rPr>
          <w:szCs w:val="22"/>
        </w:rPr>
      </w:pPr>
      <w:r>
        <w:rPr>
          <w:szCs w:val="22"/>
        </w:rPr>
        <w:t>Matthew DelNero</w:t>
      </w:r>
    </w:p>
    <w:p w:rsidR="00F2663B" w:rsidRDefault="00276941">
      <w:pPr>
        <w:snapToGrid w:val="0"/>
        <w:ind w:left="2880" w:firstLine="720"/>
        <w:rPr>
          <w:szCs w:val="22"/>
        </w:rPr>
      </w:pPr>
      <w:r w:rsidRPr="008D4912">
        <w:rPr>
          <w:szCs w:val="22"/>
        </w:rPr>
        <w:t>Chi</w:t>
      </w:r>
      <w:r w:rsidR="001E5F21" w:rsidRPr="008D4912">
        <w:rPr>
          <w:szCs w:val="22"/>
        </w:rPr>
        <w:t>ef</w:t>
      </w:r>
    </w:p>
    <w:p w:rsidR="00276941" w:rsidRDefault="00850C26">
      <w:pPr>
        <w:snapToGrid w:val="0"/>
        <w:ind w:left="2880" w:firstLine="720"/>
        <w:rPr>
          <w:szCs w:val="22"/>
        </w:rPr>
      </w:pPr>
      <w:r>
        <w:rPr>
          <w:szCs w:val="22"/>
        </w:rPr>
        <w:t>Wireline Competition</w:t>
      </w:r>
      <w:r w:rsidR="008D4912">
        <w:rPr>
          <w:szCs w:val="22"/>
        </w:rPr>
        <w:t xml:space="preserve"> </w:t>
      </w:r>
      <w:r w:rsidR="00276941" w:rsidRPr="008D4912">
        <w:rPr>
          <w:szCs w:val="22"/>
        </w:rPr>
        <w:t>Bureau</w:t>
      </w:r>
    </w:p>
    <w:p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Default="00276941" w:rsidP="00B53FC6">
      <w:pPr>
        <w:snapToGrid w:val="0"/>
        <w:spacing w:after="120"/>
        <w:jc w:val="center"/>
        <w:rPr>
          <w:b/>
          <w:bCs/>
          <w:szCs w:val="22"/>
        </w:rPr>
      </w:pPr>
      <w:r>
        <w:rPr>
          <w:b/>
          <w:bCs/>
          <w:szCs w:val="22"/>
        </w:rPr>
        <w:t>APPENDIX A</w:t>
      </w:r>
    </w:p>
    <w:p w:rsidR="00276941" w:rsidRDefault="00276941">
      <w:pPr>
        <w:snapToGrid w:val="0"/>
        <w:spacing w:after="120"/>
        <w:jc w:val="center"/>
        <w:rPr>
          <w:b/>
          <w:bCs/>
          <w:szCs w:val="22"/>
        </w:rPr>
      </w:pPr>
      <w:r>
        <w:rPr>
          <w:b/>
          <w:bCs/>
          <w:szCs w:val="22"/>
        </w:rPr>
        <w:t>Highly Confidential Information and Documents</w:t>
      </w:r>
    </w:p>
    <w:p w:rsidR="00276941" w:rsidRDefault="00276941">
      <w:pPr>
        <w:snapToGrid w:val="0"/>
        <w:spacing w:after="120"/>
        <w:rPr>
          <w:b/>
          <w:bCs/>
          <w:szCs w:val="22"/>
        </w:rPr>
      </w:pPr>
    </w:p>
    <w:p w:rsidR="00D4554A" w:rsidRDefault="00276941" w:rsidP="00D4554A">
      <w:pPr>
        <w:snapToGrid w:val="0"/>
        <w:spacing w:after="120"/>
        <w:rPr>
          <w:bCs/>
          <w:szCs w:val="22"/>
        </w:rPr>
      </w:pPr>
      <w:r>
        <w:rPr>
          <w:b/>
          <w:bCs/>
          <w:szCs w:val="22"/>
        </w:rPr>
        <w:tab/>
      </w:r>
      <w:r>
        <w:rPr>
          <w:bCs/>
          <w:szCs w:val="22"/>
        </w:rPr>
        <w:t xml:space="preserve">As specified in paragraphs </w:t>
      </w:r>
      <w:r w:rsidR="00B37B20">
        <w:rPr>
          <w:bCs/>
          <w:szCs w:val="22"/>
        </w:rPr>
        <w:t xml:space="preserve">4 and </w:t>
      </w:r>
      <w:r w:rsidR="00850C26">
        <w:rPr>
          <w:bCs/>
          <w:szCs w:val="22"/>
        </w:rPr>
        <w:t>5</w:t>
      </w:r>
      <w:r>
        <w:rPr>
          <w:bCs/>
          <w:szCs w:val="22"/>
        </w:rPr>
        <w:t xml:space="preserve"> of the </w:t>
      </w:r>
      <w:r w:rsidR="00D4554A">
        <w:rPr>
          <w:bCs/>
          <w:szCs w:val="22"/>
        </w:rPr>
        <w:t>Second</w:t>
      </w:r>
      <w:r w:rsidR="00F72172">
        <w:rPr>
          <w:bCs/>
          <w:szCs w:val="22"/>
        </w:rPr>
        <w:t xml:space="preserve"> </w:t>
      </w:r>
      <w:r>
        <w:rPr>
          <w:bCs/>
          <w:szCs w:val="22"/>
        </w:rPr>
        <w:t>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D4554A" w:rsidRDefault="00D4554A" w:rsidP="00D4554A">
      <w:pPr>
        <w:snapToGrid w:val="0"/>
        <w:spacing w:after="120"/>
        <w:rPr>
          <w:bCs/>
          <w:szCs w:val="22"/>
        </w:rPr>
      </w:pPr>
    </w:p>
    <w:p w:rsidR="009F0BA4" w:rsidRPr="009F0BA4" w:rsidRDefault="009F0BA4" w:rsidP="00D4554A">
      <w:pPr>
        <w:pStyle w:val="ListParagraph"/>
        <w:numPr>
          <w:ilvl w:val="0"/>
          <w:numId w:val="20"/>
        </w:numPr>
        <w:snapToGrid w:val="0"/>
        <w:spacing w:after="120"/>
        <w:rPr>
          <w:bCs/>
          <w:szCs w:val="22"/>
        </w:rPr>
      </w:pPr>
      <w:r>
        <w:t>MSA Sections</w:t>
      </w:r>
      <w:r w:rsidR="003E7489">
        <w:t xml:space="preserve"> 3.2.2.5.2.1; 3.2.2.5.2.2; </w:t>
      </w:r>
      <w:r>
        <w:t xml:space="preserve"> 5.2</w:t>
      </w:r>
      <w:r w:rsidR="003E7489">
        <w:t xml:space="preserve">; </w:t>
      </w:r>
      <w:r w:rsidR="00521856">
        <w:t xml:space="preserve">5.3; 5.4; </w:t>
      </w:r>
      <w:r w:rsidR="00C374A8">
        <w:t xml:space="preserve">5.11; </w:t>
      </w:r>
      <w:r w:rsidR="00521856">
        <w:t xml:space="preserve">18.7.1.9; 18.7.2.8; </w:t>
      </w:r>
      <w:r w:rsidR="003E7489">
        <w:t>19.2.5; 19.2.6;  20.2.3; 20.2.4;</w:t>
      </w:r>
      <w:r>
        <w:t xml:space="preserve"> 23.4.1 through 23.</w:t>
      </w:r>
      <w:r w:rsidR="003E7489">
        <w:t xml:space="preserve">4.4. </w:t>
      </w:r>
    </w:p>
    <w:p w:rsidR="009F0BA4" w:rsidRDefault="009F0BA4" w:rsidP="00D4554A">
      <w:pPr>
        <w:pStyle w:val="ListParagraph"/>
        <w:numPr>
          <w:ilvl w:val="0"/>
          <w:numId w:val="20"/>
        </w:numPr>
        <w:snapToGrid w:val="0"/>
        <w:spacing w:after="120"/>
        <w:rPr>
          <w:bCs/>
          <w:szCs w:val="22"/>
        </w:rPr>
      </w:pPr>
      <w:r>
        <w:rPr>
          <w:bCs/>
          <w:szCs w:val="22"/>
        </w:rPr>
        <w:t>Exhibit E to the MSA.</w:t>
      </w:r>
    </w:p>
    <w:p w:rsidR="009F0BA4" w:rsidRDefault="009F0BA4" w:rsidP="00D4554A">
      <w:pPr>
        <w:pStyle w:val="ListParagraph"/>
        <w:numPr>
          <w:ilvl w:val="0"/>
          <w:numId w:val="20"/>
        </w:numPr>
        <w:snapToGrid w:val="0"/>
        <w:spacing w:after="120"/>
        <w:rPr>
          <w:bCs/>
          <w:szCs w:val="22"/>
        </w:rPr>
      </w:pPr>
      <w:r>
        <w:rPr>
          <w:bCs/>
          <w:szCs w:val="22"/>
        </w:rPr>
        <w:t>Exhibit G to the MSA.</w:t>
      </w:r>
    </w:p>
    <w:p w:rsidR="009F0BA4" w:rsidRDefault="009F0BA4" w:rsidP="00D4554A">
      <w:pPr>
        <w:pStyle w:val="ListParagraph"/>
        <w:numPr>
          <w:ilvl w:val="0"/>
          <w:numId w:val="20"/>
        </w:numPr>
        <w:snapToGrid w:val="0"/>
        <w:spacing w:after="120"/>
        <w:rPr>
          <w:bCs/>
          <w:szCs w:val="22"/>
        </w:rPr>
      </w:pPr>
      <w:r>
        <w:rPr>
          <w:bCs/>
          <w:szCs w:val="22"/>
        </w:rPr>
        <w:t>Exhibit K to the MSA.</w:t>
      </w:r>
    </w:p>
    <w:p w:rsidR="009F0BA4" w:rsidRDefault="009F0BA4" w:rsidP="00D4554A">
      <w:pPr>
        <w:pStyle w:val="ListParagraph"/>
        <w:numPr>
          <w:ilvl w:val="0"/>
          <w:numId w:val="20"/>
        </w:numPr>
        <w:snapToGrid w:val="0"/>
        <w:spacing w:after="120"/>
        <w:rPr>
          <w:bCs/>
          <w:szCs w:val="22"/>
        </w:rPr>
      </w:pPr>
      <w:r>
        <w:rPr>
          <w:bCs/>
          <w:szCs w:val="22"/>
        </w:rPr>
        <w:t>Exhibit P to the MSA</w:t>
      </w:r>
    </w:p>
    <w:p w:rsidR="00051A32" w:rsidRPr="00D4554A" w:rsidRDefault="00467659" w:rsidP="00D4554A">
      <w:pPr>
        <w:pStyle w:val="ListParagraph"/>
        <w:numPr>
          <w:ilvl w:val="0"/>
          <w:numId w:val="20"/>
        </w:numPr>
        <w:snapToGrid w:val="0"/>
        <w:spacing w:after="120"/>
        <w:rPr>
          <w:bCs/>
          <w:szCs w:val="22"/>
        </w:rPr>
      </w:pPr>
      <w:r>
        <w:rPr>
          <w:bCs/>
          <w:szCs w:val="22"/>
        </w:rPr>
        <w:t>T</w:t>
      </w:r>
      <w:r w:rsidR="00051A32">
        <w:rPr>
          <w:bCs/>
          <w:szCs w:val="22"/>
        </w:rPr>
        <w:t>he Security Documents.</w:t>
      </w:r>
    </w:p>
    <w:p w:rsidR="00D4554A" w:rsidRDefault="00D4554A" w:rsidP="00D4554A">
      <w:pPr>
        <w:snapToGrid w:val="0"/>
        <w:spacing w:after="120"/>
        <w:rPr>
          <w:bCs/>
          <w:szCs w:val="22"/>
        </w:rPr>
      </w:pPr>
    </w:p>
    <w:p w:rsidR="001E5F21" w:rsidRPr="00D4554A" w:rsidRDefault="00276941" w:rsidP="00D948E7">
      <w:pPr>
        <w:snapToGrid w:val="0"/>
        <w:spacing w:after="120"/>
        <w:jc w:val="center"/>
        <w:rPr>
          <w:bCs/>
          <w:szCs w:val="22"/>
        </w:rPr>
      </w:pPr>
      <w:r>
        <w:rPr>
          <w:bCs/>
          <w:szCs w:val="22"/>
        </w:rPr>
        <w:br w:type="page"/>
      </w:r>
      <w:r w:rsidR="001E5F21">
        <w:rPr>
          <w:b/>
          <w:bCs/>
          <w:szCs w:val="22"/>
        </w:rPr>
        <w:t>ATTACHMENT B</w:t>
      </w:r>
    </w:p>
    <w:p w:rsidR="001E5F21" w:rsidRPr="00E31D10" w:rsidRDefault="001E5F21" w:rsidP="00E31D10">
      <w:pPr>
        <w:snapToGrid w:val="0"/>
        <w:spacing w:after="120"/>
        <w:jc w:val="center"/>
        <w:rPr>
          <w:b/>
          <w:bCs/>
          <w:szCs w:val="22"/>
        </w:rPr>
      </w:pPr>
      <w:r>
        <w:rPr>
          <w:b/>
          <w:bCs/>
          <w:szCs w:val="22"/>
        </w:rPr>
        <w:t>Acknowledgment of Confidentiality</w:t>
      </w:r>
    </w:p>
    <w:p w:rsidR="001E5F21" w:rsidRDefault="001E5F21" w:rsidP="001E5F21">
      <w:pPr>
        <w:snapToGrid w:val="0"/>
        <w:spacing w:after="120"/>
        <w:rPr>
          <w:szCs w:val="22"/>
        </w:rPr>
      </w:pPr>
      <w:r>
        <w:rPr>
          <w:szCs w:val="22"/>
        </w:rPr>
        <w:t>             I am seeking access to [ ] only Confidential Information or [ ] Confidential and Highly Confidential Information</w:t>
      </w:r>
      <w:r w:rsidR="000548B8">
        <w:rPr>
          <w:szCs w:val="22"/>
        </w:rPr>
        <w:t xml:space="preserve">.  </w:t>
      </w:r>
      <w:r w:rsidR="000548B8" w:rsidRPr="000548B8">
        <w:rPr>
          <w:szCs w:val="22"/>
        </w:rPr>
        <w:t xml:space="preserve"> </w:t>
      </w:r>
      <w:r w:rsidR="000548B8">
        <w:rPr>
          <w:szCs w:val="22"/>
        </w:rPr>
        <w:t xml:space="preserve">I am [ ] am not [ ] </w:t>
      </w:r>
      <w:r w:rsidR="004E4C56">
        <w:rPr>
          <w:szCs w:val="22"/>
        </w:rPr>
        <w:t>a citizen of the United States of America.</w:t>
      </w:r>
    </w:p>
    <w:p w:rsidR="001E5F21" w:rsidRDefault="001E5F21" w:rsidP="005E74A1">
      <w:pPr>
        <w:snapToGrid w:val="0"/>
        <w:spacing w:after="120"/>
        <w:ind w:firstLine="720"/>
        <w:rPr>
          <w:szCs w:val="22"/>
        </w:rPr>
      </w:pPr>
      <w:r>
        <w:rPr>
          <w:szCs w:val="22"/>
        </w:rPr>
        <w:t xml:space="preserve">I hereby acknowledge that I have received and read a copy of the foregoing </w:t>
      </w:r>
      <w:r w:rsidR="00D4554A">
        <w:rPr>
          <w:szCs w:val="22"/>
        </w:rPr>
        <w:t>Second</w:t>
      </w:r>
      <w:r>
        <w:rPr>
          <w:szCs w:val="22"/>
        </w:rPr>
        <w:t xml:space="preserve"> Protective Order in the above-captioned proceeding, and I understand it.  </w:t>
      </w:r>
    </w:p>
    <w:p w:rsidR="001E5F21" w:rsidRDefault="001E5F21" w:rsidP="001E5F21">
      <w:pPr>
        <w:snapToGrid w:val="0"/>
        <w:spacing w:after="120"/>
        <w:ind w:firstLine="720"/>
        <w:rPr>
          <w:szCs w:val="22"/>
        </w:rPr>
      </w:pPr>
      <w:r>
        <w:rPr>
          <w:szCs w:val="22"/>
        </w:rPr>
        <w:t xml:space="preserve">I agree that I am bound by the </w:t>
      </w:r>
      <w:r w:rsidR="00D4554A">
        <w:rPr>
          <w:szCs w:val="22"/>
        </w:rPr>
        <w:t>Second</w:t>
      </w:r>
      <w:r>
        <w:rPr>
          <w:szCs w:val="22"/>
        </w:rPr>
        <w:t xml:space="preserve"> Protective Order and that I shall not disclose or use Stamped Confidential Documents, Stamped Highly Confidential Documents, Confidential Information or Highly Confidential Information except as allowed by the </w:t>
      </w:r>
      <w:r w:rsidR="00D4554A">
        <w:rPr>
          <w:szCs w:val="22"/>
        </w:rPr>
        <w:t>Second</w:t>
      </w:r>
      <w:r>
        <w:rPr>
          <w:szCs w:val="22"/>
        </w:rPr>
        <w:t xml:space="preserve"> Protective Order.  </w:t>
      </w:r>
    </w:p>
    <w:p w:rsidR="001E5F21" w:rsidRDefault="001E5F21" w:rsidP="001E5F21">
      <w:pPr>
        <w:snapToGrid w:val="0"/>
        <w:spacing w:after="120"/>
        <w:ind w:firstLine="720"/>
        <w:rPr>
          <w:szCs w:val="22"/>
        </w:rPr>
      </w:pPr>
      <w:r>
        <w:rPr>
          <w:szCs w:val="22"/>
        </w:rPr>
        <w:t xml:space="preserve">I acknowledge that a violation of the </w:t>
      </w:r>
      <w:r w:rsidR="00D4554A">
        <w:rPr>
          <w:szCs w:val="22"/>
        </w:rPr>
        <w:t>Second</w:t>
      </w:r>
      <w:r>
        <w:rPr>
          <w:szCs w:val="22"/>
        </w:rPr>
        <w:t xml:space="preserve"> Protective Order is a violation of an order of the Federal Communications Commission (Commission).  I further acknowledge that the Commission retains its full authority to fashion appropriate sanctions for violations of this </w:t>
      </w:r>
      <w:r w:rsidR="00D4554A">
        <w:rPr>
          <w:szCs w:val="22"/>
        </w:rPr>
        <w:t>Second</w:t>
      </w:r>
      <w:r>
        <w:rPr>
          <w:szCs w:val="22"/>
        </w:rPr>
        <w:t xml:space="preserve">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Default="001E5F21" w:rsidP="001E5F21">
      <w:pPr>
        <w:snapToGrid w:val="0"/>
        <w:spacing w:after="120"/>
        <w:ind w:firstLine="720"/>
        <w:rPr>
          <w:szCs w:val="22"/>
        </w:rPr>
      </w:pPr>
      <w:r>
        <w:rPr>
          <w:szCs w:val="22"/>
        </w:rPr>
        <w:t xml:space="preserve">I acknowledge that nothing in the </w:t>
      </w:r>
      <w:r w:rsidR="00D4554A">
        <w:rPr>
          <w:szCs w:val="22"/>
        </w:rPr>
        <w:t>Second</w:t>
      </w:r>
      <w:r>
        <w:rPr>
          <w:szCs w:val="22"/>
        </w:rPr>
        <w:t xml:space="preserve"> Protective Order limits any other rights and remedies available to a Submitting Party at law or in equity against me if I use Confidential or Highly Confidential Information in a manner not authorized by this </w:t>
      </w:r>
      <w:r w:rsidR="00D4554A">
        <w:rPr>
          <w:szCs w:val="22"/>
        </w:rPr>
        <w:t>Second</w:t>
      </w:r>
      <w:r>
        <w:rPr>
          <w:szCs w:val="22"/>
        </w:rPr>
        <w:t xml:space="preserve"> Protective Order.</w:t>
      </w:r>
    </w:p>
    <w:p w:rsidR="001E5F21" w:rsidRDefault="001E5F21" w:rsidP="001E5F21">
      <w:pPr>
        <w:snapToGrid w:val="0"/>
        <w:spacing w:after="120"/>
        <w:rPr>
          <w:szCs w:val="22"/>
        </w:rPr>
      </w:pPr>
      <w:r>
        <w:rPr>
          <w:szCs w:val="22"/>
        </w:rPr>
        <w:t> </w:t>
      </w:r>
      <w:r>
        <w:rPr>
          <w:szCs w:val="22"/>
        </w:rPr>
        <w:tab/>
        <w:t>I certify that I am not involved in Competitive Decision-Making.</w:t>
      </w:r>
    </w:p>
    <w:p w:rsidR="001E5F21" w:rsidRDefault="001E5F21" w:rsidP="001E5F21">
      <w:pPr>
        <w:snapToGrid w:val="0"/>
        <w:spacing w:after="120"/>
        <w:rPr>
          <w:szCs w:val="22"/>
        </w:rPr>
      </w:pPr>
      <w:r>
        <w:rPr>
          <w:szCs w:val="22"/>
        </w:rPr>
        <w:t xml:space="preserve">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w:t>
      </w:r>
      <w:r w:rsidR="00D4554A">
        <w:rPr>
          <w:szCs w:val="22"/>
        </w:rPr>
        <w:t>Second</w:t>
      </w:r>
      <w:r>
        <w:rPr>
          <w:szCs w:val="22"/>
        </w:rPr>
        <w:t xml:space="preserve">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6143DB">
        <w:rPr>
          <w:szCs w:val="22"/>
        </w:rPr>
        <w:t>14</w:t>
      </w:r>
      <w:r w:rsidR="005E0D70">
        <w:rPr>
          <w:szCs w:val="22"/>
        </w:rPr>
        <w:fldChar w:fldCharType="end"/>
      </w:r>
      <w:r w:rsidR="00150C81">
        <w:rPr>
          <w:rStyle w:val="FootnoteReference"/>
          <w:szCs w:val="22"/>
        </w:rPr>
        <w:footnoteReference w:id="12"/>
      </w:r>
      <w:r>
        <w:rPr>
          <w:szCs w:val="22"/>
        </w:rPr>
        <w:t xml:space="preserve"> of the </w:t>
      </w:r>
      <w:r w:rsidR="00D4554A">
        <w:rPr>
          <w:szCs w:val="22"/>
        </w:rPr>
        <w:t>Second</w:t>
      </w:r>
      <w:r>
        <w:rPr>
          <w:szCs w:val="22"/>
        </w:rPr>
        <w:t xml:space="preserve"> Protective Order and agree that I will not use such information in any other capacity.</w:t>
      </w:r>
    </w:p>
    <w:p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w:t>
      </w:r>
      <w:r w:rsidR="00D4554A">
        <w:rPr>
          <w:szCs w:val="22"/>
        </w:rPr>
        <w:t>Second</w:t>
      </w:r>
      <w:r>
        <w:rPr>
          <w:szCs w:val="22"/>
        </w:rPr>
        <w:t xml:space="preserve">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w:t>
      </w:r>
      <w:r w:rsidR="00D4554A">
        <w:rPr>
          <w:szCs w:val="22"/>
        </w:rPr>
        <w:t>Second</w:t>
      </w:r>
      <w:r>
        <w:rPr>
          <w:szCs w:val="22"/>
        </w:rPr>
        <w:t xml:space="preserve"> Protective Order.  </w:t>
      </w:r>
    </w:p>
    <w:p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rsidR="001E5F21" w:rsidRDefault="001E5F21" w:rsidP="001E5F21">
      <w:pPr>
        <w:snapToGrid w:val="0"/>
        <w:spacing w:after="120"/>
        <w:ind w:firstLine="720"/>
        <w:rPr>
          <w:szCs w:val="22"/>
        </w:rPr>
      </w:pPr>
      <w:r>
        <w:rPr>
          <w:szCs w:val="22"/>
        </w:rPr>
        <w:t xml:space="preserve">Capitalized terms used herein and not otherwise defined shall have the meanings ascribed to them in the </w:t>
      </w:r>
      <w:r w:rsidR="00D4554A">
        <w:rPr>
          <w:szCs w:val="22"/>
        </w:rPr>
        <w:t>Second</w:t>
      </w:r>
      <w:r>
        <w:rPr>
          <w:szCs w:val="22"/>
        </w:rPr>
        <w:t xml:space="preserve"> Protective Order. </w:t>
      </w:r>
    </w:p>
    <w:p w:rsidR="001E5F21" w:rsidRDefault="001E5F21" w:rsidP="001E5F21">
      <w:pPr>
        <w:snapToGrid w:val="0"/>
        <w:spacing w:after="120" w:line="200" w:lineRule="exact"/>
        <w:ind w:left="3600" w:firstLine="720"/>
        <w:rPr>
          <w:szCs w:val="22"/>
        </w:rPr>
      </w:pPr>
      <w:r>
        <w:rPr>
          <w:szCs w:val="22"/>
        </w:rPr>
        <w:t>Executed thi</w:t>
      </w:r>
      <w:r w:rsidR="00D4554A">
        <w:rPr>
          <w:szCs w:val="22"/>
        </w:rPr>
        <w:t>s ___ day of _____________, 2016</w:t>
      </w:r>
      <w:r>
        <w:rPr>
          <w:szCs w:val="22"/>
        </w:rPr>
        <w:t>.</w:t>
      </w:r>
    </w:p>
    <w:p w:rsidR="001E5F21" w:rsidRDefault="001E5F21" w:rsidP="001E5F21">
      <w:pPr>
        <w:snapToGrid w:val="0"/>
        <w:spacing w:after="120" w:line="200" w:lineRule="exact"/>
        <w:rPr>
          <w:szCs w:val="22"/>
        </w:rPr>
      </w:pPr>
      <w:r>
        <w:rPr>
          <w:szCs w:val="22"/>
        </w:rPr>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1E5F21" w:rsidRDefault="001E5F21" w:rsidP="001E5F21">
      <w:pPr>
        <w:snapToGrid w:val="0"/>
        <w:spacing w:line="200" w:lineRule="exact"/>
        <w:rPr>
          <w:szCs w:val="22"/>
        </w:rPr>
      </w:pPr>
      <w:r>
        <w:rPr>
          <w:szCs w:val="22"/>
        </w:rPr>
        <w:t>                                                                  </w:t>
      </w:r>
      <w:r>
        <w:rPr>
          <w:szCs w:val="22"/>
        </w:rPr>
        <w:tab/>
        <w:t>[Position]</w:t>
      </w:r>
    </w:p>
    <w:p w:rsidR="001E5F21" w:rsidRDefault="001E5F21" w:rsidP="001E5F21">
      <w:pPr>
        <w:snapToGrid w:val="0"/>
        <w:spacing w:line="200" w:lineRule="exact"/>
        <w:rPr>
          <w:szCs w:val="22"/>
        </w:rPr>
      </w:pPr>
      <w:r>
        <w:rPr>
          <w:szCs w:val="22"/>
        </w:rPr>
        <w:t>                                                                  </w:t>
      </w:r>
      <w:r>
        <w:rPr>
          <w:szCs w:val="22"/>
        </w:rPr>
        <w:tab/>
        <w:t>[Firm]</w:t>
      </w:r>
    </w:p>
    <w:p w:rsidR="00276941" w:rsidRDefault="001E5F21" w:rsidP="00423165">
      <w:pPr>
        <w:snapToGrid w:val="0"/>
        <w:spacing w:line="200" w:lineRule="exact"/>
        <w:ind w:left="3600" w:firstLine="720"/>
        <w:rPr>
          <w:szCs w:val="22"/>
        </w:rPr>
      </w:pPr>
      <w:r>
        <w:rPr>
          <w:szCs w:val="22"/>
        </w:rPr>
        <w:t>[Telephone]</w:t>
      </w:r>
    </w:p>
    <w:p w:rsidR="00D4554A" w:rsidRPr="00423165" w:rsidRDefault="00D4554A" w:rsidP="00423165">
      <w:pPr>
        <w:snapToGrid w:val="0"/>
        <w:spacing w:line="200" w:lineRule="exact"/>
        <w:ind w:left="3600" w:firstLine="720"/>
        <w:rPr>
          <w:sz w:val="24"/>
          <w:szCs w:val="24"/>
        </w:rPr>
      </w:pPr>
      <w:r>
        <w:rPr>
          <w:szCs w:val="22"/>
        </w:rPr>
        <w:t>[Nationality]</w:t>
      </w:r>
    </w:p>
    <w:sectPr w:rsidR="00D4554A" w:rsidRPr="00423165" w:rsidSect="00675BE4">
      <w:footerReference w:type="default" r:id="rId14"/>
      <w:footerReference w:type="first" r:id="rId15"/>
      <w:pgSz w:w="12240" w:h="15840" w:code="1"/>
      <w:pgMar w:top="1440" w:right="1440" w:bottom="1440" w:left="1440" w:header="720" w:footer="720" w:gutter="0"/>
      <w:pgNumType w:start="1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03E" w:rsidRDefault="001C303E">
      <w:r>
        <w:separator/>
      </w:r>
    </w:p>
  </w:endnote>
  <w:endnote w:type="continuationSeparator" w:id="0">
    <w:p w:rsidR="001C303E" w:rsidRDefault="001C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22" w:rsidRDefault="00623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B26CD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22" w:rsidRDefault="006234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E4" w:rsidRDefault="00675BE4">
    <w:pPr>
      <w:pStyle w:val="Footer"/>
      <w:jc w:val="center"/>
    </w:pPr>
  </w:p>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E4" w:rsidRDefault="00675BE4">
    <w:pPr>
      <w:pStyle w:val="Footer"/>
      <w:jc w:val="center"/>
    </w:pPr>
  </w:p>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03E" w:rsidRDefault="001C303E">
      <w:r>
        <w:separator/>
      </w:r>
    </w:p>
  </w:footnote>
  <w:footnote w:type="continuationSeparator" w:id="0">
    <w:p w:rsidR="001C303E" w:rsidRDefault="001C303E">
      <w:r>
        <w:continuationSeparator/>
      </w:r>
    </w:p>
  </w:footnote>
  <w:footnote w:id="1">
    <w:p w:rsidR="00185D36" w:rsidRDefault="00185D36">
      <w:pPr>
        <w:pStyle w:val="FootnoteText"/>
      </w:pPr>
      <w:r>
        <w:rPr>
          <w:rStyle w:val="FootnoteReference"/>
        </w:rPr>
        <w:footnoteRef/>
      </w:r>
      <w:r>
        <w:t xml:space="preserve"> </w:t>
      </w:r>
      <w:r w:rsidRPr="00185D36">
        <w:rPr>
          <w:i/>
          <w:spacing w:val="-2"/>
        </w:rPr>
        <w:t xml:space="preserve">In the Matter of </w:t>
      </w:r>
      <w:r w:rsidRPr="00185D36">
        <w:rPr>
          <w:i/>
        </w:rPr>
        <w:t>Telcordia Technologies, Inc. Petition to Reform Amendment 57 and to Order a Competitive Bidding Process for Number Portability Administration; Petition of Telcordia Technologies, Inc. to Reform or Strike Amendment 70, to Institute Competitive Bidding for Number Portability Administration, and to End the NAPM LLC’s Interim Role in Number Portability Administration Contract Management; Telephone Number Portability,</w:t>
      </w:r>
      <w:r w:rsidRPr="00185D36">
        <w:t xml:space="preserve"> WC Docket Nos. 07-149, 09-109, CC Docket 95-116, Order, 30 FCC Rcd 3082 (</w:t>
      </w:r>
      <w:r w:rsidRPr="00185D36">
        <w:rPr>
          <w:i/>
        </w:rPr>
        <w:t>LNPA Selection Order</w:t>
      </w:r>
      <w:r>
        <w:t>).</w:t>
      </w:r>
    </w:p>
  </w:footnote>
  <w:footnote w:id="2">
    <w:p w:rsidR="00B120C4" w:rsidRPr="00185D36" w:rsidRDefault="00B120C4">
      <w:pPr>
        <w:pStyle w:val="FootnoteText"/>
      </w:pPr>
      <w:r>
        <w:rPr>
          <w:rStyle w:val="FootnoteReference"/>
        </w:rPr>
        <w:footnoteRef/>
      </w:r>
      <w:r>
        <w:t xml:space="preserve"> </w:t>
      </w:r>
      <w:r w:rsidR="00185D36">
        <w:rPr>
          <w:i/>
        </w:rPr>
        <w:t>See</w:t>
      </w:r>
      <w:r w:rsidR="00185D36">
        <w:t xml:space="preserve"> </w:t>
      </w:r>
      <w:r w:rsidR="00185D36" w:rsidRPr="00185D36">
        <w:rPr>
          <w:i/>
        </w:rPr>
        <w:t>LNPA Selection Order</w:t>
      </w:r>
      <w:r w:rsidR="00185D36">
        <w:t xml:space="preserve"> </w:t>
      </w:r>
      <w:r w:rsidR="003B7F7E">
        <w:t>at</w:t>
      </w:r>
      <w:r w:rsidR="00A02DED">
        <w:t>para.</w:t>
      </w:r>
      <w:r w:rsidR="00185D36">
        <w:t xml:space="preserve"> 193.</w:t>
      </w:r>
    </w:p>
  </w:footnote>
  <w:footnote w:id="3">
    <w:p w:rsidR="00150C81" w:rsidRPr="008C59CC" w:rsidRDefault="00150C81">
      <w:pPr>
        <w:pStyle w:val="FootnoteText"/>
      </w:pPr>
      <w:r>
        <w:rPr>
          <w:rStyle w:val="FootnoteReference"/>
        </w:rPr>
        <w:footnoteRef/>
      </w:r>
      <w:r>
        <w:t xml:space="preserve"> </w:t>
      </w:r>
      <w:r w:rsidR="008C59CC">
        <w:rPr>
          <w:i/>
        </w:rPr>
        <w:t xml:space="preserve">In the Matter of Petition of Telcordia Technologies, Inc. to </w:t>
      </w:r>
      <w:r w:rsidR="00987355">
        <w:rPr>
          <w:i/>
        </w:rPr>
        <w:t>R</w:t>
      </w:r>
      <w:r w:rsidR="008C59CC">
        <w:rPr>
          <w:i/>
        </w:rPr>
        <w:t>eform or Strike Amendment</w:t>
      </w:r>
      <w:r w:rsidR="004D4053">
        <w:rPr>
          <w:i/>
        </w:rPr>
        <w:t xml:space="preserve"> </w:t>
      </w:r>
      <w:r w:rsidR="008C59CC">
        <w:rPr>
          <w:i/>
        </w:rPr>
        <w:t>70, to Institute Competitive Bidding for Number Portability Administration</w:t>
      </w:r>
      <w:r w:rsidR="00363F8C">
        <w:rPr>
          <w:i/>
        </w:rPr>
        <w:t xml:space="preserve"> and t</w:t>
      </w:r>
      <w:r w:rsidR="008C59CC">
        <w:rPr>
          <w:i/>
        </w:rPr>
        <w:t>o End the NAPM LLC’s Interim Role in Number Portability Administration Contract; Telephone Number Portability,</w:t>
      </w:r>
      <w:r w:rsidR="008C59CC">
        <w:t xml:space="preserve"> WC Docket</w:t>
      </w:r>
      <w:r w:rsidR="003F550E">
        <w:t xml:space="preserve"> Nos. </w:t>
      </w:r>
      <w:r w:rsidR="003F550E" w:rsidRPr="00185D36">
        <w:t>07-149, 09-109, CC Docket 95-116, Order</w:t>
      </w:r>
      <w:r w:rsidR="003F550E">
        <w:t xml:space="preserve">.  </w:t>
      </w:r>
      <w:r w:rsidR="003F550E" w:rsidRPr="003F550E">
        <w:rPr>
          <w:iCs/>
        </w:rPr>
        <w:t>29 FCC Rcd 7592</w:t>
      </w:r>
      <w:r w:rsidR="003F550E" w:rsidRPr="003F550E">
        <w:t xml:space="preserve"> </w:t>
      </w:r>
      <w:r w:rsidR="003F550E">
        <w:t>(</w:t>
      </w:r>
      <w:r w:rsidR="003F550E" w:rsidRPr="003F550E">
        <w:rPr>
          <w:i/>
        </w:rPr>
        <w:t>Revised Protective Order</w:t>
      </w:r>
      <w:r w:rsidR="003F550E">
        <w:t>)</w:t>
      </w:r>
      <w:r w:rsidR="00363F8C">
        <w:t>.</w:t>
      </w:r>
    </w:p>
  </w:footnote>
  <w:footnote w:id="4">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5">
    <w:p w:rsidR="00065552" w:rsidRDefault="00065552" w:rsidP="00065552">
      <w:pPr>
        <w:pStyle w:val="FootnoteText"/>
      </w:pPr>
      <w:r>
        <w:rPr>
          <w:rStyle w:val="FootnoteReference"/>
        </w:rPr>
        <w:footnoteRef/>
      </w:r>
      <w:r>
        <w:t xml:space="preserve"> </w:t>
      </w:r>
      <w:r w:rsidRPr="00F2663B">
        <w:rPr>
          <w:i/>
        </w:rPr>
        <w:t>See</w:t>
      </w:r>
      <w:r>
        <w:t xml:space="preserve"> 47 C.F.R. § 0.459(a)</w:t>
      </w:r>
      <w:r w:rsidR="00F2663B">
        <w:t>, 0.459(a)(3)</w:t>
      </w:r>
      <w:r>
        <w:t>.</w:t>
      </w:r>
    </w:p>
  </w:footnote>
  <w:footnote w:id="6">
    <w:p w:rsidR="00065552" w:rsidRDefault="00065552" w:rsidP="00065552">
      <w:pPr>
        <w:pStyle w:val="FootnoteText"/>
      </w:pPr>
      <w:r>
        <w:rPr>
          <w:rStyle w:val="FootnoteReference"/>
        </w:rPr>
        <w:footnoteRef/>
      </w:r>
      <w:r>
        <w:t xml:space="preserve"> </w:t>
      </w:r>
      <w:r>
        <w:rPr>
          <w:i/>
        </w:rPr>
        <w:t xml:space="preserve">See </w:t>
      </w:r>
      <w:r>
        <w:t>47 C.F.R. § 0.459(b).</w:t>
      </w:r>
    </w:p>
  </w:footnote>
  <w:footnote w:id="7">
    <w:p w:rsidR="00065552" w:rsidRDefault="00065552" w:rsidP="00065552">
      <w:pPr>
        <w:pStyle w:val="FootnoteText"/>
      </w:pPr>
      <w:r>
        <w:rPr>
          <w:rStyle w:val="FootnoteReference"/>
        </w:rPr>
        <w:footnoteRef/>
      </w:r>
      <w:r>
        <w:t xml:space="preserve"> </w:t>
      </w:r>
      <w:r>
        <w:rPr>
          <w:i/>
        </w:rPr>
        <w:t>See</w:t>
      </w:r>
      <w:r>
        <w:t xml:space="preserve"> 47 C.F.R. § 0.459(g).</w:t>
      </w:r>
    </w:p>
  </w:footnote>
  <w:footnote w:id="8">
    <w:p w:rsidR="00065552" w:rsidRDefault="00065552" w:rsidP="00065552">
      <w:pPr>
        <w:pStyle w:val="FootnoteText"/>
      </w:pPr>
      <w:r>
        <w:rPr>
          <w:rStyle w:val="FootnoteReference"/>
        </w:rPr>
        <w:footnoteRef/>
      </w:r>
      <w:r>
        <w:t xml:space="preserve"> </w:t>
      </w:r>
      <w:r>
        <w:rPr>
          <w:i/>
        </w:rPr>
        <w:t>See</w:t>
      </w:r>
      <w:r>
        <w:t xml:space="preserve"> 47 C.F.R. §§ 0.459(h), 0.461.</w:t>
      </w:r>
    </w:p>
  </w:footnote>
  <w:footnote w:id="9">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10">
    <w:p w:rsidR="000548B8" w:rsidRDefault="00351FA9" w:rsidP="000548B8">
      <w:pPr>
        <w:pStyle w:val="FootnoteText"/>
      </w:pPr>
      <w:r>
        <w:rPr>
          <w:rStyle w:val="FootnoteReference"/>
        </w:rPr>
        <w:footnoteRef/>
      </w:r>
      <w:r>
        <w:t xml:space="preserve"> </w:t>
      </w:r>
      <w:r w:rsidR="000548B8">
        <w:t>In particular, Confidential and Highly Confidential Information may not be used in any subsequent proceeding involving the selection of the LNP</w:t>
      </w:r>
      <w:r w:rsidR="003B7F7E">
        <w:t>A</w:t>
      </w:r>
      <w:r w:rsidR="000548B8">
        <w:t>.</w:t>
      </w:r>
    </w:p>
    <w:p w:rsidR="00351FA9" w:rsidRDefault="00351FA9">
      <w:pPr>
        <w:pStyle w:val="FootnoteText"/>
      </w:pPr>
    </w:p>
  </w:footnote>
  <w:footnote w:id="11">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 w:id="12">
    <w:p w:rsidR="008E1D72" w:rsidRDefault="008E1D72"/>
    <w:p w:rsidR="00150C81" w:rsidRDefault="00150C8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22" w:rsidRDefault="00623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8240" behindDoc="1" locked="0" layoutInCell="0" allowOverlap="1" wp14:anchorId="0D1A455E" wp14:editId="43E3CE90">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CA517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9207A0">
      <w:t xml:space="preserve">DA </w:t>
    </w:r>
    <w:r w:rsidR="004152EB">
      <w:t>16-344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7216" behindDoc="1" locked="0" layoutInCell="0" allowOverlap="1" wp14:anchorId="1578329F" wp14:editId="3F3ABC1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F628BA"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B120C4">
      <w:t>DA 16-</w:t>
    </w:r>
    <w:r w:rsidR="004152EB">
      <w:t>344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ACD041A"/>
    <w:multiLevelType w:val="hybridMultilevel"/>
    <w:tmpl w:val="001EE464"/>
    <w:lvl w:ilvl="0" w:tplc="9BF6D814">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DA4FE1"/>
    <w:multiLevelType w:val="hybridMultilevel"/>
    <w:tmpl w:val="6C22E406"/>
    <w:lvl w:ilvl="0" w:tplc="6A98A1D8">
      <w:start w:val="1"/>
      <w:numFmt w:val="lowerRoman"/>
      <w:lvlText w:val="(%1)"/>
      <w:lvlJc w:val="left"/>
      <w:pPr>
        <w:ind w:left="2160" w:hanging="720"/>
      </w:pPr>
      <w:rPr>
        <w:rFonts w:ascii="Times New Roman"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4515D3"/>
    <w:multiLevelType w:val="hybridMultilevel"/>
    <w:tmpl w:val="9A52D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AEC1420"/>
    <w:multiLevelType w:val="hybridMultilevel"/>
    <w:tmpl w:val="0406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0"/>
  </w:num>
  <w:num w:numId="3">
    <w:abstractNumId w:val="13"/>
  </w:num>
  <w:num w:numId="4">
    <w:abstractNumId w:val="10"/>
  </w:num>
  <w:num w:numId="5">
    <w:abstractNumId w:val="10"/>
  </w:num>
  <w:num w:numId="6">
    <w:abstractNumId w:val="10"/>
  </w:num>
  <w:num w:numId="7">
    <w:abstractNumId w:val="10"/>
  </w:num>
  <w:num w:numId="8">
    <w:abstractNumId w:val="9"/>
  </w:num>
  <w:num w:numId="9">
    <w:abstractNumId w:val="10"/>
  </w:num>
  <w:num w:numId="10">
    <w:abstractNumId w:val="0"/>
  </w:num>
  <w:num w:numId="11">
    <w:abstractNumId w:val="5"/>
  </w:num>
  <w:num w:numId="12">
    <w:abstractNumId w:val="14"/>
  </w:num>
  <w:num w:numId="13">
    <w:abstractNumId w:val="8"/>
  </w:num>
  <w:num w:numId="14">
    <w:abstractNumId w:val="12"/>
  </w:num>
  <w:num w:numId="15">
    <w:abstractNumId w:val="7"/>
  </w:num>
  <w:num w:numId="16">
    <w:abstractNumId w:val="1"/>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3"/>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2C85"/>
    <w:rsid w:val="00005AE5"/>
    <w:rsid w:val="000114C1"/>
    <w:rsid w:val="00026A50"/>
    <w:rsid w:val="00037771"/>
    <w:rsid w:val="00051A32"/>
    <w:rsid w:val="000548B8"/>
    <w:rsid w:val="00065552"/>
    <w:rsid w:val="0007298B"/>
    <w:rsid w:val="00074E0E"/>
    <w:rsid w:val="000848E3"/>
    <w:rsid w:val="00094DEA"/>
    <w:rsid w:val="000A3E3B"/>
    <w:rsid w:val="000B1398"/>
    <w:rsid w:val="000B69AE"/>
    <w:rsid w:val="000B7CFB"/>
    <w:rsid w:val="000D1063"/>
    <w:rsid w:val="000D4122"/>
    <w:rsid w:val="000D6B60"/>
    <w:rsid w:val="000E1E24"/>
    <w:rsid w:val="000E6307"/>
    <w:rsid w:val="000F418D"/>
    <w:rsid w:val="00101DE0"/>
    <w:rsid w:val="00106D50"/>
    <w:rsid w:val="00123CAF"/>
    <w:rsid w:val="00150C81"/>
    <w:rsid w:val="00155D78"/>
    <w:rsid w:val="00180836"/>
    <w:rsid w:val="0018525F"/>
    <w:rsid w:val="00185D36"/>
    <w:rsid w:val="00197B91"/>
    <w:rsid w:val="001B04EA"/>
    <w:rsid w:val="001C303E"/>
    <w:rsid w:val="001E5F21"/>
    <w:rsid w:val="001F2EC6"/>
    <w:rsid w:val="001F5F6A"/>
    <w:rsid w:val="001F747C"/>
    <w:rsid w:val="002019AF"/>
    <w:rsid w:val="00204E55"/>
    <w:rsid w:val="00224B65"/>
    <w:rsid w:val="002325C6"/>
    <w:rsid w:val="00234879"/>
    <w:rsid w:val="00234F90"/>
    <w:rsid w:val="00237FE1"/>
    <w:rsid w:val="00240C84"/>
    <w:rsid w:val="00263888"/>
    <w:rsid w:val="00273399"/>
    <w:rsid w:val="0027647E"/>
    <w:rsid w:val="00276941"/>
    <w:rsid w:val="0027753D"/>
    <w:rsid w:val="002808F8"/>
    <w:rsid w:val="00281772"/>
    <w:rsid w:val="00295373"/>
    <w:rsid w:val="002A4C9B"/>
    <w:rsid w:val="002A53B6"/>
    <w:rsid w:val="002A7B27"/>
    <w:rsid w:val="002B336D"/>
    <w:rsid w:val="002C439E"/>
    <w:rsid w:val="002E04EA"/>
    <w:rsid w:val="002F034B"/>
    <w:rsid w:val="002F0402"/>
    <w:rsid w:val="002F5C69"/>
    <w:rsid w:val="00322D1D"/>
    <w:rsid w:val="00327E1B"/>
    <w:rsid w:val="003322D5"/>
    <w:rsid w:val="00346501"/>
    <w:rsid w:val="00351FA9"/>
    <w:rsid w:val="003564F3"/>
    <w:rsid w:val="00361A9E"/>
    <w:rsid w:val="00363F8C"/>
    <w:rsid w:val="0037512F"/>
    <w:rsid w:val="00387CCD"/>
    <w:rsid w:val="003B5967"/>
    <w:rsid w:val="003B7F7E"/>
    <w:rsid w:val="003D0535"/>
    <w:rsid w:val="003D0FF7"/>
    <w:rsid w:val="003E5808"/>
    <w:rsid w:val="003E7489"/>
    <w:rsid w:val="003F550E"/>
    <w:rsid w:val="00402509"/>
    <w:rsid w:val="004152EB"/>
    <w:rsid w:val="00423165"/>
    <w:rsid w:val="004313CC"/>
    <w:rsid w:val="00450FCF"/>
    <w:rsid w:val="00465B83"/>
    <w:rsid w:val="00467659"/>
    <w:rsid w:val="00475B79"/>
    <w:rsid w:val="00481AE6"/>
    <w:rsid w:val="00490304"/>
    <w:rsid w:val="00493768"/>
    <w:rsid w:val="004A14DE"/>
    <w:rsid w:val="004A7015"/>
    <w:rsid w:val="004A7312"/>
    <w:rsid w:val="004B2DA7"/>
    <w:rsid w:val="004C5F51"/>
    <w:rsid w:val="004D04C7"/>
    <w:rsid w:val="004D078D"/>
    <w:rsid w:val="004D4053"/>
    <w:rsid w:val="004E4C56"/>
    <w:rsid w:val="004E7CB5"/>
    <w:rsid w:val="00512945"/>
    <w:rsid w:val="00521856"/>
    <w:rsid w:val="00522D41"/>
    <w:rsid w:val="00531938"/>
    <w:rsid w:val="0054390D"/>
    <w:rsid w:val="00545C2E"/>
    <w:rsid w:val="00571ACA"/>
    <w:rsid w:val="00572F3A"/>
    <w:rsid w:val="0058044D"/>
    <w:rsid w:val="00582FE5"/>
    <w:rsid w:val="00586CEB"/>
    <w:rsid w:val="005A2BFB"/>
    <w:rsid w:val="005B1F45"/>
    <w:rsid w:val="005D46D2"/>
    <w:rsid w:val="005D7C85"/>
    <w:rsid w:val="005E0D70"/>
    <w:rsid w:val="005E14CC"/>
    <w:rsid w:val="005E3127"/>
    <w:rsid w:val="005E74A1"/>
    <w:rsid w:val="006068A1"/>
    <w:rsid w:val="006143DB"/>
    <w:rsid w:val="00621943"/>
    <w:rsid w:val="00623422"/>
    <w:rsid w:val="006238C9"/>
    <w:rsid w:val="0065088D"/>
    <w:rsid w:val="00675BE4"/>
    <w:rsid w:val="00683025"/>
    <w:rsid w:val="0069679C"/>
    <w:rsid w:val="006A0C45"/>
    <w:rsid w:val="006A1937"/>
    <w:rsid w:val="006A4C4B"/>
    <w:rsid w:val="006B47BE"/>
    <w:rsid w:val="006B5A48"/>
    <w:rsid w:val="006B5FDC"/>
    <w:rsid w:val="006D7D7A"/>
    <w:rsid w:val="006D7F76"/>
    <w:rsid w:val="006E0104"/>
    <w:rsid w:val="006E2F0B"/>
    <w:rsid w:val="006E5CEF"/>
    <w:rsid w:val="00710020"/>
    <w:rsid w:val="00716691"/>
    <w:rsid w:val="00726BD7"/>
    <w:rsid w:val="0073150B"/>
    <w:rsid w:val="0073166F"/>
    <w:rsid w:val="00736B94"/>
    <w:rsid w:val="00744C81"/>
    <w:rsid w:val="007472A0"/>
    <w:rsid w:val="00790940"/>
    <w:rsid w:val="007A4F88"/>
    <w:rsid w:val="007C731E"/>
    <w:rsid w:val="007E22E3"/>
    <w:rsid w:val="007F3E88"/>
    <w:rsid w:val="007F6DA0"/>
    <w:rsid w:val="007F7EAD"/>
    <w:rsid w:val="008002AC"/>
    <w:rsid w:val="00821D02"/>
    <w:rsid w:val="00834D9E"/>
    <w:rsid w:val="00835711"/>
    <w:rsid w:val="00835C42"/>
    <w:rsid w:val="008363A1"/>
    <w:rsid w:val="00841E98"/>
    <w:rsid w:val="008445C4"/>
    <w:rsid w:val="00850C26"/>
    <w:rsid w:val="00883BDE"/>
    <w:rsid w:val="00894AD6"/>
    <w:rsid w:val="008970D9"/>
    <w:rsid w:val="008A3773"/>
    <w:rsid w:val="008A475D"/>
    <w:rsid w:val="008A5186"/>
    <w:rsid w:val="008B3D4D"/>
    <w:rsid w:val="008C59CC"/>
    <w:rsid w:val="008C748A"/>
    <w:rsid w:val="008D000F"/>
    <w:rsid w:val="008D4912"/>
    <w:rsid w:val="008E1D72"/>
    <w:rsid w:val="008E3F5F"/>
    <w:rsid w:val="008E4E85"/>
    <w:rsid w:val="008F4814"/>
    <w:rsid w:val="00915D3E"/>
    <w:rsid w:val="00917198"/>
    <w:rsid w:val="009207A0"/>
    <w:rsid w:val="009224F4"/>
    <w:rsid w:val="00924141"/>
    <w:rsid w:val="009263CF"/>
    <w:rsid w:val="00935BE0"/>
    <w:rsid w:val="00950A4F"/>
    <w:rsid w:val="00966E8D"/>
    <w:rsid w:val="009756B1"/>
    <w:rsid w:val="00987355"/>
    <w:rsid w:val="009A64EA"/>
    <w:rsid w:val="009B10BB"/>
    <w:rsid w:val="009B3662"/>
    <w:rsid w:val="009D140E"/>
    <w:rsid w:val="009D2741"/>
    <w:rsid w:val="009E2E60"/>
    <w:rsid w:val="009F0BA4"/>
    <w:rsid w:val="009F4FC3"/>
    <w:rsid w:val="00A02DED"/>
    <w:rsid w:val="00A07C98"/>
    <w:rsid w:val="00A10A0F"/>
    <w:rsid w:val="00A11641"/>
    <w:rsid w:val="00A2456B"/>
    <w:rsid w:val="00A31EA4"/>
    <w:rsid w:val="00A323F1"/>
    <w:rsid w:val="00A46916"/>
    <w:rsid w:val="00A6059F"/>
    <w:rsid w:val="00A62C3E"/>
    <w:rsid w:val="00A62F19"/>
    <w:rsid w:val="00A849BA"/>
    <w:rsid w:val="00AB141A"/>
    <w:rsid w:val="00AB5B9A"/>
    <w:rsid w:val="00AC05CE"/>
    <w:rsid w:val="00AC128C"/>
    <w:rsid w:val="00AC3217"/>
    <w:rsid w:val="00AD115D"/>
    <w:rsid w:val="00AE4EB3"/>
    <w:rsid w:val="00B0153B"/>
    <w:rsid w:val="00B02841"/>
    <w:rsid w:val="00B03F57"/>
    <w:rsid w:val="00B120C4"/>
    <w:rsid w:val="00B2175F"/>
    <w:rsid w:val="00B26CDD"/>
    <w:rsid w:val="00B37B20"/>
    <w:rsid w:val="00B41BDD"/>
    <w:rsid w:val="00B53FC6"/>
    <w:rsid w:val="00B54C2B"/>
    <w:rsid w:val="00B738B9"/>
    <w:rsid w:val="00B75B5F"/>
    <w:rsid w:val="00B94FA2"/>
    <w:rsid w:val="00BA0586"/>
    <w:rsid w:val="00BC6CD6"/>
    <w:rsid w:val="00BD6DE0"/>
    <w:rsid w:val="00BE60A5"/>
    <w:rsid w:val="00BF4504"/>
    <w:rsid w:val="00C03B8E"/>
    <w:rsid w:val="00C0678B"/>
    <w:rsid w:val="00C165BE"/>
    <w:rsid w:val="00C229D7"/>
    <w:rsid w:val="00C374A8"/>
    <w:rsid w:val="00C40848"/>
    <w:rsid w:val="00C40E21"/>
    <w:rsid w:val="00C45D39"/>
    <w:rsid w:val="00C93900"/>
    <w:rsid w:val="00CB13BF"/>
    <w:rsid w:val="00CE23EC"/>
    <w:rsid w:val="00CE49F7"/>
    <w:rsid w:val="00CE64CF"/>
    <w:rsid w:val="00D05B49"/>
    <w:rsid w:val="00D1294F"/>
    <w:rsid w:val="00D15895"/>
    <w:rsid w:val="00D4554A"/>
    <w:rsid w:val="00D47BCC"/>
    <w:rsid w:val="00D61E09"/>
    <w:rsid w:val="00D81AED"/>
    <w:rsid w:val="00D948E7"/>
    <w:rsid w:val="00DA2EF8"/>
    <w:rsid w:val="00DA7E2B"/>
    <w:rsid w:val="00DB0F0B"/>
    <w:rsid w:val="00DD444C"/>
    <w:rsid w:val="00DD4B5F"/>
    <w:rsid w:val="00E31D10"/>
    <w:rsid w:val="00E61655"/>
    <w:rsid w:val="00E62693"/>
    <w:rsid w:val="00E63950"/>
    <w:rsid w:val="00E67549"/>
    <w:rsid w:val="00E96FAB"/>
    <w:rsid w:val="00EC006D"/>
    <w:rsid w:val="00EC693C"/>
    <w:rsid w:val="00ED2351"/>
    <w:rsid w:val="00F1077E"/>
    <w:rsid w:val="00F1249B"/>
    <w:rsid w:val="00F2663B"/>
    <w:rsid w:val="00F617AC"/>
    <w:rsid w:val="00F71DAA"/>
    <w:rsid w:val="00F72172"/>
    <w:rsid w:val="00F94ABA"/>
    <w:rsid w:val="00FA376E"/>
    <w:rsid w:val="00FA76EB"/>
    <w:rsid w:val="00FB18AB"/>
    <w:rsid w:val="00FB2D13"/>
    <w:rsid w:val="00FB445E"/>
    <w:rsid w:val="00FB551F"/>
    <w:rsid w:val="00FC32EE"/>
    <w:rsid w:val="00FC5219"/>
    <w:rsid w:val="00FC5CDD"/>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DD"/>
    <w:pPr>
      <w:widowControl w:val="0"/>
    </w:pPr>
    <w:rPr>
      <w:snapToGrid w:val="0"/>
      <w:kern w:val="28"/>
      <w:sz w:val="22"/>
    </w:rPr>
  </w:style>
  <w:style w:type="paragraph" w:styleId="Heading1">
    <w:name w:val="heading 1"/>
    <w:basedOn w:val="Normal"/>
    <w:next w:val="ParaNum"/>
    <w:link w:val="Heading1Char"/>
    <w:qFormat/>
    <w:rsid w:val="00B26CD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26CDD"/>
    <w:pPr>
      <w:keepNext/>
      <w:numPr>
        <w:ilvl w:val="1"/>
        <w:numId w:val="13"/>
      </w:numPr>
      <w:spacing w:after="120"/>
      <w:outlineLvl w:val="1"/>
    </w:pPr>
    <w:rPr>
      <w:b/>
    </w:rPr>
  </w:style>
  <w:style w:type="paragraph" w:styleId="Heading3">
    <w:name w:val="heading 3"/>
    <w:basedOn w:val="Normal"/>
    <w:next w:val="ParaNum"/>
    <w:link w:val="Heading3Char"/>
    <w:qFormat/>
    <w:rsid w:val="00B26CD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B26CD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B26CD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B26CD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B26CD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B26CD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26CD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26C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6CDD"/>
  </w:style>
  <w:style w:type="paragraph" w:styleId="Header">
    <w:name w:val="header"/>
    <w:basedOn w:val="Normal"/>
    <w:link w:val="HeaderChar"/>
    <w:autoRedefine/>
    <w:rsid w:val="00B26CDD"/>
    <w:pPr>
      <w:tabs>
        <w:tab w:val="center" w:pos="4680"/>
        <w:tab w:val="right" w:pos="9360"/>
      </w:tabs>
    </w:pPr>
    <w:rPr>
      <w:b/>
    </w:rPr>
  </w:style>
  <w:style w:type="paragraph" w:styleId="Footer">
    <w:name w:val="footer"/>
    <w:basedOn w:val="Normal"/>
    <w:link w:val="FooterChar"/>
    <w:rsid w:val="00B26CDD"/>
    <w:pPr>
      <w:tabs>
        <w:tab w:val="center" w:pos="4320"/>
        <w:tab w:val="right" w:pos="8640"/>
      </w:tabs>
    </w:pPr>
  </w:style>
  <w:style w:type="character" w:styleId="PageNumber">
    <w:name w:val="page number"/>
    <w:basedOn w:val="DefaultParagraphFont"/>
    <w:rsid w:val="00B26CD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B26CDD"/>
    <w:pPr>
      <w:spacing w:after="120"/>
    </w:pPr>
  </w:style>
  <w:style w:type="character" w:styleId="FootnoteReference">
    <w:name w:val="footnote reference"/>
    <w:aliases w:val="Appel note de bas de p,Style 12,(NECG) Footnote Reference,Style 124,Style 13,fr,o,Style 3,FR"/>
    <w:rsid w:val="00B26CD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B26CD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B26CD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B26CD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B26CD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B26CDD"/>
    <w:rPr>
      <w:vertAlign w:val="superscript"/>
    </w:rPr>
  </w:style>
  <w:style w:type="paragraph" w:styleId="TOC1">
    <w:name w:val="toc 1"/>
    <w:basedOn w:val="Normal"/>
    <w:next w:val="Normal"/>
    <w:rsid w:val="00B26CDD"/>
    <w:pPr>
      <w:tabs>
        <w:tab w:val="left" w:pos="360"/>
        <w:tab w:val="right" w:leader="dot" w:pos="9360"/>
      </w:tabs>
      <w:suppressAutoHyphens/>
      <w:ind w:left="360" w:right="720" w:hanging="360"/>
    </w:pPr>
    <w:rPr>
      <w:caps/>
      <w:noProof/>
    </w:rPr>
  </w:style>
  <w:style w:type="paragraph" w:styleId="TOC2">
    <w:name w:val="toc 2"/>
    <w:basedOn w:val="Normal"/>
    <w:next w:val="Normal"/>
    <w:rsid w:val="00B26CDD"/>
    <w:pPr>
      <w:tabs>
        <w:tab w:val="left" w:pos="720"/>
        <w:tab w:val="right" w:leader="dot" w:pos="9360"/>
      </w:tabs>
      <w:suppressAutoHyphens/>
      <w:ind w:left="720" w:right="720" w:hanging="360"/>
    </w:pPr>
    <w:rPr>
      <w:noProof/>
    </w:rPr>
  </w:style>
  <w:style w:type="paragraph" w:styleId="TOC3">
    <w:name w:val="toc 3"/>
    <w:basedOn w:val="Normal"/>
    <w:next w:val="Normal"/>
    <w:rsid w:val="00B26CD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26CD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26CD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26CDD"/>
    <w:pPr>
      <w:tabs>
        <w:tab w:val="left" w:pos="2160"/>
        <w:tab w:val="right" w:leader="dot" w:pos="9360"/>
      </w:tabs>
      <w:suppressAutoHyphens/>
      <w:ind w:left="2160" w:hanging="360"/>
    </w:pPr>
    <w:rPr>
      <w:noProof/>
    </w:rPr>
  </w:style>
  <w:style w:type="paragraph" w:styleId="TOC7">
    <w:name w:val="toc 7"/>
    <w:basedOn w:val="Normal"/>
    <w:next w:val="Normal"/>
    <w:autoRedefine/>
    <w:rsid w:val="00B26CDD"/>
    <w:pPr>
      <w:tabs>
        <w:tab w:val="left" w:pos="2520"/>
        <w:tab w:val="right" w:leader="dot" w:pos="9360"/>
      </w:tabs>
      <w:suppressAutoHyphens/>
      <w:ind w:left="2520" w:hanging="360"/>
    </w:pPr>
    <w:rPr>
      <w:noProof/>
    </w:rPr>
  </w:style>
  <w:style w:type="paragraph" w:styleId="TOC8">
    <w:name w:val="toc 8"/>
    <w:basedOn w:val="Normal"/>
    <w:next w:val="Normal"/>
    <w:autoRedefine/>
    <w:rsid w:val="00B26CDD"/>
    <w:pPr>
      <w:tabs>
        <w:tab w:val="left" w:pos="2880"/>
        <w:tab w:val="right" w:leader="dot" w:pos="9360"/>
      </w:tabs>
      <w:suppressAutoHyphens/>
      <w:ind w:left="2880" w:hanging="360"/>
    </w:pPr>
    <w:rPr>
      <w:noProof/>
    </w:rPr>
  </w:style>
  <w:style w:type="paragraph" w:styleId="TOC9">
    <w:name w:val="toc 9"/>
    <w:basedOn w:val="Normal"/>
    <w:next w:val="Normal"/>
    <w:autoRedefine/>
    <w:rsid w:val="00B26CDD"/>
    <w:pPr>
      <w:tabs>
        <w:tab w:val="left" w:pos="3240"/>
        <w:tab w:val="right" w:leader="dot" w:pos="9360"/>
      </w:tabs>
      <w:suppressAutoHyphens/>
      <w:ind w:left="3240" w:hanging="360"/>
    </w:pPr>
    <w:rPr>
      <w:noProof/>
    </w:rPr>
  </w:style>
  <w:style w:type="paragraph" w:styleId="TOAHeading">
    <w:name w:val="toa heading"/>
    <w:basedOn w:val="Normal"/>
    <w:next w:val="Normal"/>
    <w:rsid w:val="00B26CDD"/>
    <w:pPr>
      <w:tabs>
        <w:tab w:val="right" w:pos="9360"/>
      </w:tabs>
      <w:suppressAutoHyphens/>
    </w:pPr>
  </w:style>
  <w:style w:type="character" w:customStyle="1" w:styleId="EquationCaption">
    <w:name w:val="_Equation Caption"/>
    <w:rsid w:val="00B26CDD"/>
  </w:style>
  <w:style w:type="paragraph" w:styleId="BlockText">
    <w:name w:val="Block Text"/>
    <w:basedOn w:val="Normal"/>
    <w:rsid w:val="00B26CDD"/>
    <w:pPr>
      <w:spacing w:after="240"/>
      <w:ind w:left="1440" w:right="1440"/>
    </w:pPr>
  </w:style>
  <w:style w:type="paragraph" w:customStyle="1" w:styleId="Paratitle">
    <w:name w:val="Para title"/>
    <w:basedOn w:val="Normal"/>
    <w:rsid w:val="00B26CDD"/>
    <w:pPr>
      <w:tabs>
        <w:tab w:val="center" w:pos="9270"/>
      </w:tabs>
      <w:spacing w:after="240"/>
    </w:pPr>
    <w:rPr>
      <w:spacing w:val="-2"/>
    </w:rPr>
  </w:style>
  <w:style w:type="paragraph" w:customStyle="1" w:styleId="TableFormat">
    <w:name w:val="TableFormat"/>
    <w:basedOn w:val="Bullet"/>
    <w:rsid w:val="00B26CDD"/>
    <w:pPr>
      <w:tabs>
        <w:tab w:val="clear" w:pos="2160"/>
        <w:tab w:val="left" w:pos="5040"/>
      </w:tabs>
      <w:ind w:left="5040" w:hanging="3600"/>
    </w:pPr>
  </w:style>
  <w:style w:type="paragraph" w:customStyle="1" w:styleId="TOCTitle">
    <w:name w:val="TOC Title"/>
    <w:basedOn w:val="Normal"/>
    <w:rsid w:val="00B26C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26CDD"/>
    <w:pPr>
      <w:jc w:val="center"/>
    </w:pPr>
    <w:rPr>
      <w:rFonts w:ascii="Times New Roman Bold" w:hAnsi="Times New Roman Bold"/>
      <w:b/>
      <w:bCs/>
      <w:caps/>
      <w:szCs w:val="22"/>
    </w:rPr>
  </w:style>
  <w:style w:type="paragraph" w:styleId="ListParagraph">
    <w:name w:val="List Paragraph"/>
    <w:basedOn w:val="Normal"/>
    <w:uiPriority w:val="34"/>
    <w:qFormat/>
    <w:rsid w:val="00726BD7"/>
    <w:pPr>
      <w:ind w:left="720"/>
      <w:contextualSpacing/>
    </w:pPr>
  </w:style>
  <w:style w:type="character" w:customStyle="1" w:styleId="StyleParaNum11pt1CharCharCharCharCharCharCharCharCharCharCharCharCharCharCharCharChar">
    <w:name w:val="Style ParaNum + 11 pt1 Char Char Char Char Char Char Char Char Char Char Char Char Char Char Char Char Char"/>
    <w:rsid w:val="000B1398"/>
    <w:rPr>
      <w:noProof w:val="0"/>
      <w:snapToGrid/>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DD"/>
    <w:pPr>
      <w:widowControl w:val="0"/>
    </w:pPr>
    <w:rPr>
      <w:snapToGrid w:val="0"/>
      <w:kern w:val="28"/>
      <w:sz w:val="22"/>
    </w:rPr>
  </w:style>
  <w:style w:type="paragraph" w:styleId="Heading1">
    <w:name w:val="heading 1"/>
    <w:basedOn w:val="Normal"/>
    <w:next w:val="ParaNum"/>
    <w:link w:val="Heading1Char"/>
    <w:qFormat/>
    <w:rsid w:val="00B26CD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26CDD"/>
    <w:pPr>
      <w:keepNext/>
      <w:numPr>
        <w:ilvl w:val="1"/>
        <w:numId w:val="13"/>
      </w:numPr>
      <w:spacing w:after="120"/>
      <w:outlineLvl w:val="1"/>
    </w:pPr>
    <w:rPr>
      <w:b/>
    </w:rPr>
  </w:style>
  <w:style w:type="paragraph" w:styleId="Heading3">
    <w:name w:val="heading 3"/>
    <w:basedOn w:val="Normal"/>
    <w:next w:val="ParaNum"/>
    <w:link w:val="Heading3Char"/>
    <w:qFormat/>
    <w:rsid w:val="00B26CD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B26CD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B26CD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B26CD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B26CD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B26CD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26CD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26C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6CDD"/>
  </w:style>
  <w:style w:type="paragraph" w:styleId="Header">
    <w:name w:val="header"/>
    <w:basedOn w:val="Normal"/>
    <w:link w:val="HeaderChar"/>
    <w:autoRedefine/>
    <w:rsid w:val="00B26CDD"/>
    <w:pPr>
      <w:tabs>
        <w:tab w:val="center" w:pos="4680"/>
        <w:tab w:val="right" w:pos="9360"/>
      </w:tabs>
    </w:pPr>
    <w:rPr>
      <w:b/>
    </w:rPr>
  </w:style>
  <w:style w:type="paragraph" w:styleId="Footer">
    <w:name w:val="footer"/>
    <w:basedOn w:val="Normal"/>
    <w:link w:val="FooterChar"/>
    <w:rsid w:val="00B26CDD"/>
    <w:pPr>
      <w:tabs>
        <w:tab w:val="center" w:pos="4320"/>
        <w:tab w:val="right" w:pos="8640"/>
      </w:tabs>
    </w:pPr>
  </w:style>
  <w:style w:type="character" w:styleId="PageNumber">
    <w:name w:val="page number"/>
    <w:basedOn w:val="DefaultParagraphFont"/>
    <w:rsid w:val="00B26CD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B26CDD"/>
    <w:pPr>
      <w:spacing w:after="120"/>
    </w:pPr>
  </w:style>
  <w:style w:type="character" w:styleId="FootnoteReference">
    <w:name w:val="footnote reference"/>
    <w:aliases w:val="Appel note de bas de p,Style 12,(NECG) Footnote Reference,Style 124,Style 13,fr,o,Style 3,FR"/>
    <w:rsid w:val="00B26CD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B26CD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B26CD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B26CD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B26CD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B26CDD"/>
    <w:rPr>
      <w:vertAlign w:val="superscript"/>
    </w:rPr>
  </w:style>
  <w:style w:type="paragraph" w:styleId="TOC1">
    <w:name w:val="toc 1"/>
    <w:basedOn w:val="Normal"/>
    <w:next w:val="Normal"/>
    <w:rsid w:val="00B26CDD"/>
    <w:pPr>
      <w:tabs>
        <w:tab w:val="left" w:pos="360"/>
        <w:tab w:val="right" w:leader="dot" w:pos="9360"/>
      </w:tabs>
      <w:suppressAutoHyphens/>
      <w:ind w:left="360" w:right="720" w:hanging="360"/>
    </w:pPr>
    <w:rPr>
      <w:caps/>
      <w:noProof/>
    </w:rPr>
  </w:style>
  <w:style w:type="paragraph" w:styleId="TOC2">
    <w:name w:val="toc 2"/>
    <w:basedOn w:val="Normal"/>
    <w:next w:val="Normal"/>
    <w:rsid w:val="00B26CDD"/>
    <w:pPr>
      <w:tabs>
        <w:tab w:val="left" w:pos="720"/>
        <w:tab w:val="right" w:leader="dot" w:pos="9360"/>
      </w:tabs>
      <w:suppressAutoHyphens/>
      <w:ind w:left="720" w:right="720" w:hanging="360"/>
    </w:pPr>
    <w:rPr>
      <w:noProof/>
    </w:rPr>
  </w:style>
  <w:style w:type="paragraph" w:styleId="TOC3">
    <w:name w:val="toc 3"/>
    <w:basedOn w:val="Normal"/>
    <w:next w:val="Normal"/>
    <w:rsid w:val="00B26CD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26CD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26CD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26CDD"/>
    <w:pPr>
      <w:tabs>
        <w:tab w:val="left" w:pos="2160"/>
        <w:tab w:val="right" w:leader="dot" w:pos="9360"/>
      </w:tabs>
      <w:suppressAutoHyphens/>
      <w:ind w:left="2160" w:hanging="360"/>
    </w:pPr>
    <w:rPr>
      <w:noProof/>
    </w:rPr>
  </w:style>
  <w:style w:type="paragraph" w:styleId="TOC7">
    <w:name w:val="toc 7"/>
    <w:basedOn w:val="Normal"/>
    <w:next w:val="Normal"/>
    <w:autoRedefine/>
    <w:rsid w:val="00B26CDD"/>
    <w:pPr>
      <w:tabs>
        <w:tab w:val="left" w:pos="2520"/>
        <w:tab w:val="right" w:leader="dot" w:pos="9360"/>
      </w:tabs>
      <w:suppressAutoHyphens/>
      <w:ind w:left="2520" w:hanging="360"/>
    </w:pPr>
    <w:rPr>
      <w:noProof/>
    </w:rPr>
  </w:style>
  <w:style w:type="paragraph" w:styleId="TOC8">
    <w:name w:val="toc 8"/>
    <w:basedOn w:val="Normal"/>
    <w:next w:val="Normal"/>
    <w:autoRedefine/>
    <w:rsid w:val="00B26CDD"/>
    <w:pPr>
      <w:tabs>
        <w:tab w:val="left" w:pos="2880"/>
        <w:tab w:val="right" w:leader="dot" w:pos="9360"/>
      </w:tabs>
      <w:suppressAutoHyphens/>
      <w:ind w:left="2880" w:hanging="360"/>
    </w:pPr>
    <w:rPr>
      <w:noProof/>
    </w:rPr>
  </w:style>
  <w:style w:type="paragraph" w:styleId="TOC9">
    <w:name w:val="toc 9"/>
    <w:basedOn w:val="Normal"/>
    <w:next w:val="Normal"/>
    <w:autoRedefine/>
    <w:rsid w:val="00B26CDD"/>
    <w:pPr>
      <w:tabs>
        <w:tab w:val="left" w:pos="3240"/>
        <w:tab w:val="right" w:leader="dot" w:pos="9360"/>
      </w:tabs>
      <w:suppressAutoHyphens/>
      <w:ind w:left="3240" w:hanging="360"/>
    </w:pPr>
    <w:rPr>
      <w:noProof/>
    </w:rPr>
  </w:style>
  <w:style w:type="paragraph" w:styleId="TOAHeading">
    <w:name w:val="toa heading"/>
    <w:basedOn w:val="Normal"/>
    <w:next w:val="Normal"/>
    <w:rsid w:val="00B26CDD"/>
    <w:pPr>
      <w:tabs>
        <w:tab w:val="right" w:pos="9360"/>
      </w:tabs>
      <w:suppressAutoHyphens/>
    </w:pPr>
  </w:style>
  <w:style w:type="character" w:customStyle="1" w:styleId="EquationCaption">
    <w:name w:val="_Equation Caption"/>
    <w:rsid w:val="00B26CDD"/>
  </w:style>
  <w:style w:type="paragraph" w:styleId="BlockText">
    <w:name w:val="Block Text"/>
    <w:basedOn w:val="Normal"/>
    <w:rsid w:val="00B26CDD"/>
    <w:pPr>
      <w:spacing w:after="240"/>
      <w:ind w:left="1440" w:right="1440"/>
    </w:pPr>
  </w:style>
  <w:style w:type="paragraph" w:customStyle="1" w:styleId="Paratitle">
    <w:name w:val="Para title"/>
    <w:basedOn w:val="Normal"/>
    <w:rsid w:val="00B26CDD"/>
    <w:pPr>
      <w:tabs>
        <w:tab w:val="center" w:pos="9270"/>
      </w:tabs>
      <w:spacing w:after="240"/>
    </w:pPr>
    <w:rPr>
      <w:spacing w:val="-2"/>
    </w:rPr>
  </w:style>
  <w:style w:type="paragraph" w:customStyle="1" w:styleId="TableFormat">
    <w:name w:val="TableFormat"/>
    <w:basedOn w:val="Bullet"/>
    <w:rsid w:val="00B26CDD"/>
    <w:pPr>
      <w:tabs>
        <w:tab w:val="clear" w:pos="2160"/>
        <w:tab w:val="left" w:pos="5040"/>
      </w:tabs>
      <w:ind w:left="5040" w:hanging="3600"/>
    </w:pPr>
  </w:style>
  <w:style w:type="paragraph" w:customStyle="1" w:styleId="TOCTitle">
    <w:name w:val="TOC Title"/>
    <w:basedOn w:val="Normal"/>
    <w:rsid w:val="00B26C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26CDD"/>
    <w:pPr>
      <w:jc w:val="center"/>
    </w:pPr>
    <w:rPr>
      <w:rFonts w:ascii="Times New Roman Bold" w:hAnsi="Times New Roman Bold"/>
      <w:b/>
      <w:bCs/>
      <w:caps/>
      <w:szCs w:val="22"/>
    </w:rPr>
  </w:style>
  <w:style w:type="paragraph" w:styleId="ListParagraph">
    <w:name w:val="List Paragraph"/>
    <w:basedOn w:val="Normal"/>
    <w:uiPriority w:val="34"/>
    <w:qFormat/>
    <w:rsid w:val="00726BD7"/>
    <w:pPr>
      <w:ind w:left="720"/>
      <w:contextualSpacing/>
    </w:pPr>
  </w:style>
  <w:style w:type="character" w:customStyle="1" w:styleId="StyleParaNum11pt1CharCharCharCharCharCharCharCharCharCharCharCharCharCharCharCharChar">
    <w:name w:val="Style ParaNum + 11 pt1 Char Char Char Char Char Char Char Char Char Char Char Char Char Char Char Char Char"/>
    <w:rsid w:val="000B1398"/>
    <w:rPr>
      <w:noProof w:val="0"/>
      <w:snapToGrid/>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5360</Words>
  <Characters>31110</Characters>
  <Application>Microsoft Office Word</Application>
  <DocSecurity>0</DocSecurity>
  <Lines>459</Lines>
  <Paragraphs>99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36847</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2016-03-31T21:32:00Z</dcterms:created>
  <dcterms:modified xsi:type="dcterms:W3CDTF">2016-03-31T21:32:00Z</dcterms:modified>
  <cp:category> </cp:category>
  <cp:contentStatus> </cp:contentStatus>
</cp:coreProperties>
</file>