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B66E" w14:textId="43D978CD" w:rsidR="00CB07CA" w:rsidRDefault="00716B6F">
      <w:pPr>
        <w:jc w:val="center"/>
        <w:rPr>
          <w:b/>
        </w:rPr>
      </w:pPr>
      <w:bookmarkStart w:id="0" w:name="_GoBack"/>
      <w:bookmarkEnd w:id="0"/>
      <w:r>
        <w:rPr>
          <w:b/>
        </w:rPr>
        <w:t>B</w:t>
      </w:r>
      <w:r w:rsidR="00CB07CA">
        <w:rPr>
          <w:b/>
        </w:rPr>
        <w:t>efore the</w:t>
      </w:r>
    </w:p>
    <w:p w14:paraId="14316B69" w14:textId="77777777" w:rsidR="00CB07CA" w:rsidRDefault="00CB07CA">
      <w:pPr>
        <w:jc w:val="center"/>
        <w:rPr>
          <w:b/>
        </w:rPr>
      </w:pPr>
      <w:r>
        <w:rPr>
          <w:b/>
        </w:rPr>
        <w:t>Federal Communications Commission</w:t>
      </w:r>
    </w:p>
    <w:p w14:paraId="46F25FA1" w14:textId="77777777" w:rsidR="00CB07CA" w:rsidRDefault="00CB07CA">
      <w:pPr>
        <w:jc w:val="center"/>
        <w:rPr>
          <w:b/>
        </w:rPr>
      </w:pPr>
      <w:r>
        <w:rPr>
          <w:b/>
        </w:rPr>
        <w:t xml:space="preserve">Washington, </w:t>
      </w:r>
      <w:smartTag w:uri="urn:schemas-microsoft-com:office:smarttags" w:element="State">
        <w:r>
          <w:rPr>
            <w:b/>
          </w:rPr>
          <w:t>D.C.</w:t>
        </w:r>
      </w:smartTag>
      <w:r>
        <w:rPr>
          <w:b/>
        </w:rPr>
        <w:t xml:space="preserve"> </w:t>
      </w:r>
      <w:smartTag w:uri="urn:schemas-microsoft-com:office:smarttags" w:element="PostalCode">
        <w:r>
          <w:rPr>
            <w:b/>
          </w:rPr>
          <w:t>20554</w:t>
        </w:r>
      </w:smartTag>
    </w:p>
    <w:p w14:paraId="5B4B7E13" w14:textId="77777777" w:rsidR="00CB07CA" w:rsidRDefault="00CB07CA"/>
    <w:p w14:paraId="7A308FE4" w14:textId="77777777" w:rsidR="00CB07CA" w:rsidRDefault="00CB07CA"/>
    <w:tbl>
      <w:tblPr>
        <w:tblW w:w="9450" w:type="dxa"/>
        <w:tblLayout w:type="fixed"/>
        <w:tblLook w:val="0000" w:firstRow="0" w:lastRow="0" w:firstColumn="0" w:lastColumn="0" w:noHBand="0" w:noVBand="0"/>
      </w:tblPr>
      <w:tblGrid>
        <w:gridCol w:w="4698"/>
        <w:gridCol w:w="612"/>
        <w:gridCol w:w="4140"/>
      </w:tblGrid>
      <w:tr w:rsidR="00CB07CA" w14:paraId="008672AE" w14:textId="77777777" w:rsidTr="007A6390">
        <w:tc>
          <w:tcPr>
            <w:tcW w:w="4698" w:type="dxa"/>
          </w:tcPr>
          <w:p w14:paraId="340D1ABC" w14:textId="77777777" w:rsidR="00CB07CA" w:rsidRDefault="00CB07CA" w:rsidP="00FF56BF">
            <w:pPr>
              <w:ind w:left="-108" w:right="-18"/>
            </w:pPr>
            <w:r>
              <w:t xml:space="preserve">In the </w:t>
            </w:r>
            <w:r w:rsidR="00CA4A0B">
              <w:t>M</w:t>
            </w:r>
            <w:r>
              <w:t>atter of</w:t>
            </w:r>
          </w:p>
          <w:p w14:paraId="75C77057" w14:textId="77777777" w:rsidR="00CB07CA" w:rsidRDefault="00CB07CA" w:rsidP="00FF56BF">
            <w:pPr>
              <w:ind w:left="-108" w:right="-18"/>
            </w:pPr>
          </w:p>
          <w:p w14:paraId="17A5B2E1" w14:textId="022ED8C3" w:rsidR="0065739F" w:rsidRDefault="00A41DC2" w:rsidP="00FF56BF">
            <w:pPr>
              <w:autoSpaceDE w:val="0"/>
              <w:autoSpaceDN w:val="0"/>
              <w:adjustRightInd w:val="0"/>
              <w:ind w:left="-108"/>
              <w:rPr>
                <w:szCs w:val="22"/>
              </w:rPr>
            </w:pPr>
            <w:r>
              <w:rPr>
                <w:szCs w:val="22"/>
              </w:rPr>
              <w:t xml:space="preserve">Notifications </w:t>
            </w:r>
            <w:r w:rsidR="00CA4A0B">
              <w:rPr>
                <w:szCs w:val="22"/>
              </w:rPr>
              <w:t xml:space="preserve">of </w:t>
            </w:r>
            <w:r w:rsidR="00726265">
              <w:rPr>
                <w:szCs w:val="22"/>
              </w:rPr>
              <w:t>AT&amp;T Inc. and</w:t>
            </w:r>
            <w:r w:rsidR="007E5C62">
              <w:rPr>
                <w:szCs w:val="22"/>
              </w:rPr>
              <w:t xml:space="preserve"> </w:t>
            </w:r>
            <w:r w:rsidR="0065739F">
              <w:rPr>
                <w:szCs w:val="22"/>
              </w:rPr>
              <w:t>T-Mobile USA, Inc.</w:t>
            </w:r>
          </w:p>
          <w:p w14:paraId="4ACC1703" w14:textId="77777777" w:rsidR="00CA4A0B" w:rsidRDefault="00CA4A0B" w:rsidP="00FF56BF">
            <w:pPr>
              <w:autoSpaceDE w:val="0"/>
              <w:autoSpaceDN w:val="0"/>
              <w:adjustRightInd w:val="0"/>
              <w:ind w:left="-108"/>
              <w:rPr>
                <w:szCs w:val="22"/>
              </w:rPr>
            </w:pPr>
          </w:p>
          <w:p w14:paraId="129BAD8D" w14:textId="77777777" w:rsidR="00CB07CA" w:rsidRDefault="00B43A20" w:rsidP="00A41DC2">
            <w:pPr>
              <w:ind w:left="-108" w:right="-18"/>
            </w:pPr>
            <w:r>
              <w:rPr>
                <w:spacing w:val="-2"/>
              </w:rPr>
              <w:t>For Short-Term Spectrum Manager Leasing Arrangements</w:t>
            </w:r>
          </w:p>
        </w:tc>
        <w:tc>
          <w:tcPr>
            <w:tcW w:w="612" w:type="dxa"/>
          </w:tcPr>
          <w:p w14:paraId="795DBD6E" w14:textId="77777777" w:rsidR="00CB07CA" w:rsidRDefault="00CB07CA">
            <w:pPr>
              <w:rPr>
                <w:b/>
              </w:rPr>
            </w:pPr>
            <w:r>
              <w:rPr>
                <w:b/>
              </w:rPr>
              <w:t>)</w:t>
            </w:r>
          </w:p>
          <w:p w14:paraId="1C39228B" w14:textId="77777777" w:rsidR="00CB07CA" w:rsidRDefault="00CB07CA">
            <w:pPr>
              <w:rPr>
                <w:b/>
              </w:rPr>
            </w:pPr>
            <w:r>
              <w:rPr>
                <w:b/>
              </w:rPr>
              <w:t>)</w:t>
            </w:r>
          </w:p>
          <w:p w14:paraId="56EEF274" w14:textId="77777777" w:rsidR="00CB07CA" w:rsidRDefault="00CB07CA">
            <w:pPr>
              <w:rPr>
                <w:b/>
              </w:rPr>
            </w:pPr>
            <w:r>
              <w:rPr>
                <w:b/>
              </w:rPr>
              <w:t>)</w:t>
            </w:r>
          </w:p>
          <w:p w14:paraId="27D842AE" w14:textId="77777777" w:rsidR="00CB07CA" w:rsidRDefault="00CB07CA">
            <w:pPr>
              <w:rPr>
                <w:b/>
              </w:rPr>
            </w:pPr>
            <w:r>
              <w:rPr>
                <w:b/>
              </w:rPr>
              <w:t>)</w:t>
            </w:r>
          </w:p>
          <w:p w14:paraId="2E82CE53" w14:textId="77777777" w:rsidR="00CB07CA" w:rsidRDefault="00CB07CA">
            <w:pPr>
              <w:rPr>
                <w:b/>
              </w:rPr>
            </w:pPr>
            <w:r>
              <w:rPr>
                <w:b/>
              </w:rPr>
              <w:t>)</w:t>
            </w:r>
          </w:p>
          <w:p w14:paraId="6B321A12" w14:textId="77777777" w:rsidR="00CB07CA" w:rsidRDefault="00CB07CA">
            <w:pPr>
              <w:rPr>
                <w:b/>
              </w:rPr>
            </w:pPr>
            <w:r>
              <w:rPr>
                <w:b/>
              </w:rPr>
              <w:t>)</w:t>
            </w:r>
          </w:p>
          <w:p w14:paraId="5BCA5CE6" w14:textId="77777777" w:rsidR="00FA122A" w:rsidRDefault="00FA122A">
            <w:pPr>
              <w:rPr>
                <w:b/>
              </w:rPr>
            </w:pPr>
            <w:r>
              <w:rPr>
                <w:b/>
              </w:rPr>
              <w:t>)</w:t>
            </w:r>
          </w:p>
          <w:p w14:paraId="7C1F0F29" w14:textId="77777777" w:rsidR="006454A4" w:rsidRDefault="006454A4">
            <w:pPr>
              <w:rPr>
                <w:b/>
              </w:rPr>
            </w:pPr>
          </w:p>
        </w:tc>
        <w:tc>
          <w:tcPr>
            <w:tcW w:w="4140" w:type="dxa"/>
          </w:tcPr>
          <w:p w14:paraId="4E958404" w14:textId="77777777" w:rsidR="007423A5" w:rsidRDefault="007423A5" w:rsidP="007A6390"/>
          <w:p w14:paraId="5952C702" w14:textId="77777777" w:rsidR="00DD4DD8" w:rsidRDefault="00DD4DD8" w:rsidP="007A6390"/>
          <w:p w14:paraId="58F66B7D" w14:textId="77777777" w:rsidR="00CB07CA" w:rsidRPr="007A6390" w:rsidRDefault="00CA4A0B" w:rsidP="00B43A20">
            <w:r w:rsidRPr="007A6390">
              <w:t>ULS File No</w:t>
            </w:r>
            <w:r w:rsidR="003A37C6">
              <w:t>s</w:t>
            </w:r>
            <w:r w:rsidRPr="007A6390">
              <w:t xml:space="preserve">. </w:t>
            </w:r>
            <w:r w:rsidR="00B43A20">
              <w:t>0006972875, 0006973050, 0006973114, 0006973176, 0006973217, 0006973228, 0006973267, and 0006973430</w:t>
            </w:r>
          </w:p>
        </w:tc>
      </w:tr>
    </w:tbl>
    <w:p w14:paraId="40EA2FA3" w14:textId="77777777" w:rsidR="00FA122A" w:rsidRDefault="00FA122A" w:rsidP="00FA122A">
      <w:pPr>
        <w:tabs>
          <w:tab w:val="left" w:pos="-720"/>
        </w:tabs>
        <w:suppressAutoHyphens/>
        <w:spacing w:line="227" w:lineRule="auto"/>
        <w:rPr>
          <w:spacing w:val="-2"/>
        </w:rPr>
      </w:pPr>
    </w:p>
    <w:p w14:paraId="7332636B" w14:textId="77777777" w:rsidR="00FA122A" w:rsidRDefault="00CA4A0B" w:rsidP="00FA122A">
      <w:pPr>
        <w:jc w:val="center"/>
        <w:outlineLvl w:val="0"/>
        <w:rPr>
          <w:b/>
        </w:rPr>
      </w:pPr>
      <w:r w:rsidRPr="00296281">
        <w:rPr>
          <w:b/>
        </w:rPr>
        <w:t>ORDER</w:t>
      </w:r>
    </w:p>
    <w:p w14:paraId="6F1CF80E" w14:textId="77777777" w:rsidR="00FA122A" w:rsidRDefault="00FA122A" w:rsidP="00FA122A">
      <w:pPr>
        <w:tabs>
          <w:tab w:val="left" w:pos="-720"/>
        </w:tabs>
        <w:suppressAutoHyphens/>
        <w:spacing w:line="227" w:lineRule="auto"/>
        <w:rPr>
          <w:spacing w:val="-2"/>
        </w:rPr>
      </w:pPr>
    </w:p>
    <w:p w14:paraId="45651869" w14:textId="5615DE09" w:rsidR="00FA122A" w:rsidRDefault="00FA122A" w:rsidP="00FF56BF">
      <w:pPr>
        <w:tabs>
          <w:tab w:val="left" w:pos="720"/>
          <w:tab w:val="right" w:pos="9360"/>
        </w:tabs>
        <w:suppressAutoHyphens/>
        <w:spacing w:line="227" w:lineRule="auto"/>
        <w:rPr>
          <w:spacing w:val="-2"/>
        </w:rPr>
      </w:pPr>
      <w:r>
        <w:rPr>
          <w:b/>
          <w:spacing w:val="-2"/>
        </w:rPr>
        <w:t xml:space="preserve">Adopted:  </w:t>
      </w:r>
      <w:r w:rsidR="00812DC3" w:rsidRPr="00812DC3">
        <w:rPr>
          <w:b/>
          <w:spacing w:val="-2"/>
        </w:rPr>
        <w:t>April</w:t>
      </w:r>
      <w:r w:rsidR="00611335" w:rsidRPr="00812DC3">
        <w:rPr>
          <w:b/>
          <w:spacing w:val="-2"/>
        </w:rPr>
        <w:t xml:space="preserve"> </w:t>
      </w:r>
      <w:r w:rsidR="006362BF">
        <w:rPr>
          <w:b/>
          <w:spacing w:val="-2"/>
        </w:rPr>
        <w:t>4</w:t>
      </w:r>
      <w:r>
        <w:rPr>
          <w:b/>
          <w:spacing w:val="-2"/>
        </w:rPr>
        <w:t>, 201</w:t>
      </w:r>
      <w:r w:rsidR="00C6267C">
        <w:rPr>
          <w:b/>
          <w:spacing w:val="-2"/>
        </w:rPr>
        <w:t>6</w:t>
      </w:r>
      <w:r>
        <w:rPr>
          <w:b/>
          <w:spacing w:val="-2"/>
        </w:rPr>
        <w:tab/>
        <w:t xml:space="preserve">Released:  </w:t>
      </w:r>
      <w:r w:rsidR="00812DC3" w:rsidRPr="00812DC3">
        <w:rPr>
          <w:b/>
          <w:spacing w:val="-2"/>
        </w:rPr>
        <w:t>April</w:t>
      </w:r>
      <w:r w:rsidR="00611335" w:rsidRPr="00812DC3">
        <w:rPr>
          <w:b/>
          <w:spacing w:val="-2"/>
        </w:rPr>
        <w:t xml:space="preserve"> </w:t>
      </w:r>
      <w:r w:rsidR="006362BF">
        <w:rPr>
          <w:b/>
          <w:spacing w:val="-2"/>
        </w:rPr>
        <w:t>4</w:t>
      </w:r>
      <w:r>
        <w:rPr>
          <w:b/>
          <w:spacing w:val="-2"/>
        </w:rPr>
        <w:t>, 201</w:t>
      </w:r>
      <w:r w:rsidR="00812DC3">
        <w:rPr>
          <w:b/>
          <w:spacing w:val="-2"/>
        </w:rPr>
        <w:t>6</w:t>
      </w:r>
    </w:p>
    <w:p w14:paraId="52666091" w14:textId="77777777" w:rsidR="00FA122A" w:rsidRDefault="00FA122A" w:rsidP="00FA122A"/>
    <w:p w14:paraId="3C936E25" w14:textId="7C24CE31" w:rsidR="00FA122A" w:rsidRDefault="00D106B7" w:rsidP="00FA122A">
      <w:pPr>
        <w:rPr>
          <w:spacing w:val="-2"/>
        </w:rPr>
      </w:pPr>
      <w:r>
        <w:t xml:space="preserve">By the </w:t>
      </w:r>
      <w:r w:rsidR="003D4016">
        <w:t xml:space="preserve">Deputy </w:t>
      </w:r>
      <w:r>
        <w:t xml:space="preserve">Chief, </w:t>
      </w:r>
      <w:r w:rsidR="00983436">
        <w:t xml:space="preserve">Mobility Division and the Deputy </w:t>
      </w:r>
      <w:r w:rsidR="003D4016">
        <w:t xml:space="preserve">Chief, Broadband Division, </w:t>
      </w:r>
      <w:r>
        <w:t>Wireless Telecommunications Bureau</w:t>
      </w:r>
      <w:r w:rsidR="00FA122A" w:rsidRPr="00611335">
        <w:rPr>
          <w:spacing w:val="-2"/>
        </w:rPr>
        <w:t>:</w:t>
      </w:r>
    </w:p>
    <w:p w14:paraId="7EF5689D" w14:textId="77777777" w:rsidR="00FA122A" w:rsidRDefault="00FA122A" w:rsidP="00FA122A">
      <w:pPr>
        <w:rPr>
          <w:spacing w:val="-2"/>
        </w:rPr>
      </w:pPr>
    </w:p>
    <w:p w14:paraId="27BB53CF" w14:textId="77777777" w:rsidR="006C615E" w:rsidRDefault="00CA4A0B" w:rsidP="00A21A69">
      <w:pPr>
        <w:pStyle w:val="ParaNum"/>
        <w:spacing w:after="120"/>
        <w:jc w:val="left"/>
      </w:pPr>
      <w:r>
        <w:t>In this Order, we dismiss a</w:t>
      </w:r>
      <w:r w:rsidR="000049FF">
        <w:t>n objection</w:t>
      </w:r>
      <w:r>
        <w:t xml:space="preserve"> </w:t>
      </w:r>
      <w:r w:rsidR="00A41DC2">
        <w:t xml:space="preserve">filed </w:t>
      </w:r>
      <w:r>
        <w:t xml:space="preserve">by </w:t>
      </w:r>
      <w:r w:rsidR="000049FF" w:rsidRPr="008F53E2">
        <w:rPr>
          <w:szCs w:val="22"/>
        </w:rPr>
        <w:t xml:space="preserve">Sirius </w:t>
      </w:r>
      <w:r>
        <w:t xml:space="preserve">against </w:t>
      </w:r>
      <w:r w:rsidR="00A41DC2">
        <w:t>certain spectrum manager leasing notifications</w:t>
      </w:r>
      <w:r w:rsidR="009B0D16" w:rsidRPr="00A21A69">
        <w:rPr>
          <w:rStyle w:val="FootnoteReference"/>
          <w:sz w:val="20"/>
        </w:rPr>
        <w:footnoteReference w:id="2"/>
      </w:r>
      <w:r>
        <w:t xml:space="preserve"> </w:t>
      </w:r>
      <w:r w:rsidR="00A41DC2">
        <w:t xml:space="preserve">submitted by </w:t>
      </w:r>
      <w:r w:rsidR="00726265">
        <w:t xml:space="preserve">AT&amp;T and </w:t>
      </w:r>
      <w:r w:rsidR="00935E86">
        <w:rPr>
          <w:szCs w:val="22"/>
        </w:rPr>
        <w:t xml:space="preserve">T-Mobile </w:t>
      </w:r>
      <w:r w:rsidR="00A41DC2">
        <w:t xml:space="preserve">to permit </w:t>
      </w:r>
      <w:r w:rsidR="00726265">
        <w:t>T-Mobile to lease</w:t>
      </w:r>
      <w:r w:rsidR="00F75E91">
        <w:t xml:space="preserve"> </w:t>
      </w:r>
      <w:r w:rsidR="00A41DC2">
        <w:t xml:space="preserve">spectrum under </w:t>
      </w:r>
      <w:r w:rsidR="00F75E91">
        <w:t xml:space="preserve">a number of </w:t>
      </w:r>
      <w:r w:rsidR="002662D7">
        <w:rPr>
          <w:szCs w:val="22"/>
        </w:rPr>
        <w:t xml:space="preserve">AWS </w:t>
      </w:r>
      <w:r w:rsidR="00F75E91" w:rsidRPr="008F53E2">
        <w:rPr>
          <w:szCs w:val="22"/>
        </w:rPr>
        <w:t>and PCS licenses</w:t>
      </w:r>
      <w:r w:rsidR="00A41DC2">
        <w:rPr>
          <w:szCs w:val="22"/>
        </w:rPr>
        <w:t xml:space="preserve">.  We conclude </w:t>
      </w:r>
      <w:r w:rsidR="00D5670F">
        <w:rPr>
          <w:szCs w:val="22"/>
        </w:rPr>
        <w:t xml:space="preserve">that </w:t>
      </w:r>
      <w:r w:rsidR="007F3616">
        <w:rPr>
          <w:szCs w:val="22"/>
        </w:rPr>
        <w:t xml:space="preserve">Sirius’s </w:t>
      </w:r>
      <w:r w:rsidR="00D5670F">
        <w:rPr>
          <w:szCs w:val="22"/>
        </w:rPr>
        <w:t xml:space="preserve">interference allegations </w:t>
      </w:r>
      <w:r w:rsidR="007F3616">
        <w:rPr>
          <w:szCs w:val="22"/>
        </w:rPr>
        <w:t xml:space="preserve">are not specific to the proposed </w:t>
      </w:r>
      <w:r w:rsidR="00A41DC2">
        <w:rPr>
          <w:szCs w:val="22"/>
        </w:rPr>
        <w:t xml:space="preserve">spectrum leasing arrangements </w:t>
      </w:r>
      <w:r w:rsidR="007F3616">
        <w:rPr>
          <w:szCs w:val="22"/>
        </w:rPr>
        <w:t xml:space="preserve">between </w:t>
      </w:r>
      <w:r w:rsidR="00726265">
        <w:rPr>
          <w:szCs w:val="22"/>
        </w:rPr>
        <w:t>AT&amp;T and T-Mobile</w:t>
      </w:r>
      <w:r w:rsidR="007F3616">
        <w:rPr>
          <w:szCs w:val="22"/>
        </w:rPr>
        <w:t xml:space="preserve">, and </w:t>
      </w:r>
      <w:r w:rsidR="00D5670F">
        <w:rPr>
          <w:szCs w:val="22"/>
        </w:rPr>
        <w:t xml:space="preserve">are better </w:t>
      </w:r>
      <w:r w:rsidR="00F81F45">
        <w:rPr>
          <w:szCs w:val="22"/>
        </w:rPr>
        <w:t>treated</w:t>
      </w:r>
      <w:r w:rsidR="00D5670F">
        <w:rPr>
          <w:szCs w:val="22"/>
        </w:rPr>
        <w:t xml:space="preserve"> </w:t>
      </w:r>
      <w:r w:rsidR="006713D1">
        <w:rPr>
          <w:szCs w:val="22"/>
        </w:rPr>
        <w:t>in a</w:t>
      </w:r>
      <w:r w:rsidR="007F3616">
        <w:rPr>
          <w:szCs w:val="22"/>
        </w:rPr>
        <w:t xml:space="preserve"> proceeding </w:t>
      </w:r>
      <w:r w:rsidR="00DF21AF">
        <w:rPr>
          <w:szCs w:val="22"/>
        </w:rPr>
        <w:t>designed to address</w:t>
      </w:r>
      <w:r w:rsidR="007F3616">
        <w:rPr>
          <w:szCs w:val="22"/>
        </w:rPr>
        <w:t xml:space="preserve"> the interference claims</w:t>
      </w:r>
      <w:r>
        <w:t>.</w:t>
      </w:r>
    </w:p>
    <w:p w14:paraId="588B00F1" w14:textId="7D5ACC87" w:rsidR="003D0F35" w:rsidRDefault="00D5670F" w:rsidP="00A21A69">
      <w:pPr>
        <w:pStyle w:val="ParaNum"/>
        <w:widowControl/>
        <w:tabs>
          <w:tab w:val="left" w:pos="4320"/>
        </w:tabs>
        <w:spacing w:after="120"/>
        <w:jc w:val="left"/>
      </w:pPr>
      <w:r w:rsidRPr="00D5670F">
        <w:rPr>
          <w:i/>
        </w:rPr>
        <w:t>Background</w:t>
      </w:r>
      <w:r>
        <w:t xml:space="preserve">.  </w:t>
      </w:r>
      <w:r w:rsidR="00CA4A0B">
        <w:t xml:space="preserve">On </w:t>
      </w:r>
      <w:r w:rsidR="00A30505">
        <w:t>October 6</w:t>
      </w:r>
      <w:r w:rsidR="002622B5">
        <w:t>, 2015</w:t>
      </w:r>
      <w:r w:rsidR="00CA4A0B">
        <w:t xml:space="preserve">, </w:t>
      </w:r>
      <w:r w:rsidR="00A30505">
        <w:t>certain licensee subsidiaries of AT&amp;T Inc. (AT&amp;T) and certain licensee subsidiaries of T-Mobile USA, Inc. (T-Mobile</w:t>
      </w:r>
      <w:r w:rsidR="005E6A2F">
        <w:t>,</w:t>
      </w:r>
      <w:r w:rsidR="00A30505">
        <w:t xml:space="preserve"> and together with AT&amp;T, the Applicants) </w:t>
      </w:r>
      <w:r w:rsidR="00C04E06">
        <w:t xml:space="preserve">filed the </w:t>
      </w:r>
      <w:r w:rsidR="005E6A2F">
        <w:t xml:space="preserve">Notifications </w:t>
      </w:r>
      <w:r w:rsidR="00CA4A0B">
        <w:t xml:space="preserve">pursuant to </w:t>
      </w:r>
      <w:r w:rsidR="005E6A2F">
        <w:t>S</w:t>
      </w:r>
      <w:r w:rsidR="00CA4A0B">
        <w:t>ection 310(d) of the Communications Act of 1934, as amended,</w:t>
      </w:r>
      <w:r w:rsidR="00CA4A0B" w:rsidRPr="00A21A69">
        <w:rPr>
          <w:rStyle w:val="FootnoteReference"/>
          <w:sz w:val="20"/>
        </w:rPr>
        <w:footnoteReference w:id="3"/>
      </w:r>
      <w:r w:rsidR="00CA4A0B">
        <w:t xml:space="preserve"> </w:t>
      </w:r>
      <w:r w:rsidR="005E6A2F">
        <w:t>to permit</w:t>
      </w:r>
      <w:r w:rsidR="00A30505">
        <w:t xml:space="preserve"> T-Mobile </w:t>
      </w:r>
      <w:r w:rsidR="00CA4A0B">
        <w:t xml:space="preserve">to </w:t>
      </w:r>
      <w:r w:rsidR="00A30505">
        <w:t xml:space="preserve">lease </w:t>
      </w:r>
      <w:r w:rsidR="005E6A2F">
        <w:t xml:space="preserve">spectrum under </w:t>
      </w:r>
      <w:r w:rsidR="002622B5">
        <w:t xml:space="preserve">a number of full and partial </w:t>
      </w:r>
      <w:r w:rsidR="00EF51BB">
        <w:rPr>
          <w:szCs w:val="22"/>
        </w:rPr>
        <w:t>Advanced Wireless Service (AWS</w:t>
      </w:r>
      <w:r w:rsidR="002662D7" w:rsidRPr="008F53E2">
        <w:rPr>
          <w:szCs w:val="22"/>
        </w:rPr>
        <w:t>)</w:t>
      </w:r>
      <w:r w:rsidR="002662D7">
        <w:rPr>
          <w:szCs w:val="22"/>
        </w:rPr>
        <w:t xml:space="preserve"> </w:t>
      </w:r>
      <w:r w:rsidR="002622B5">
        <w:t xml:space="preserve">and </w:t>
      </w:r>
      <w:r w:rsidR="002662D7" w:rsidRPr="008F53E2">
        <w:rPr>
          <w:szCs w:val="22"/>
        </w:rPr>
        <w:t>Person</w:t>
      </w:r>
      <w:r w:rsidR="00EF51BB">
        <w:rPr>
          <w:szCs w:val="22"/>
        </w:rPr>
        <w:t>al Communications Service (PCS</w:t>
      </w:r>
      <w:r w:rsidR="002662D7" w:rsidRPr="008F53E2">
        <w:rPr>
          <w:szCs w:val="22"/>
        </w:rPr>
        <w:t>)</w:t>
      </w:r>
      <w:r w:rsidR="002662D7">
        <w:rPr>
          <w:szCs w:val="22"/>
        </w:rPr>
        <w:t xml:space="preserve"> </w:t>
      </w:r>
      <w:r w:rsidR="002622B5">
        <w:t>spectrum licenses</w:t>
      </w:r>
      <w:r w:rsidR="00A30505">
        <w:t xml:space="preserve"> held by AT&amp;T</w:t>
      </w:r>
      <w:r w:rsidR="00E25232">
        <w:t xml:space="preserve"> pursuant to short-term spectrum manager leasing arrangement</w:t>
      </w:r>
      <w:r w:rsidR="00681682">
        <w:t>s</w:t>
      </w:r>
      <w:r w:rsidR="00CA4A0B">
        <w:t>.</w:t>
      </w:r>
      <w:r w:rsidR="00C04E06">
        <w:t xml:space="preserve">  </w:t>
      </w:r>
      <w:r w:rsidR="00EF51BB">
        <w:t xml:space="preserve">The Applicants filed the </w:t>
      </w:r>
      <w:r w:rsidR="003D4016">
        <w:t>Notifications</w:t>
      </w:r>
      <w:r w:rsidR="00EF51BB">
        <w:t xml:space="preserve"> to</w:t>
      </w:r>
      <w:r w:rsidR="007D61CE">
        <w:t xml:space="preserve"> allow T</w:t>
      </w:r>
      <w:r w:rsidR="007D61CE">
        <w:noBreakHyphen/>
      </w:r>
      <w:r w:rsidR="00EF51BB">
        <w:t>Mobile to use the spectrum pending consummation of a proposed exchange of licenses between the Applicants.</w:t>
      </w:r>
      <w:r w:rsidR="00F0362B" w:rsidRPr="00A21A69">
        <w:rPr>
          <w:rStyle w:val="FootnoteReference"/>
          <w:sz w:val="20"/>
        </w:rPr>
        <w:footnoteReference w:id="4"/>
      </w:r>
      <w:r w:rsidR="00EF51BB">
        <w:t xml:space="preserve">  </w:t>
      </w:r>
      <w:r w:rsidR="002622B5" w:rsidRPr="008F53E2">
        <w:rPr>
          <w:szCs w:val="22"/>
        </w:rPr>
        <w:t xml:space="preserve">On </w:t>
      </w:r>
      <w:r w:rsidR="003E2653">
        <w:rPr>
          <w:szCs w:val="22"/>
        </w:rPr>
        <w:t>October </w:t>
      </w:r>
      <w:r w:rsidR="00011859">
        <w:rPr>
          <w:szCs w:val="22"/>
        </w:rPr>
        <w:t>9</w:t>
      </w:r>
      <w:r w:rsidR="002622B5" w:rsidRPr="008F53E2">
        <w:rPr>
          <w:szCs w:val="22"/>
        </w:rPr>
        <w:t xml:space="preserve">, 2015, Sirius XM Radio Inc. </w:t>
      </w:r>
      <w:r w:rsidR="003E2653">
        <w:rPr>
          <w:szCs w:val="22"/>
        </w:rPr>
        <w:t>(</w:t>
      </w:r>
      <w:r w:rsidR="002662D7">
        <w:rPr>
          <w:szCs w:val="22"/>
        </w:rPr>
        <w:t>Siri</w:t>
      </w:r>
      <w:r w:rsidR="003E2653">
        <w:rPr>
          <w:szCs w:val="22"/>
        </w:rPr>
        <w:t>us</w:t>
      </w:r>
      <w:r w:rsidR="002662D7">
        <w:rPr>
          <w:szCs w:val="22"/>
        </w:rPr>
        <w:t xml:space="preserve">) </w:t>
      </w:r>
      <w:r w:rsidR="002622B5" w:rsidRPr="008F53E2">
        <w:rPr>
          <w:szCs w:val="22"/>
        </w:rPr>
        <w:t xml:space="preserve">filed an objection to the </w:t>
      </w:r>
      <w:r w:rsidR="003D4016">
        <w:rPr>
          <w:szCs w:val="22"/>
        </w:rPr>
        <w:t>Notifications</w:t>
      </w:r>
      <w:r w:rsidR="002622B5" w:rsidRPr="008F53E2">
        <w:rPr>
          <w:szCs w:val="22"/>
        </w:rPr>
        <w:t xml:space="preserve">, </w:t>
      </w:r>
      <w:r w:rsidR="002622B5" w:rsidRPr="008F53E2">
        <w:rPr>
          <w:szCs w:val="22"/>
        </w:rPr>
        <w:lastRenderedPageBreak/>
        <w:t xml:space="preserve">citing </w:t>
      </w:r>
      <w:r w:rsidR="00C05EA9">
        <w:rPr>
          <w:szCs w:val="22"/>
        </w:rPr>
        <w:t xml:space="preserve">concerns about </w:t>
      </w:r>
      <w:r w:rsidR="002622B5" w:rsidRPr="008F53E2">
        <w:rPr>
          <w:szCs w:val="22"/>
        </w:rPr>
        <w:t>interference</w:t>
      </w:r>
      <w:r w:rsidR="00C05EA9">
        <w:rPr>
          <w:szCs w:val="22"/>
        </w:rPr>
        <w:t xml:space="preserve"> </w:t>
      </w:r>
      <w:r w:rsidR="006B2057">
        <w:rPr>
          <w:szCs w:val="22"/>
        </w:rPr>
        <w:t>from</w:t>
      </w:r>
      <w:r w:rsidR="00C05EA9">
        <w:rPr>
          <w:szCs w:val="22"/>
        </w:rPr>
        <w:t xml:space="preserve"> T-Mobile’s AWS operations</w:t>
      </w:r>
      <w:r w:rsidR="00935E86">
        <w:rPr>
          <w:szCs w:val="22"/>
        </w:rPr>
        <w:t xml:space="preserve"> to its subscribers</w:t>
      </w:r>
      <w:r w:rsidR="002622B5" w:rsidRPr="008F53E2">
        <w:rPr>
          <w:szCs w:val="22"/>
        </w:rPr>
        <w:t>.</w:t>
      </w:r>
      <w:r w:rsidR="002622B5" w:rsidRPr="00A21A69">
        <w:rPr>
          <w:rStyle w:val="FootnoteReference"/>
          <w:sz w:val="20"/>
        </w:rPr>
        <w:footnoteReference w:id="5"/>
      </w:r>
      <w:r w:rsidR="002622B5">
        <w:rPr>
          <w:szCs w:val="22"/>
        </w:rPr>
        <w:t xml:space="preserve">  </w:t>
      </w:r>
      <w:r w:rsidR="003D4016">
        <w:t>T</w:t>
      </w:r>
      <w:r w:rsidR="003D4016">
        <w:noBreakHyphen/>
      </w:r>
      <w:r w:rsidR="00496B59">
        <w:t xml:space="preserve">Mobile </w:t>
      </w:r>
      <w:r w:rsidR="007B27DC">
        <w:t xml:space="preserve">responded to the </w:t>
      </w:r>
      <w:r w:rsidR="003D4016">
        <w:t xml:space="preserve">Sirius </w:t>
      </w:r>
      <w:r w:rsidR="007B27DC">
        <w:t>Objection, arguing among other things that the alleged interference</w:t>
      </w:r>
      <w:r w:rsidR="00F04277">
        <w:t xml:space="preserve"> has no bearing on the instant transaction and that Sirius previously has raised the same allegations in objecting to a </w:t>
      </w:r>
      <w:r w:rsidR="003E2653">
        <w:t>different</w:t>
      </w:r>
      <w:r w:rsidR="00F04277">
        <w:t xml:space="preserve"> transaction</w:t>
      </w:r>
      <w:r w:rsidR="007B27DC">
        <w:t>.</w:t>
      </w:r>
      <w:r w:rsidR="00BD2835" w:rsidRPr="00A21A69">
        <w:rPr>
          <w:rStyle w:val="FootnoteReference"/>
          <w:sz w:val="20"/>
        </w:rPr>
        <w:footnoteReference w:id="6"/>
      </w:r>
    </w:p>
    <w:p w14:paraId="67B00819" w14:textId="65A234F9" w:rsidR="00BC6B04" w:rsidRDefault="003A37C6" w:rsidP="00A21A69">
      <w:pPr>
        <w:pStyle w:val="ParaNum"/>
        <w:widowControl/>
        <w:tabs>
          <w:tab w:val="left" w:pos="4320"/>
        </w:tabs>
        <w:spacing w:after="120"/>
        <w:jc w:val="left"/>
      </w:pPr>
      <w:r>
        <w:t xml:space="preserve">Sirius asserts in its Objection that some </w:t>
      </w:r>
      <w:r w:rsidR="000066E8">
        <w:t xml:space="preserve">of its </w:t>
      </w:r>
      <w:r>
        <w:t xml:space="preserve">subscribers in </w:t>
      </w:r>
      <w:r w:rsidR="00F04277">
        <w:t>certain</w:t>
      </w:r>
      <w:r>
        <w:t xml:space="preserve"> markets recently have begun experiencing harmful interference to their reception of satellite radio signals</w:t>
      </w:r>
      <w:r w:rsidR="000066E8">
        <w:t xml:space="preserve"> </w:t>
      </w:r>
      <w:r w:rsidR="00AE19C7">
        <w:t>and</w:t>
      </w:r>
      <w:r w:rsidR="000066E8">
        <w:t xml:space="preserve"> that AWS base stations operated by T-Mobile</w:t>
      </w:r>
      <w:r w:rsidR="0032150B">
        <w:t xml:space="preserve"> are </w:t>
      </w:r>
      <w:r w:rsidR="00AE19C7">
        <w:t>the cause</w:t>
      </w:r>
      <w:r w:rsidR="0032150B">
        <w:t>.</w:t>
      </w:r>
      <w:r w:rsidR="0032150B" w:rsidRPr="00A21A69">
        <w:rPr>
          <w:rStyle w:val="FootnoteReference"/>
          <w:sz w:val="20"/>
        </w:rPr>
        <w:footnoteReference w:id="7"/>
      </w:r>
      <w:r w:rsidR="0032150B">
        <w:t xml:space="preserve">  </w:t>
      </w:r>
      <w:r w:rsidR="00F46CAB">
        <w:t xml:space="preserve">Sirius incorporates </w:t>
      </w:r>
      <w:r w:rsidR="0042325B">
        <w:t xml:space="preserve">into its Objection an objection </w:t>
      </w:r>
      <w:r w:rsidR="00F46CAB">
        <w:t xml:space="preserve">it previously </w:t>
      </w:r>
      <w:r w:rsidR="00054844">
        <w:t xml:space="preserve">filed </w:t>
      </w:r>
      <w:r w:rsidR="00C62009">
        <w:t>on largely similar grounds against</w:t>
      </w:r>
      <w:r w:rsidR="00F46CAB">
        <w:t xml:space="preserve"> a separate transaction</w:t>
      </w:r>
      <w:r w:rsidR="0042325B">
        <w:t xml:space="preserve"> involving T</w:t>
      </w:r>
      <w:r w:rsidR="00C5115E">
        <w:t>-</w:t>
      </w:r>
      <w:r w:rsidR="0042325B">
        <w:t>Mobile</w:t>
      </w:r>
      <w:r w:rsidR="00F46CAB">
        <w:t>.</w:t>
      </w:r>
      <w:r w:rsidR="006D430F" w:rsidRPr="00A21A69">
        <w:rPr>
          <w:rStyle w:val="FootnoteReference"/>
          <w:sz w:val="20"/>
        </w:rPr>
        <w:footnoteReference w:id="8"/>
      </w:r>
      <w:r w:rsidR="00F46CAB">
        <w:t xml:space="preserve">  </w:t>
      </w:r>
      <w:r w:rsidR="00087369">
        <w:t xml:space="preserve">Sirius concludes that the </w:t>
      </w:r>
      <w:r w:rsidR="003D4016">
        <w:t>subject spectrum leasing arrangements</w:t>
      </w:r>
      <w:r w:rsidR="00087369">
        <w:t xml:space="preserve"> </w:t>
      </w:r>
      <w:r w:rsidR="00244214">
        <w:t>would facilitate T-Mobile’s AWS deployment</w:t>
      </w:r>
      <w:r w:rsidR="006D430F">
        <w:t xml:space="preserve">, </w:t>
      </w:r>
      <w:r w:rsidR="00054844">
        <w:t xml:space="preserve">and urges </w:t>
      </w:r>
      <w:r w:rsidR="006D430F">
        <w:t xml:space="preserve">the Commission </w:t>
      </w:r>
      <w:r w:rsidR="00C5115E">
        <w:t xml:space="preserve">to </w:t>
      </w:r>
      <w:r w:rsidR="006D430F">
        <w:t xml:space="preserve">investigate </w:t>
      </w:r>
      <w:r w:rsidR="00244214">
        <w:t xml:space="preserve">the </w:t>
      </w:r>
      <w:r w:rsidR="00F46CAB">
        <w:t xml:space="preserve">harmful interference and </w:t>
      </w:r>
      <w:r w:rsidR="006D430F">
        <w:t xml:space="preserve">terminate </w:t>
      </w:r>
      <w:r w:rsidR="00F46CAB">
        <w:t xml:space="preserve">the </w:t>
      </w:r>
      <w:r w:rsidR="007B4757">
        <w:t>leasing arrangements</w:t>
      </w:r>
      <w:r w:rsidR="00244214">
        <w:t>.</w:t>
      </w:r>
      <w:r w:rsidR="00244214" w:rsidRPr="00A21A69">
        <w:rPr>
          <w:rStyle w:val="FootnoteReference"/>
          <w:sz w:val="20"/>
        </w:rPr>
        <w:footnoteReference w:id="9"/>
      </w:r>
      <w:r w:rsidR="003E2653">
        <w:t xml:space="preserve">  </w:t>
      </w:r>
      <w:r w:rsidR="008A496B">
        <w:t xml:space="preserve">T-Mobile contends that the </w:t>
      </w:r>
      <w:r w:rsidR="003D4016">
        <w:t xml:space="preserve">Sirius </w:t>
      </w:r>
      <w:r w:rsidR="008A496B">
        <w:t xml:space="preserve">Objection is almost entirely </w:t>
      </w:r>
      <w:r w:rsidR="00E81B90">
        <w:t>duplicative of previous filings</w:t>
      </w:r>
      <w:r w:rsidR="008A496B">
        <w:t xml:space="preserve"> to which it already has substantively responded at length.</w:t>
      </w:r>
      <w:r w:rsidR="008A496B" w:rsidRPr="00A21A69">
        <w:rPr>
          <w:rStyle w:val="FootnoteReference"/>
          <w:sz w:val="20"/>
        </w:rPr>
        <w:footnoteReference w:id="10"/>
      </w:r>
    </w:p>
    <w:p w14:paraId="67338C29" w14:textId="3B05B64E" w:rsidR="00E6109B" w:rsidRPr="00E6109B" w:rsidRDefault="00CE6828" w:rsidP="00A21A69">
      <w:pPr>
        <w:pStyle w:val="ParaNum"/>
        <w:widowControl/>
        <w:tabs>
          <w:tab w:val="clear" w:pos="1440"/>
        </w:tabs>
        <w:spacing w:after="120"/>
        <w:jc w:val="left"/>
        <w:rPr>
          <w:szCs w:val="22"/>
        </w:rPr>
      </w:pPr>
      <w:r w:rsidRPr="00CE6828">
        <w:rPr>
          <w:i/>
        </w:rPr>
        <w:t>Discussion</w:t>
      </w:r>
      <w:r>
        <w:t xml:space="preserve">.  </w:t>
      </w:r>
      <w:r w:rsidR="0018355D">
        <w:t>W</w:t>
      </w:r>
      <w:r w:rsidR="00E6109B">
        <w:t xml:space="preserve">e dismiss the </w:t>
      </w:r>
      <w:r w:rsidR="003D4016">
        <w:t xml:space="preserve">Sirius </w:t>
      </w:r>
      <w:r w:rsidR="00E6109B">
        <w:t xml:space="preserve">Objection consistent with </w:t>
      </w:r>
      <w:r w:rsidR="003D4016">
        <w:t>the Wireless Telecommunications Bureau’s (Bureau)</w:t>
      </w:r>
      <w:r w:rsidR="00E6109B">
        <w:t xml:space="preserve"> decision in the </w:t>
      </w:r>
      <w:r w:rsidR="00E6109B">
        <w:rPr>
          <w:i/>
        </w:rPr>
        <w:t>Verizon Wireless/T-Mobile Order</w:t>
      </w:r>
      <w:r w:rsidR="00E6109B">
        <w:t>.  In</w:t>
      </w:r>
      <w:r w:rsidR="006440FD">
        <w:t xml:space="preserve"> that decision</w:t>
      </w:r>
      <w:r w:rsidR="00DA4E3F">
        <w:t>,</w:t>
      </w:r>
      <w:r w:rsidR="00E6109B">
        <w:t xml:space="preserve"> </w:t>
      </w:r>
      <w:r w:rsidR="003D4016">
        <w:t>the Bureau</w:t>
      </w:r>
      <w:r w:rsidR="00457E46">
        <w:t xml:space="preserve"> explained that, although </w:t>
      </w:r>
      <w:r w:rsidR="00457E46" w:rsidRPr="00957332">
        <w:rPr>
          <w:szCs w:val="22"/>
        </w:rPr>
        <w:t xml:space="preserve">the Commission possesses broad discretion to review a variety of factors in making a public interest determination with respect to </w:t>
      </w:r>
      <w:r w:rsidR="00457E46">
        <w:rPr>
          <w:szCs w:val="22"/>
        </w:rPr>
        <w:t>transaction-related</w:t>
      </w:r>
      <w:r w:rsidR="00457E46" w:rsidRPr="00957332">
        <w:rPr>
          <w:szCs w:val="22"/>
        </w:rPr>
        <w:t xml:space="preserve"> applications,</w:t>
      </w:r>
      <w:r w:rsidR="00457E46" w:rsidRPr="00A21A69">
        <w:rPr>
          <w:rStyle w:val="FootnoteReference"/>
          <w:sz w:val="20"/>
        </w:rPr>
        <w:footnoteReference w:id="11"/>
      </w:r>
      <w:r w:rsidR="00457E46" w:rsidRPr="00957332">
        <w:rPr>
          <w:szCs w:val="22"/>
        </w:rPr>
        <w:t xml:space="preserve"> </w:t>
      </w:r>
      <w:r w:rsidR="00DA4E3F">
        <w:rPr>
          <w:szCs w:val="22"/>
        </w:rPr>
        <w:t>S</w:t>
      </w:r>
      <w:r w:rsidR="00457E46">
        <w:rPr>
          <w:szCs w:val="22"/>
        </w:rPr>
        <w:t xml:space="preserve">ection 27.64 of </w:t>
      </w:r>
      <w:r w:rsidR="00457E46" w:rsidRPr="00957332">
        <w:rPr>
          <w:szCs w:val="22"/>
        </w:rPr>
        <w:t>the Commission</w:t>
      </w:r>
      <w:r w:rsidR="00457E46">
        <w:rPr>
          <w:szCs w:val="22"/>
        </w:rPr>
        <w:t>’s rules</w:t>
      </w:r>
      <w:r w:rsidR="00457E46" w:rsidRPr="00A21A69">
        <w:rPr>
          <w:rStyle w:val="FootnoteReference"/>
          <w:sz w:val="20"/>
        </w:rPr>
        <w:footnoteReference w:id="12"/>
      </w:r>
      <w:r w:rsidR="00457E46">
        <w:rPr>
          <w:szCs w:val="22"/>
        </w:rPr>
        <w:t xml:space="preserve"> provides for a dedicated and </w:t>
      </w:r>
      <w:r w:rsidR="00457E46" w:rsidRPr="00957332">
        <w:rPr>
          <w:szCs w:val="22"/>
        </w:rPr>
        <w:t xml:space="preserve">equitable process </w:t>
      </w:r>
      <w:r w:rsidR="00457E46">
        <w:rPr>
          <w:szCs w:val="22"/>
        </w:rPr>
        <w:t>that would better address</w:t>
      </w:r>
      <w:r w:rsidR="00457E46" w:rsidRPr="00957332">
        <w:rPr>
          <w:szCs w:val="22"/>
        </w:rPr>
        <w:t xml:space="preserve"> interference complaints of the nature raised here</w:t>
      </w:r>
      <w:r w:rsidR="00457E46">
        <w:rPr>
          <w:szCs w:val="22"/>
        </w:rPr>
        <w:t>.</w:t>
      </w:r>
      <w:r w:rsidR="000D27FD" w:rsidRPr="00A21A69">
        <w:rPr>
          <w:rStyle w:val="FootnoteReference"/>
          <w:sz w:val="20"/>
        </w:rPr>
        <w:footnoteReference w:id="13"/>
      </w:r>
      <w:r w:rsidR="00966DAD">
        <w:rPr>
          <w:szCs w:val="22"/>
        </w:rPr>
        <w:t xml:space="preserve">  </w:t>
      </w:r>
      <w:r w:rsidR="003E2653">
        <w:rPr>
          <w:szCs w:val="22"/>
        </w:rPr>
        <w:t xml:space="preserve">Sirius’s </w:t>
      </w:r>
      <w:r w:rsidR="00966DAD">
        <w:rPr>
          <w:szCs w:val="22"/>
        </w:rPr>
        <w:t>arguments are largely duplicative of those it raised in</w:t>
      </w:r>
      <w:r w:rsidR="00DA4E3F">
        <w:rPr>
          <w:szCs w:val="22"/>
        </w:rPr>
        <w:t xml:space="preserve"> the</w:t>
      </w:r>
      <w:r w:rsidR="00966DAD">
        <w:rPr>
          <w:szCs w:val="22"/>
        </w:rPr>
        <w:t xml:space="preserve"> </w:t>
      </w:r>
      <w:r w:rsidR="00966DAD">
        <w:rPr>
          <w:i/>
        </w:rPr>
        <w:t>Verizon Wireless/T-Mobile Order</w:t>
      </w:r>
      <w:r w:rsidR="00966DAD">
        <w:t xml:space="preserve">, as </w:t>
      </w:r>
      <w:r w:rsidR="008B59A9">
        <w:t>it</w:t>
      </w:r>
      <w:r w:rsidR="00966DAD">
        <w:t xml:space="preserve"> acknowledges.</w:t>
      </w:r>
      <w:r w:rsidR="00966DAD" w:rsidRPr="00A21A69">
        <w:rPr>
          <w:rStyle w:val="FootnoteReference"/>
          <w:sz w:val="20"/>
        </w:rPr>
        <w:footnoteReference w:id="14"/>
      </w:r>
      <w:r w:rsidR="001F236F">
        <w:t xml:space="preserve">  </w:t>
      </w:r>
      <w:r w:rsidR="000E7708" w:rsidRPr="00957332">
        <w:rPr>
          <w:szCs w:val="22"/>
        </w:rPr>
        <w:t xml:space="preserve">Accordingly, we dismiss the </w:t>
      </w:r>
      <w:r w:rsidR="00BA5EA7">
        <w:rPr>
          <w:szCs w:val="22"/>
        </w:rPr>
        <w:t xml:space="preserve">Sirius </w:t>
      </w:r>
      <w:r w:rsidR="000E7708">
        <w:rPr>
          <w:szCs w:val="22"/>
        </w:rPr>
        <w:t>Objection</w:t>
      </w:r>
      <w:r w:rsidR="000E7708" w:rsidRPr="00957332">
        <w:rPr>
          <w:szCs w:val="22"/>
        </w:rPr>
        <w:t xml:space="preserve"> because </w:t>
      </w:r>
      <w:r w:rsidR="000E7708">
        <w:rPr>
          <w:szCs w:val="22"/>
        </w:rPr>
        <w:t>Sirius’</w:t>
      </w:r>
      <w:r w:rsidR="00BA5EA7">
        <w:rPr>
          <w:szCs w:val="22"/>
        </w:rPr>
        <w:t>s</w:t>
      </w:r>
      <w:r w:rsidR="000E7708" w:rsidRPr="00957332">
        <w:rPr>
          <w:szCs w:val="22"/>
        </w:rPr>
        <w:t xml:space="preserve"> allegations are better addressed elsewhere.</w:t>
      </w:r>
      <w:r w:rsidR="000E7708" w:rsidRPr="00A21A69">
        <w:rPr>
          <w:rStyle w:val="FootnoteReference"/>
          <w:sz w:val="20"/>
        </w:rPr>
        <w:footnoteReference w:id="15"/>
      </w:r>
    </w:p>
    <w:p w14:paraId="3F94DC02" w14:textId="77777777" w:rsidR="0018355D" w:rsidRPr="00957332" w:rsidRDefault="00B8150D" w:rsidP="00A21A69">
      <w:pPr>
        <w:pStyle w:val="ParaNum"/>
        <w:widowControl/>
        <w:tabs>
          <w:tab w:val="clear" w:pos="1440"/>
        </w:tabs>
        <w:spacing w:after="120"/>
        <w:jc w:val="left"/>
        <w:rPr>
          <w:szCs w:val="22"/>
        </w:rPr>
      </w:pPr>
      <w:r>
        <w:lastRenderedPageBreak/>
        <w:t xml:space="preserve">Our decision here </w:t>
      </w:r>
      <w:r w:rsidRPr="00957332">
        <w:rPr>
          <w:szCs w:val="22"/>
        </w:rPr>
        <w:t xml:space="preserve">to dismiss </w:t>
      </w:r>
      <w:r>
        <w:rPr>
          <w:szCs w:val="22"/>
        </w:rPr>
        <w:t xml:space="preserve">the </w:t>
      </w:r>
      <w:r w:rsidR="00BA5EA7">
        <w:rPr>
          <w:szCs w:val="22"/>
        </w:rPr>
        <w:t xml:space="preserve">Sirius </w:t>
      </w:r>
      <w:r>
        <w:rPr>
          <w:szCs w:val="22"/>
        </w:rPr>
        <w:t xml:space="preserve">Objection </w:t>
      </w:r>
      <w:r>
        <w:t xml:space="preserve">does not foreclose any right of Sirius to </w:t>
      </w:r>
      <w:r w:rsidR="007F3616">
        <w:t xml:space="preserve">seek </w:t>
      </w:r>
      <w:r>
        <w:t>relief on the interference allegations</w:t>
      </w:r>
      <w:r w:rsidR="007F3616">
        <w:t xml:space="preserve"> in the appropriate proceeding</w:t>
      </w:r>
      <w:r>
        <w:t>.  Nor is o</w:t>
      </w:r>
      <w:r w:rsidR="008818AD" w:rsidRPr="00957332">
        <w:rPr>
          <w:szCs w:val="22"/>
        </w:rPr>
        <w:t xml:space="preserve">ur decision </w:t>
      </w:r>
      <w:r w:rsidR="00240855">
        <w:rPr>
          <w:szCs w:val="22"/>
        </w:rPr>
        <w:t xml:space="preserve">intended to pre-judge any outcome of </w:t>
      </w:r>
      <w:r w:rsidR="008818AD" w:rsidRPr="00957332">
        <w:rPr>
          <w:szCs w:val="22"/>
        </w:rPr>
        <w:t>a course</w:t>
      </w:r>
      <w:r w:rsidR="00935E86">
        <w:rPr>
          <w:szCs w:val="22"/>
        </w:rPr>
        <w:t xml:space="preserve"> of action</w:t>
      </w:r>
      <w:r w:rsidR="00136F10">
        <w:rPr>
          <w:szCs w:val="22"/>
        </w:rPr>
        <w:t xml:space="preserve"> under </w:t>
      </w:r>
      <w:r w:rsidR="00BA5EA7">
        <w:rPr>
          <w:szCs w:val="22"/>
        </w:rPr>
        <w:t>S</w:t>
      </w:r>
      <w:r w:rsidR="00136F10">
        <w:rPr>
          <w:szCs w:val="22"/>
        </w:rPr>
        <w:t>ection 27.64 of the Commission’s rules</w:t>
      </w:r>
      <w:r>
        <w:rPr>
          <w:szCs w:val="22"/>
        </w:rPr>
        <w:t>,</w:t>
      </w:r>
      <w:r w:rsidR="007F3616" w:rsidRPr="00A21A69">
        <w:rPr>
          <w:rStyle w:val="FootnoteReference"/>
          <w:sz w:val="20"/>
        </w:rPr>
        <w:footnoteReference w:id="16"/>
      </w:r>
      <w:r>
        <w:rPr>
          <w:szCs w:val="22"/>
        </w:rPr>
        <w:t xml:space="preserve"> or some similar process,</w:t>
      </w:r>
      <w:r w:rsidR="00240855">
        <w:rPr>
          <w:szCs w:val="22"/>
        </w:rPr>
        <w:t xml:space="preserve"> should that be pursued.  T</w:t>
      </w:r>
      <w:r w:rsidR="008818AD" w:rsidRPr="00957332">
        <w:rPr>
          <w:szCs w:val="22"/>
        </w:rPr>
        <w:t xml:space="preserve">o the extent that the Commission </w:t>
      </w:r>
      <w:r w:rsidR="00935E86">
        <w:rPr>
          <w:szCs w:val="22"/>
        </w:rPr>
        <w:t xml:space="preserve">ultimately </w:t>
      </w:r>
      <w:r w:rsidR="008818AD" w:rsidRPr="00957332">
        <w:rPr>
          <w:szCs w:val="22"/>
        </w:rPr>
        <w:t>concludes that a licensee must take action to address harmful interference</w:t>
      </w:r>
      <w:r w:rsidR="007F3616">
        <w:rPr>
          <w:szCs w:val="22"/>
        </w:rPr>
        <w:t xml:space="preserve"> affecting Sirius’s operations</w:t>
      </w:r>
      <w:r w:rsidR="008818AD" w:rsidRPr="00957332">
        <w:rPr>
          <w:szCs w:val="22"/>
        </w:rPr>
        <w:t xml:space="preserve">, we </w:t>
      </w:r>
      <w:r w:rsidR="007F3616">
        <w:rPr>
          <w:szCs w:val="22"/>
        </w:rPr>
        <w:t xml:space="preserve">anticipate that the involved licensees will take the necessary action in response to </w:t>
      </w:r>
      <w:r w:rsidR="008818AD" w:rsidRPr="00957332">
        <w:rPr>
          <w:szCs w:val="22"/>
        </w:rPr>
        <w:t>such a directive.</w:t>
      </w:r>
    </w:p>
    <w:p w14:paraId="4CC90DC5" w14:textId="0F82D255" w:rsidR="00FD451E" w:rsidRPr="000939DD" w:rsidRDefault="003A37C6" w:rsidP="00A21A69">
      <w:pPr>
        <w:pStyle w:val="ParaNum"/>
        <w:spacing w:after="120"/>
        <w:jc w:val="left"/>
      </w:pPr>
      <w:r w:rsidRPr="003A37C6">
        <w:rPr>
          <w:i/>
        </w:rPr>
        <w:t>Ordering Clauses</w:t>
      </w:r>
      <w:r>
        <w:t xml:space="preserve">.  </w:t>
      </w:r>
      <w:r w:rsidR="00FD451E" w:rsidRPr="000939DD">
        <w:t xml:space="preserve">Accordingly, having reviewed the </w:t>
      </w:r>
      <w:r w:rsidR="002F36F9">
        <w:t>Notifications</w:t>
      </w:r>
      <w:r w:rsidR="00FD451E" w:rsidRPr="000939DD">
        <w:t xml:space="preserve"> and the record in this matter, IT IS ORDERED that, pursuant to </w:t>
      </w:r>
      <w:r w:rsidR="00BA5EA7">
        <w:t>S</w:t>
      </w:r>
      <w:r w:rsidR="00FD451E" w:rsidRPr="000939DD">
        <w:t xml:space="preserve">ections 4(i) and (j), 309, and 310(d) of the Communications Act of 1934, as amended, 47 U.S.C. §§ 154(i), (j), 309, 310(d), </w:t>
      </w:r>
      <w:r>
        <w:t xml:space="preserve">and Section 1.41 of the Commission’s rules, 47 C.F.R. § 1.41, </w:t>
      </w:r>
      <w:r w:rsidR="00FD451E" w:rsidRPr="000939DD">
        <w:t xml:space="preserve">the </w:t>
      </w:r>
      <w:r w:rsidR="00324106">
        <w:t>Objection</w:t>
      </w:r>
      <w:r w:rsidR="00FD451E" w:rsidRPr="000939DD">
        <w:t xml:space="preserve"> filed by </w:t>
      </w:r>
      <w:r w:rsidR="00324106" w:rsidRPr="008F53E2">
        <w:rPr>
          <w:szCs w:val="22"/>
        </w:rPr>
        <w:t xml:space="preserve">Sirius XM Radio Inc. </w:t>
      </w:r>
      <w:r w:rsidR="00324106">
        <w:t>is</w:t>
      </w:r>
      <w:r w:rsidR="00FD451E" w:rsidRPr="000939DD">
        <w:t xml:space="preserve"> hereby DISMISSED for the reasons stated herein.</w:t>
      </w:r>
    </w:p>
    <w:p w14:paraId="58221EA0" w14:textId="7A676A32" w:rsidR="000939DD" w:rsidRPr="000939DD" w:rsidRDefault="000939DD" w:rsidP="00A21A69">
      <w:pPr>
        <w:pStyle w:val="ParaNum"/>
        <w:widowControl/>
        <w:spacing w:after="120"/>
        <w:jc w:val="left"/>
      </w:pPr>
      <w:r w:rsidRPr="000939DD">
        <w:t xml:space="preserve">IT IS FURTHER ORDERED, pursuant to </w:t>
      </w:r>
      <w:r w:rsidR="00BA5EA7">
        <w:t>S</w:t>
      </w:r>
      <w:r w:rsidRPr="000939DD">
        <w:t xml:space="preserve">ections 4(i) and 309 of the Communications Act of 1934, as amended, 47 U.S.C. §§ 154(i), 309, that the </w:t>
      </w:r>
      <w:r w:rsidR="0028617A">
        <w:t xml:space="preserve">staff of the </w:t>
      </w:r>
      <w:r w:rsidRPr="0028617A">
        <w:t>Mobility</w:t>
      </w:r>
      <w:r w:rsidRPr="000939DD">
        <w:t xml:space="preserve"> Division </w:t>
      </w:r>
      <w:r w:rsidR="007D61CE">
        <w:t xml:space="preserve">and the Broadband Division </w:t>
      </w:r>
      <w:r w:rsidRPr="000939DD">
        <w:t>of the Wireless Telecommunications Bureau SHALL PROCESS the following application</w:t>
      </w:r>
      <w:r w:rsidR="00324106">
        <w:t>s</w:t>
      </w:r>
      <w:r w:rsidRPr="000939DD">
        <w:t xml:space="preserve"> consistent with this </w:t>
      </w:r>
      <w:r w:rsidRPr="00A21A69">
        <w:t>Order</w:t>
      </w:r>
      <w:r w:rsidR="0028617A">
        <w:t xml:space="preserve"> and the Commission’s r</w:t>
      </w:r>
      <w:r w:rsidRPr="000939DD">
        <w:t xml:space="preserve">ules: </w:t>
      </w:r>
      <w:r w:rsidR="0028617A">
        <w:t xml:space="preserve"> </w:t>
      </w:r>
      <w:r w:rsidRPr="000939DD">
        <w:t>ULS File No</w:t>
      </w:r>
      <w:r w:rsidR="003A37C6">
        <w:t>s</w:t>
      </w:r>
      <w:r w:rsidRPr="000939DD">
        <w:t xml:space="preserve">. </w:t>
      </w:r>
      <w:r w:rsidR="00213D49">
        <w:t>0006972875, 0006973050, 0006973114, 0006973176, 0006973217, 0006973228, 0006973267, and 0006973430</w:t>
      </w:r>
      <w:r w:rsidRPr="000939DD">
        <w:t>.</w:t>
      </w:r>
    </w:p>
    <w:p w14:paraId="2FFDB4B8" w14:textId="77777777" w:rsidR="00FA29A2" w:rsidRPr="006454A4" w:rsidRDefault="00FA29A2" w:rsidP="00A21A69">
      <w:pPr>
        <w:pStyle w:val="ParaNum"/>
        <w:keepNext/>
        <w:widowControl/>
        <w:spacing w:after="120"/>
        <w:jc w:val="left"/>
      </w:pPr>
      <w:r w:rsidRPr="00EA12E6">
        <w:rPr>
          <w:szCs w:val="22"/>
        </w:rPr>
        <w:t xml:space="preserve">This action is taken under delegated authority pursuant to </w:t>
      </w:r>
      <w:r w:rsidR="00BA5EA7">
        <w:rPr>
          <w:szCs w:val="22"/>
        </w:rPr>
        <w:t>S</w:t>
      </w:r>
      <w:r w:rsidRPr="00EA12E6">
        <w:rPr>
          <w:szCs w:val="22"/>
        </w:rPr>
        <w:t xml:space="preserve">ections 0.131 and 0.331 of the Commission’s </w:t>
      </w:r>
      <w:r w:rsidR="0028617A">
        <w:rPr>
          <w:szCs w:val="22"/>
        </w:rPr>
        <w:t>r</w:t>
      </w:r>
      <w:r w:rsidRPr="00EA12E6">
        <w:rPr>
          <w:szCs w:val="22"/>
        </w:rPr>
        <w:t>ules, 47 C.F.R. §§ 0.131, 0.331.</w:t>
      </w:r>
    </w:p>
    <w:p w14:paraId="1F65433E" w14:textId="77777777" w:rsidR="006454A4" w:rsidRPr="00EA12E6" w:rsidRDefault="006454A4" w:rsidP="006454A4">
      <w:pPr>
        <w:pStyle w:val="ParaNum"/>
        <w:keepNext/>
        <w:widowControl/>
        <w:numPr>
          <w:ilvl w:val="0"/>
          <w:numId w:val="0"/>
        </w:numPr>
        <w:spacing w:after="120"/>
        <w:ind w:left="720"/>
        <w:jc w:val="left"/>
      </w:pPr>
    </w:p>
    <w:p w14:paraId="330AD375" w14:textId="77777777" w:rsidR="00374BCF" w:rsidRDefault="00374BCF" w:rsidP="00374BCF">
      <w:pPr>
        <w:keepNext/>
      </w:pPr>
      <w:r>
        <w:tab/>
      </w:r>
      <w:r>
        <w:tab/>
      </w:r>
      <w:r>
        <w:tab/>
      </w:r>
      <w:r>
        <w:tab/>
      </w:r>
      <w:r>
        <w:tab/>
      </w:r>
      <w:r>
        <w:tab/>
        <w:t>FEDERAL COMMUNICATIONS COMMISSION</w:t>
      </w:r>
    </w:p>
    <w:p w14:paraId="415EF676" w14:textId="77777777" w:rsidR="00374BCF" w:rsidRDefault="00374BCF" w:rsidP="00374BCF">
      <w:pPr>
        <w:keepNext/>
      </w:pPr>
    </w:p>
    <w:p w14:paraId="7321E73A" w14:textId="77777777" w:rsidR="00374BCF" w:rsidRDefault="00374BCF" w:rsidP="00374BCF">
      <w:pPr>
        <w:keepNext/>
      </w:pPr>
    </w:p>
    <w:p w14:paraId="76B09E84" w14:textId="77777777" w:rsidR="00374BCF" w:rsidRDefault="00374BCF" w:rsidP="00374BCF">
      <w:pPr>
        <w:keepNext/>
      </w:pPr>
    </w:p>
    <w:p w14:paraId="70BE374B" w14:textId="06139E05" w:rsidR="00374BCF" w:rsidRPr="008D4912" w:rsidRDefault="007D61CE" w:rsidP="00374BCF">
      <w:pPr>
        <w:keepNext/>
        <w:snapToGrid w:val="0"/>
        <w:ind w:left="3600" w:firstLine="720"/>
        <w:rPr>
          <w:szCs w:val="22"/>
        </w:rPr>
      </w:pPr>
      <w:r>
        <w:t>Katherine M. Harris</w:t>
      </w:r>
    </w:p>
    <w:p w14:paraId="4C5C3680" w14:textId="1386C7FD" w:rsidR="00374BCF" w:rsidRDefault="007D61CE" w:rsidP="00D106B7">
      <w:pPr>
        <w:keepNext/>
        <w:ind w:left="3600" w:firstLine="720"/>
      </w:pPr>
      <w:r>
        <w:t xml:space="preserve">Deputy </w:t>
      </w:r>
      <w:r w:rsidR="00D106B7">
        <w:t>Chief</w:t>
      </w:r>
      <w:r>
        <w:t>, Mobility Division</w:t>
      </w:r>
    </w:p>
    <w:p w14:paraId="08A3A8E4" w14:textId="77777777" w:rsidR="00D106B7" w:rsidRDefault="00D106B7" w:rsidP="00374BCF">
      <w:pPr>
        <w:ind w:left="3600" w:firstLine="720"/>
      </w:pPr>
      <w:r>
        <w:t>Wireless Telecommunications Bureau</w:t>
      </w:r>
    </w:p>
    <w:p w14:paraId="34B2E025" w14:textId="77777777" w:rsidR="007D61CE" w:rsidRDefault="007D61CE" w:rsidP="00374BCF">
      <w:pPr>
        <w:ind w:left="3600" w:firstLine="720"/>
      </w:pPr>
    </w:p>
    <w:p w14:paraId="4D4DBDDD" w14:textId="77777777" w:rsidR="007D61CE" w:rsidRDefault="007D61CE" w:rsidP="00374BCF">
      <w:pPr>
        <w:ind w:left="3600" w:firstLine="720"/>
      </w:pPr>
    </w:p>
    <w:p w14:paraId="3A7999A2" w14:textId="77777777" w:rsidR="007D61CE" w:rsidRDefault="007D61CE" w:rsidP="00374BCF">
      <w:pPr>
        <w:ind w:left="3600" w:firstLine="720"/>
      </w:pPr>
    </w:p>
    <w:p w14:paraId="6607A73A" w14:textId="438B02E2" w:rsidR="007D61CE" w:rsidRDefault="00983436" w:rsidP="00374BCF">
      <w:pPr>
        <w:ind w:left="3600" w:firstLine="720"/>
      </w:pPr>
      <w:r>
        <w:t xml:space="preserve">John </w:t>
      </w:r>
      <w:r w:rsidR="001D123C">
        <w:t xml:space="preserve">J. </w:t>
      </w:r>
      <w:r>
        <w:t>Schauble</w:t>
      </w:r>
    </w:p>
    <w:p w14:paraId="4EA751EF" w14:textId="43D76A39" w:rsidR="007D61CE" w:rsidRDefault="00983436" w:rsidP="00374BCF">
      <w:pPr>
        <w:ind w:left="3600" w:firstLine="720"/>
      </w:pPr>
      <w:r>
        <w:t xml:space="preserve">Deputy </w:t>
      </w:r>
      <w:r w:rsidR="007D61CE">
        <w:t>Chief, Broadband Division</w:t>
      </w:r>
    </w:p>
    <w:p w14:paraId="6AA098EC" w14:textId="5622B4EC" w:rsidR="007D61CE" w:rsidRDefault="007D61CE" w:rsidP="00374BCF">
      <w:pPr>
        <w:ind w:left="3600" w:firstLine="720"/>
      </w:pPr>
      <w:r>
        <w:t>Wireless Telecommunications Bureau</w:t>
      </w:r>
    </w:p>
    <w:sectPr w:rsidR="007D6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AA34" w14:textId="77777777" w:rsidR="00A65998" w:rsidRDefault="00A65998">
      <w:r>
        <w:separator/>
      </w:r>
    </w:p>
  </w:endnote>
  <w:endnote w:type="continuationSeparator" w:id="0">
    <w:p w14:paraId="35CE1956" w14:textId="77777777" w:rsidR="00A65998" w:rsidRDefault="00A6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FCB2" w14:textId="77777777" w:rsidR="003C1AF0" w:rsidRDefault="003C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0ABB" w14:textId="77777777" w:rsidR="002B5D77" w:rsidRDefault="00935E86">
    <w:pPr>
      <w:pStyle w:val="Footer"/>
      <w:jc w:val="center"/>
    </w:pPr>
    <w:r>
      <w:fldChar w:fldCharType="begin"/>
    </w:r>
    <w:r>
      <w:instrText xml:space="preserve"> PAGE   \* MERGEFORMAT </w:instrText>
    </w:r>
    <w:r>
      <w:fldChar w:fldCharType="separate"/>
    </w:r>
    <w:r w:rsidR="0032749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48E8" w14:textId="77777777" w:rsidR="003C1AF0" w:rsidRDefault="003C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44AC" w14:textId="77777777" w:rsidR="00A65998" w:rsidRDefault="00A65998">
      <w:pPr>
        <w:rPr>
          <w:sz w:val="20"/>
        </w:rPr>
      </w:pPr>
      <w:r>
        <w:rPr>
          <w:sz w:val="20"/>
        </w:rPr>
        <w:separator/>
      </w:r>
    </w:p>
  </w:footnote>
  <w:footnote w:type="continuationSeparator" w:id="0">
    <w:p w14:paraId="1BC6BDC2" w14:textId="77777777" w:rsidR="00A65998" w:rsidRDefault="00A65998">
      <w:pPr>
        <w:rPr>
          <w:sz w:val="20"/>
        </w:rPr>
      </w:pPr>
      <w:r>
        <w:rPr>
          <w:sz w:val="20"/>
        </w:rPr>
        <w:separator/>
      </w:r>
    </w:p>
    <w:p w14:paraId="326A6CC8" w14:textId="77777777" w:rsidR="00A65998" w:rsidRDefault="00A65998">
      <w:pPr>
        <w:rPr>
          <w:sz w:val="20"/>
        </w:rPr>
      </w:pPr>
      <w:r>
        <w:rPr>
          <w:sz w:val="20"/>
        </w:rPr>
        <w:t>(...continued from previous page)</w:t>
      </w:r>
    </w:p>
  </w:footnote>
  <w:footnote w:type="continuationNotice" w:id="1">
    <w:p w14:paraId="0D61CFA0" w14:textId="77777777" w:rsidR="00A65998" w:rsidRDefault="00A65998">
      <w:pPr>
        <w:jc w:val="right"/>
        <w:rPr>
          <w:sz w:val="20"/>
        </w:rPr>
      </w:pPr>
      <w:r>
        <w:rPr>
          <w:sz w:val="20"/>
        </w:rPr>
        <w:t>(continued....)</w:t>
      </w:r>
    </w:p>
  </w:footnote>
  <w:footnote w:id="2">
    <w:p w14:paraId="3DCDCE40" w14:textId="77777777" w:rsidR="002B5D77" w:rsidRDefault="002B5D77">
      <w:pPr>
        <w:pStyle w:val="FootnoteText"/>
      </w:pPr>
      <w:r>
        <w:rPr>
          <w:rStyle w:val="FootnoteReference"/>
        </w:rPr>
        <w:footnoteRef/>
      </w:r>
      <w:r>
        <w:t xml:space="preserve"> ULS File No</w:t>
      </w:r>
      <w:r w:rsidR="007423A5">
        <w:t>s</w:t>
      </w:r>
      <w:r>
        <w:t xml:space="preserve">. </w:t>
      </w:r>
      <w:r w:rsidR="006713D1">
        <w:t>0006972875</w:t>
      </w:r>
      <w:r w:rsidR="007423A5" w:rsidRPr="007423A5">
        <w:t xml:space="preserve">, </w:t>
      </w:r>
      <w:r w:rsidR="006713D1">
        <w:t>0006973050</w:t>
      </w:r>
      <w:r w:rsidR="007423A5" w:rsidRPr="007423A5">
        <w:t xml:space="preserve">, </w:t>
      </w:r>
      <w:r w:rsidR="006713D1">
        <w:t>0006973114</w:t>
      </w:r>
      <w:r w:rsidR="007423A5" w:rsidRPr="007423A5">
        <w:t xml:space="preserve">, </w:t>
      </w:r>
      <w:r w:rsidR="006713D1">
        <w:t>0006973176</w:t>
      </w:r>
      <w:r w:rsidR="007423A5" w:rsidRPr="007423A5">
        <w:t xml:space="preserve">, </w:t>
      </w:r>
      <w:r w:rsidR="006713D1">
        <w:t>0006973217</w:t>
      </w:r>
      <w:r w:rsidR="007423A5" w:rsidRPr="007423A5">
        <w:t xml:space="preserve">, </w:t>
      </w:r>
      <w:r w:rsidR="006713D1">
        <w:t>0006973228</w:t>
      </w:r>
      <w:r w:rsidR="007423A5" w:rsidRPr="007423A5">
        <w:t xml:space="preserve">, </w:t>
      </w:r>
      <w:r w:rsidR="006713D1">
        <w:t>0006973267, and 0006973430</w:t>
      </w:r>
      <w:r w:rsidR="00E6109B">
        <w:t xml:space="preserve"> (</w:t>
      </w:r>
      <w:r w:rsidR="005E6A2F">
        <w:t>Notifications</w:t>
      </w:r>
      <w:r>
        <w:t>).</w:t>
      </w:r>
      <w:r w:rsidR="007423A5">
        <w:t xml:space="preserve">  </w:t>
      </w:r>
      <w:r w:rsidR="006713D1">
        <w:t>AT&amp;T</w:t>
      </w:r>
      <w:r w:rsidR="007423A5">
        <w:t xml:space="preserve"> and T-Mobile have designated ULS File No. </w:t>
      </w:r>
      <w:r w:rsidR="006713D1">
        <w:t>0006972875</w:t>
      </w:r>
      <w:r w:rsidR="00E6109B">
        <w:t xml:space="preserve"> </w:t>
      </w:r>
      <w:r w:rsidR="007423A5">
        <w:t>as the lead application</w:t>
      </w:r>
      <w:r w:rsidR="00CE33E3">
        <w:t xml:space="preserve"> for the lease of spectrum from AT&amp;T affiliates to T-Mobile affiliates</w:t>
      </w:r>
      <w:r w:rsidR="007423A5">
        <w:t>.</w:t>
      </w:r>
    </w:p>
  </w:footnote>
  <w:footnote w:id="3">
    <w:p w14:paraId="1B6E3ACE" w14:textId="77777777" w:rsidR="002B5D77" w:rsidRDefault="002B5D77" w:rsidP="00CA4A0B">
      <w:pPr>
        <w:pStyle w:val="FootnoteText"/>
      </w:pPr>
      <w:r>
        <w:rPr>
          <w:rStyle w:val="FootnoteReference"/>
        </w:rPr>
        <w:footnoteRef/>
      </w:r>
      <w:r w:rsidR="00E6109B">
        <w:t xml:space="preserve"> 47 U.S.C. § 310(d).</w:t>
      </w:r>
    </w:p>
  </w:footnote>
  <w:footnote w:id="4">
    <w:p w14:paraId="6ED2A43C" w14:textId="22A48825" w:rsidR="00F0362B" w:rsidRDefault="00F0362B">
      <w:pPr>
        <w:pStyle w:val="FootnoteText"/>
      </w:pPr>
      <w:r>
        <w:rPr>
          <w:rStyle w:val="FootnoteReference"/>
        </w:rPr>
        <w:footnoteRef/>
      </w:r>
      <w:r>
        <w:t xml:space="preserve"> Applications of AT&amp;T Inc. and T-Mobile USA, Inc. for Consent To Assign Licenses, ULS File Nos.</w:t>
      </w:r>
      <w:r w:rsidRPr="0056192E">
        <w:t xml:space="preserve"> </w:t>
      </w:r>
      <w:r w:rsidRPr="00F0362B">
        <w:t>0006958314</w:t>
      </w:r>
      <w:r w:rsidR="00680FEE">
        <w:t xml:space="preserve"> (lead application), 0006951570, 0006951649, 0006951692, 0006952626, 0006952679, 0006952692,</w:t>
      </w:r>
      <w:r w:rsidR="005657D1">
        <w:t xml:space="preserve"> </w:t>
      </w:r>
      <w:r w:rsidR="00680FEE">
        <w:t>0006952707, 0006958317, 0006958319, 0006958327, 0006958328, 0006958329, 0006958333, 0006958341</w:t>
      </w:r>
      <w:r w:rsidR="00CE33E3">
        <w:t>, and 50000CWAA16</w:t>
      </w:r>
      <w:r w:rsidR="00680FEE">
        <w:t xml:space="preserve"> </w:t>
      </w:r>
      <w:r>
        <w:t>(filed Oct. 16, 2015).</w:t>
      </w:r>
      <w:r w:rsidR="00011859">
        <w:t xml:space="preserve">  </w:t>
      </w:r>
      <w:r w:rsidR="00681682">
        <w:t xml:space="preserve">These assignment applications have been consented to by the Commission.  </w:t>
      </w:r>
      <w:r w:rsidR="00203223" w:rsidRPr="00A21A69">
        <w:rPr>
          <w:i/>
        </w:rPr>
        <w:t>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w:t>
      </w:r>
      <w:r w:rsidR="00203223">
        <w:t>, Rpt. Nos. 11158, 11158B, Public Notice (WTB Feb, 10, 2016)</w:t>
      </w:r>
      <w:r w:rsidR="00477A3D">
        <w:t xml:space="preserve">. </w:t>
      </w:r>
      <w:r w:rsidR="00203223">
        <w:t xml:space="preserve"> </w:t>
      </w:r>
      <w:r w:rsidR="00011859">
        <w:t xml:space="preserve">The Applicants also filed applications similar to the </w:t>
      </w:r>
      <w:r w:rsidR="003D4016">
        <w:t>Notifications</w:t>
      </w:r>
      <w:r w:rsidR="00011859">
        <w:t xml:space="preserve"> </w:t>
      </w:r>
      <w:r w:rsidR="00477A3D">
        <w:t>to</w:t>
      </w:r>
      <w:r w:rsidR="00011859">
        <w:t xml:space="preserve"> permit AT&amp;T to lease certain spectrum from T-Mobile pending consummation of the proposed exchange of licenses.  ULS File No</w:t>
      </w:r>
      <w:r w:rsidR="00807A3C">
        <w:t>s</w:t>
      </w:r>
      <w:r w:rsidR="00011859">
        <w:t xml:space="preserve">. </w:t>
      </w:r>
      <w:r w:rsidR="00011859" w:rsidRPr="00011859">
        <w:t>0006973424</w:t>
      </w:r>
      <w:r w:rsidR="00011859">
        <w:t xml:space="preserve"> (lead application</w:t>
      </w:r>
      <w:r w:rsidR="00807A3C">
        <w:t xml:space="preserve"> for the lease of spectrum from T-Mobile affiliates to AT&amp;T affiliates</w:t>
      </w:r>
      <w:r w:rsidR="00011859">
        <w:t>)</w:t>
      </w:r>
      <w:r w:rsidR="00807A3C">
        <w:t>, 0006973446, 0006973455, 0006973469, 0006973481, 0006973491, 0006973544, and 0006973605</w:t>
      </w:r>
      <w:r w:rsidR="00011859">
        <w:t xml:space="preserve">.  </w:t>
      </w:r>
      <w:r w:rsidR="00011859" w:rsidRPr="00011859">
        <w:t>Sirius</w:t>
      </w:r>
      <w:r w:rsidR="00011859">
        <w:t xml:space="preserve"> filed no objection against any of </w:t>
      </w:r>
      <w:r w:rsidR="00F04277">
        <w:t>these</w:t>
      </w:r>
      <w:r w:rsidR="00011859">
        <w:t xml:space="preserve"> </w:t>
      </w:r>
      <w:r w:rsidR="0024646E">
        <w:t xml:space="preserve">other </w:t>
      </w:r>
      <w:r w:rsidR="00011859">
        <w:t>applications</w:t>
      </w:r>
      <w:r w:rsidR="0024646E">
        <w:t xml:space="preserve"> filed by AT&amp;T and T-Mobile</w:t>
      </w:r>
      <w:r w:rsidR="00011859">
        <w:t>.</w:t>
      </w:r>
    </w:p>
  </w:footnote>
  <w:footnote w:id="5">
    <w:p w14:paraId="21F382DE" w14:textId="77777777" w:rsidR="002622B5" w:rsidRPr="00C05EA9" w:rsidRDefault="002622B5" w:rsidP="002622B5">
      <w:pPr>
        <w:pStyle w:val="FootnoteText"/>
      </w:pPr>
      <w:r w:rsidRPr="008F53E2">
        <w:rPr>
          <w:rStyle w:val="FootnoteReference"/>
        </w:rPr>
        <w:footnoteRef/>
      </w:r>
      <w:r w:rsidRPr="008F53E2">
        <w:t xml:space="preserve"> </w:t>
      </w:r>
      <w:r w:rsidRPr="00C05EA9">
        <w:t xml:space="preserve">Objection of Sirius XM Radio Inc. to Applications of </w:t>
      </w:r>
      <w:r w:rsidR="00011859">
        <w:t>AT&amp;T Inc. and T-Mobile USA, Inc.</w:t>
      </w:r>
      <w:r w:rsidRPr="00C05EA9">
        <w:t xml:space="preserve">, ULS File Nos. </w:t>
      </w:r>
      <w:r w:rsidR="00011859">
        <w:t>0006972875</w:t>
      </w:r>
      <w:r w:rsidRPr="00C05EA9">
        <w:t xml:space="preserve">, etc., filed </w:t>
      </w:r>
      <w:r w:rsidR="00011859">
        <w:t>Oct. 9</w:t>
      </w:r>
      <w:r w:rsidRPr="00C05EA9">
        <w:t xml:space="preserve">, </w:t>
      </w:r>
      <w:r w:rsidR="00F04277">
        <w:t>2015 (</w:t>
      </w:r>
      <w:r w:rsidR="00054844">
        <w:t xml:space="preserve">Sirius </w:t>
      </w:r>
      <w:r w:rsidR="00F04277">
        <w:t>Objection</w:t>
      </w:r>
      <w:r w:rsidRPr="00C05EA9">
        <w:t>).</w:t>
      </w:r>
    </w:p>
  </w:footnote>
  <w:footnote w:id="6">
    <w:p w14:paraId="15F035E0" w14:textId="77777777" w:rsidR="00BD2835" w:rsidRPr="00BD2835" w:rsidRDefault="00BD2835">
      <w:pPr>
        <w:pStyle w:val="FootnoteText"/>
      </w:pPr>
      <w:r>
        <w:rPr>
          <w:rStyle w:val="FootnoteReference"/>
        </w:rPr>
        <w:footnoteRef/>
      </w:r>
      <w:r>
        <w:t xml:space="preserve"> Response of T-Mobile License LLC to O</w:t>
      </w:r>
      <w:r w:rsidR="00F04277">
        <w:t>bjection of Sirius XM Radio Inc</w:t>
      </w:r>
      <w:r>
        <w:t xml:space="preserve">, ULS File Nos. </w:t>
      </w:r>
      <w:r w:rsidR="00F04277">
        <w:t>0006972875</w:t>
      </w:r>
      <w:r>
        <w:t xml:space="preserve">, </w:t>
      </w:r>
      <w:r w:rsidR="002B5FF5">
        <w:t xml:space="preserve">etc., </w:t>
      </w:r>
      <w:r>
        <w:t xml:space="preserve">filed </w:t>
      </w:r>
      <w:r w:rsidR="00F04277">
        <w:t>Oct. 22, 2015 (</w:t>
      </w:r>
      <w:r w:rsidR="00C5115E">
        <w:t xml:space="preserve">T-Mobile </w:t>
      </w:r>
      <w:r w:rsidR="00F04277">
        <w:t>Response)</w:t>
      </w:r>
      <w:r w:rsidR="002662D7">
        <w:t>.</w:t>
      </w:r>
    </w:p>
  </w:footnote>
  <w:footnote w:id="7">
    <w:p w14:paraId="3B4F80D5" w14:textId="77777777" w:rsidR="0032150B" w:rsidRDefault="0032150B">
      <w:pPr>
        <w:pStyle w:val="FootnoteText"/>
      </w:pPr>
      <w:r>
        <w:rPr>
          <w:rStyle w:val="FootnoteReference"/>
        </w:rPr>
        <w:footnoteRef/>
      </w:r>
      <w:r w:rsidR="00AE19C7">
        <w:t xml:space="preserve"> </w:t>
      </w:r>
      <w:r w:rsidR="00C5115E">
        <w:t xml:space="preserve">Sirius </w:t>
      </w:r>
      <w:r w:rsidR="00AE19C7">
        <w:t>Objection at 2</w:t>
      </w:r>
      <w:r>
        <w:t>.</w:t>
      </w:r>
    </w:p>
  </w:footnote>
  <w:footnote w:id="8">
    <w:p w14:paraId="604EE05D" w14:textId="7102393D" w:rsidR="006D430F" w:rsidRPr="006D430F" w:rsidRDefault="006D430F">
      <w:pPr>
        <w:pStyle w:val="FootnoteText"/>
      </w:pPr>
      <w:r>
        <w:rPr>
          <w:rStyle w:val="FootnoteReference"/>
        </w:rPr>
        <w:footnoteRef/>
      </w:r>
      <w:r>
        <w:t xml:space="preserve"> </w:t>
      </w:r>
      <w:r w:rsidR="00C5115E" w:rsidRPr="00C05EA9">
        <w:t>Objection of Sirius XM Radio Inc. to Applications of T-Mobile License LLC and Cellco Partnership d/b/a Verizon Wireless, ULS File Nos. 000686</w:t>
      </w:r>
      <w:r w:rsidR="00C5115E">
        <w:t xml:space="preserve">7447, etc., filed Aug. 11, 2015; </w:t>
      </w:r>
      <w:r w:rsidR="00C5115E">
        <w:rPr>
          <w:i/>
        </w:rPr>
        <w:t>s</w:t>
      </w:r>
      <w:r>
        <w:rPr>
          <w:i/>
        </w:rPr>
        <w:t>ee Applications of Cellco Partnership d/b/a Verizon Wireless and T-Mobile License LLC for Consent To Assign Advanced Wireless Service and Personal Communications Service Licenses</w:t>
      </w:r>
      <w:r>
        <w:t xml:space="preserve">, Order, </w:t>
      </w:r>
      <w:r w:rsidR="001D123C">
        <w:t>30</w:t>
      </w:r>
      <w:r w:rsidR="002F36F9">
        <w:t xml:space="preserve"> FCC Rcd 14080</w:t>
      </w:r>
      <w:r>
        <w:t xml:space="preserve"> (WTB 2015) (</w:t>
      </w:r>
      <w:r>
        <w:rPr>
          <w:i/>
        </w:rPr>
        <w:t>Verizon Wireless/T-Mobile Order</w:t>
      </w:r>
      <w:r w:rsidR="002F36F9">
        <w:t>)</w:t>
      </w:r>
      <w:r w:rsidR="0042325B" w:rsidRPr="00C05EA9">
        <w:t>.</w:t>
      </w:r>
    </w:p>
  </w:footnote>
  <w:footnote w:id="9">
    <w:p w14:paraId="4D022B6C" w14:textId="3950F6AD" w:rsidR="00244214" w:rsidRPr="00F03DAE" w:rsidRDefault="00244214">
      <w:pPr>
        <w:pStyle w:val="FootnoteText"/>
      </w:pPr>
      <w:r>
        <w:rPr>
          <w:rStyle w:val="FootnoteReference"/>
        </w:rPr>
        <w:footnoteRef/>
      </w:r>
      <w:r>
        <w:t xml:space="preserve"> </w:t>
      </w:r>
      <w:r w:rsidR="00DA4E3F">
        <w:t xml:space="preserve">Sirius </w:t>
      </w:r>
      <w:r>
        <w:t xml:space="preserve">Objection at </w:t>
      </w:r>
      <w:r w:rsidR="007B4757">
        <w:t>1</w:t>
      </w:r>
      <w:r w:rsidR="00F03DAE">
        <w:t>, 4</w:t>
      </w:r>
      <w:r w:rsidR="007B4757">
        <w:t>.</w:t>
      </w:r>
      <w:r w:rsidR="00F03DAE">
        <w:t xml:space="preserve">  Sirius raises additional ar</w:t>
      </w:r>
      <w:r w:rsidR="002F36F9">
        <w:t>guments alleging that T-Mobile</w:t>
      </w:r>
      <w:r w:rsidR="00F03DAE">
        <w:t xml:space="preserve"> has “changed its story” about the harmful interference and </w:t>
      </w:r>
      <w:r w:rsidR="0024646E">
        <w:t xml:space="preserve">in </w:t>
      </w:r>
      <w:r w:rsidR="00F03DAE">
        <w:t xml:space="preserve">doing so has conceded that the allegations are “cognizable” in the context of individual transactions.  </w:t>
      </w:r>
      <w:r w:rsidR="00DA4E3F">
        <w:rPr>
          <w:i/>
        </w:rPr>
        <w:t xml:space="preserve">Id. </w:t>
      </w:r>
      <w:r w:rsidR="00F03DAE">
        <w:t>at 3-4.</w:t>
      </w:r>
    </w:p>
  </w:footnote>
  <w:footnote w:id="10">
    <w:p w14:paraId="6A3C48DF" w14:textId="43B9CDD5" w:rsidR="008A496B" w:rsidRPr="008A496B" w:rsidRDefault="008A496B">
      <w:pPr>
        <w:pStyle w:val="FootnoteText"/>
      </w:pPr>
      <w:r>
        <w:rPr>
          <w:rStyle w:val="FootnoteReference"/>
        </w:rPr>
        <w:footnoteRef/>
      </w:r>
      <w:r>
        <w:t xml:space="preserve"> </w:t>
      </w:r>
      <w:r w:rsidR="002F36F9">
        <w:t>T-Mobile Response at</w:t>
      </w:r>
      <w:r>
        <w:t xml:space="preserve"> 1-2.</w:t>
      </w:r>
    </w:p>
  </w:footnote>
  <w:footnote w:id="11">
    <w:p w14:paraId="25C49098" w14:textId="20D31C39" w:rsidR="00457E46" w:rsidRPr="00E2072C" w:rsidRDefault="00457E46" w:rsidP="00457E46">
      <w:pPr>
        <w:pStyle w:val="FootnoteText"/>
      </w:pPr>
      <w:r>
        <w:rPr>
          <w:rStyle w:val="FootnoteReference"/>
        </w:rPr>
        <w:footnoteRef/>
      </w:r>
      <w:r>
        <w:t xml:space="preserve"> </w:t>
      </w:r>
      <w:r w:rsidR="00DA4E3F">
        <w:rPr>
          <w:i/>
        </w:rPr>
        <w:t>Verizon Wireless/T-Mobile Order</w:t>
      </w:r>
      <w:r w:rsidR="001D123C">
        <w:t>, 30 FCC Rcd at 14082</w:t>
      </w:r>
      <w:r w:rsidR="00B67B47">
        <w:t xml:space="preserve">, </w:t>
      </w:r>
      <w:r w:rsidR="00DA4E3F">
        <w:t xml:space="preserve">para. 5, </w:t>
      </w:r>
      <w:r w:rsidR="00DA4E3F">
        <w:rPr>
          <w:i/>
        </w:rPr>
        <w:t>citing</w:t>
      </w:r>
      <w:r w:rsidR="00DA4E3F" w:rsidRPr="00A21A69">
        <w:t xml:space="preserve"> </w:t>
      </w:r>
      <w:r w:rsidRPr="00A21A69">
        <w:rPr>
          <w:i/>
        </w:rPr>
        <w:t>Qwest Communications International, Inc. and US WEST, Inc., Applications for Transfer of Control</w:t>
      </w:r>
      <w:r>
        <w:t xml:space="preserve">, </w:t>
      </w:r>
      <w:r w:rsidRPr="00A21A69">
        <w:t>Memorandum Opinion and Order</w:t>
      </w:r>
      <w:r>
        <w:t>, 15 FCC Rcd 5376, 5392-93</w:t>
      </w:r>
      <w:r w:rsidR="002F36F9">
        <w:t>, para.</w:t>
      </w:r>
      <w:r>
        <w:t xml:space="preserve"> 28 (2000)</w:t>
      </w:r>
      <w:r w:rsidR="00DA4E3F">
        <w:t>;</w:t>
      </w:r>
      <w:r>
        <w:t xml:space="preserve"> </w:t>
      </w:r>
      <w:r w:rsidRPr="00A21A69">
        <w:rPr>
          <w:i/>
        </w:rPr>
        <w:t>Applications of Cellco Partnership d/b/a Verizon Wireless, Coral Wireless, LLC and Coral Wireless Licenses, LLC for Consent To Assign Seven Personal Communications Service Licenses Covering Hawaii</w:t>
      </w:r>
      <w:r>
        <w:t xml:space="preserve">, </w:t>
      </w:r>
      <w:r w:rsidRPr="00A21A69">
        <w:t>Order</w:t>
      </w:r>
      <w:r>
        <w:t>, 29 FCC Rcd 13397, 13400</w:t>
      </w:r>
      <w:r w:rsidR="00B67B47">
        <w:t>, para.</w:t>
      </w:r>
      <w:r>
        <w:t xml:space="preserve"> 9 (WTB MD 2014) (finding that petition to deny assignment application would be dismissed on grounds that misconduct allegations would be better addressed in an enforcement proceeding).</w:t>
      </w:r>
    </w:p>
  </w:footnote>
  <w:footnote w:id="12">
    <w:p w14:paraId="00EBDB2F" w14:textId="77777777" w:rsidR="00457E46" w:rsidRDefault="00457E46" w:rsidP="00457E46">
      <w:pPr>
        <w:pStyle w:val="FootnoteText"/>
      </w:pPr>
      <w:r>
        <w:rPr>
          <w:rStyle w:val="FootnoteReference"/>
        </w:rPr>
        <w:footnoteRef/>
      </w:r>
      <w:r>
        <w:t xml:space="preserve"> 47 C.F.R. § 27.64</w:t>
      </w:r>
    </w:p>
  </w:footnote>
  <w:footnote w:id="13">
    <w:p w14:paraId="734443E2" w14:textId="5DEE8CA6" w:rsidR="000D27FD" w:rsidRPr="000934CE" w:rsidRDefault="000D27FD">
      <w:pPr>
        <w:pStyle w:val="FootnoteText"/>
      </w:pPr>
      <w:r>
        <w:rPr>
          <w:rStyle w:val="FootnoteReference"/>
        </w:rPr>
        <w:footnoteRef/>
      </w:r>
      <w:r>
        <w:t xml:space="preserve"> </w:t>
      </w:r>
      <w:r>
        <w:rPr>
          <w:i/>
        </w:rPr>
        <w:t>Verizon Wireless/T-Mobile Order</w:t>
      </w:r>
      <w:r w:rsidR="002F36F9">
        <w:t xml:space="preserve">, </w:t>
      </w:r>
      <w:r w:rsidR="001D123C">
        <w:t>30</w:t>
      </w:r>
      <w:r w:rsidR="002F36F9">
        <w:t xml:space="preserve"> FCC Rcd at 14082</w:t>
      </w:r>
      <w:r w:rsidR="00B67B47">
        <w:t xml:space="preserve">, </w:t>
      </w:r>
      <w:r w:rsidR="000934CE">
        <w:t>para. 5.</w:t>
      </w:r>
    </w:p>
  </w:footnote>
  <w:footnote w:id="14">
    <w:p w14:paraId="1CED1C95" w14:textId="77777777" w:rsidR="00966DAD" w:rsidRPr="00966DAD" w:rsidRDefault="00966DAD">
      <w:pPr>
        <w:pStyle w:val="FootnoteText"/>
      </w:pPr>
      <w:r>
        <w:rPr>
          <w:rStyle w:val="FootnoteReference"/>
        </w:rPr>
        <w:footnoteRef/>
      </w:r>
      <w:r>
        <w:t xml:space="preserve"> </w:t>
      </w:r>
      <w:r w:rsidR="00BC53C0">
        <w:t xml:space="preserve">Sirius </w:t>
      </w:r>
      <w:r>
        <w:t>Objection at 2.</w:t>
      </w:r>
    </w:p>
  </w:footnote>
  <w:footnote w:id="15">
    <w:p w14:paraId="52990927" w14:textId="77777777" w:rsidR="000E7708" w:rsidRDefault="000E7708" w:rsidP="000E7708">
      <w:pPr>
        <w:pStyle w:val="FootnoteText"/>
      </w:pPr>
      <w:r>
        <w:rPr>
          <w:rStyle w:val="FootnoteReference"/>
        </w:rPr>
        <w:footnoteRef/>
      </w:r>
      <w:r>
        <w:t xml:space="preserve"> </w:t>
      </w:r>
      <w:r w:rsidRPr="00541618">
        <w:t>In this inst</w:t>
      </w:r>
      <w:r>
        <w:t>ance, because we find that the interference allegations are better addressed elsewhere</w:t>
      </w:r>
      <w:r w:rsidRPr="00541618">
        <w:t xml:space="preserve">, we need not </w:t>
      </w:r>
      <w:r>
        <w:t>address the merits of the interference allegations or other arguments raised by the parties</w:t>
      </w:r>
      <w:r w:rsidRPr="00541618">
        <w:t>.</w:t>
      </w:r>
    </w:p>
  </w:footnote>
  <w:footnote w:id="16">
    <w:p w14:paraId="5400F043" w14:textId="77777777" w:rsidR="007F3616" w:rsidRDefault="007F3616">
      <w:pPr>
        <w:pStyle w:val="FootnoteText"/>
      </w:pPr>
      <w:r>
        <w:rPr>
          <w:rStyle w:val="FootnoteReference"/>
        </w:rPr>
        <w:footnoteRef/>
      </w:r>
      <w:r>
        <w:t xml:space="preserve"> 47 C.F.R. § 27.64.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B318" w14:textId="77777777" w:rsidR="003C1AF0" w:rsidRDefault="003C1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5F2A" w14:textId="2CFBF780" w:rsidR="002B5D77" w:rsidRPr="009C4E2C" w:rsidRDefault="002B5D77"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w:t>
    </w:r>
    <w:r w:rsidR="00D106B7">
      <w:rPr>
        <w:b/>
      </w:rPr>
      <w:t>6</w:t>
    </w:r>
    <w:r w:rsidRPr="007B568D">
      <w:rPr>
        <w:b/>
      </w:rPr>
      <w:t>-</w:t>
    </w:r>
    <w:r w:rsidR="00DD4DD8">
      <w:rPr>
        <w:b/>
      </w:rPr>
      <w:t>351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9C28" w14:textId="542CB2AA" w:rsidR="002B5D77" w:rsidRPr="007B568D" w:rsidRDefault="002B5D77"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w:t>
    </w:r>
    <w:r w:rsidR="0065739F">
      <w:rPr>
        <w:b/>
      </w:rPr>
      <w:t>6</w:t>
    </w:r>
    <w:r w:rsidRPr="007B568D">
      <w:rPr>
        <w:b/>
      </w:rPr>
      <w:t>-</w:t>
    </w:r>
    <w:r w:rsidR="00DD4DD8">
      <w:rPr>
        <w:b/>
      </w:rPr>
      <w:t>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49FF"/>
    <w:rsid w:val="00005217"/>
    <w:rsid w:val="000066E8"/>
    <w:rsid w:val="00011859"/>
    <w:rsid w:val="0001601F"/>
    <w:rsid w:val="000221EB"/>
    <w:rsid w:val="00024577"/>
    <w:rsid w:val="00033F3B"/>
    <w:rsid w:val="00035864"/>
    <w:rsid w:val="0003658B"/>
    <w:rsid w:val="000509D7"/>
    <w:rsid w:val="00052FD0"/>
    <w:rsid w:val="00054844"/>
    <w:rsid w:val="00054E49"/>
    <w:rsid w:val="0006723F"/>
    <w:rsid w:val="00075C30"/>
    <w:rsid w:val="00087369"/>
    <w:rsid w:val="000934CE"/>
    <w:rsid w:val="000939DD"/>
    <w:rsid w:val="000A3ED3"/>
    <w:rsid w:val="000B15EF"/>
    <w:rsid w:val="000B3B03"/>
    <w:rsid w:val="000B4373"/>
    <w:rsid w:val="000B4563"/>
    <w:rsid w:val="000C117B"/>
    <w:rsid w:val="000D27FD"/>
    <w:rsid w:val="000D68B2"/>
    <w:rsid w:val="000E2E65"/>
    <w:rsid w:val="000E7708"/>
    <w:rsid w:val="000F2CC0"/>
    <w:rsid w:val="000F7EE6"/>
    <w:rsid w:val="001220EF"/>
    <w:rsid w:val="00127F97"/>
    <w:rsid w:val="001330C3"/>
    <w:rsid w:val="001369D0"/>
    <w:rsid w:val="00136F10"/>
    <w:rsid w:val="0015752A"/>
    <w:rsid w:val="00173810"/>
    <w:rsid w:val="00176E3C"/>
    <w:rsid w:val="0018355D"/>
    <w:rsid w:val="0019261E"/>
    <w:rsid w:val="001A4E39"/>
    <w:rsid w:val="001B3CFE"/>
    <w:rsid w:val="001C17E6"/>
    <w:rsid w:val="001D123C"/>
    <w:rsid w:val="001D62DE"/>
    <w:rsid w:val="001E42A3"/>
    <w:rsid w:val="001F1A88"/>
    <w:rsid w:val="001F236F"/>
    <w:rsid w:val="001F701E"/>
    <w:rsid w:val="00203223"/>
    <w:rsid w:val="00213D49"/>
    <w:rsid w:val="00214641"/>
    <w:rsid w:val="00215198"/>
    <w:rsid w:val="002302CA"/>
    <w:rsid w:val="0023508C"/>
    <w:rsid w:val="00235736"/>
    <w:rsid w:val="00240855"/>
    <w:rsid w:val="00244214"/>
    <w:rsid w:val="0024646E"/>
    <w:rsid w:val="00246A09"/>
    <w:rsid w:val="002474BD"/>
    <w:rsid w:val="002520BF"/>
    <w:rsid w:val="0026062C"/>
    <w:rsid w:val="00261B38"/>
    <w:rsid w:val="002622B5"/>
    <w:rsid w:val="002662D7"/>
    <w:rsid w:val="00266A17"/>
    <w:rsid w:val="00280A20"/>
    <w:rsid w:val="0028617A"/>
    <w:rsid w:val="00296281"/>
    <w:rsid w:val="00297DD3"/>
    <w:rsid w:val="002A48A0"/>
    <w:rsid w:val="002A6083"/>
    <w:rsid w:val="002B5D77"/>
    <w:rsid w:val="002B5FF5"/>
    <w:rsid w:val="002C144B"/>
    <w:rsid w:val="002C50A3"/>
    <w:rsid w:val="002D481C"/>
    <w:rsid w:val="002F01DF"/>
    <w:rsid w:val="002F314A"/>
    <w:rsid w:val="002F36F9"/>
    <w:rsid w:val="002F6CE9"/>
    <w:rsid w:val="00303BC5"/>
    <w:rsid w:val="0032150B"/>
    <w:rsid w:val="00324106"/>
    <w:rsid w:val="00326187"/>
    <w:rsid w:val="0032749D"/>
    <w:rsid w:val="003351E4"/>
    <w:rsid w:val="0033628E"/>
    <w:rsid w:val="00337FE6"/>
    <w:rsid w:val="003440EF"/>
    <w:rsid w:val="00347DD6"/>
    <w:rsid w:val="00355529"/>
    <w:rsid w:val="00360F51"/>
    <w:rsid w:val="00367363"/>
    <w:rsid w:val="003722D5"/>
    <w:rsid w:val="00372EC9"/>
    <w:rsid w:val="003749B5"/>
    <w:rsid w:val="00374BCF"/>
    <w:rsid w:val="003841B2"/>
    <w:rsid w:val="00385220"/>
    <w:rsid w:val="00385DB0"/>
    <w:rsid w:val="003924E6"/>
    <w:rsid w:val="003A37C6"/>
    <w:rsid w:val="003C1AF0"/>
    <w:rsid w:val="003D0F35"/>
    <w:rsid w:val="003D15E8"/>
    <w:rsid w:val="003D1C74"/>
    <w:rsid w:val="003D3C3A"/>
    <w:rsid w:val="003D4016"/>
    <w:rsid w:val="003E2653"/>
    <w:rsid w:val="003F457A"/>
    <w:rsid w:val="003F48C3"/>
    <w:rsid w:val="003F56D3"/>
    <w:rsid w:val="00401D81"/>
    <w:rsid w:val="00406CF2"/>
    <w:rsid w:val="004079F9"/>
    <w:rsid w:val="0042325B"/>
    <w:rsid w:val="00425A78"/>
    <w:rsid w:val="00450DD5"/>
    <w:rsid w:val="00457E46"/>
    <w:rsid w:val="00460586"/>
    <w:rsid w:val="00477A3D"/>
    <w:rsid w:val="00477F19"/>
    <w:rsid w:val="00485292"/>
    <w:rsid w:val="00487FBC"/>
    <w:rsid w:val="004930FA"/>
    <w:rsid w:val="00493F76"/>
    <w:rsid w:val="00496B59"/>
    <w:rsid w:val="004A10B4"/>
    <w:rsid w:val="004D5888"/>
    <w:rsid w:val="004D7B29"/>
    <w:rsid w:val="004E5A59"/>
    <w:rsid w:val="004F698A"/>
    <w:rsid w:val="0050568D"/>
    <w:rsid w:val="0052382D"/>
    <w:rsid w:val="00527B02"/>
    <w:rsid w:val="00533B66"/>
    <w:rsid w:val="005360D9"/>
    <w:rsid w:val="00541618"/>
    <w:rsid w:val="005657D1"/>
    <w:rsid w:val="0057044F"/>
    <w:rsid w:val="00582901"/>
    <w:rsid w:val="00590790"/>
    <w:rsid w:val="0059647C"/>
    <w:rsid w:val="00596D13"/>
    <w:rsid w:val="005A3B82"/>
    <w:rsid w:val="005A5F34"/>
    <w:rsid w:val="005B063D"/>
    <w:rsid w:val="005D1F52"/>
    <w:rsid w:val="005D40CB"/>
    <w:rsid w:val="005E657B"/>
    <w:rsid w:val="005E6A2F"/>
    <w:rsid w:val="00610813"/>
    <w:rsid w:val="00611335"/>
    <w:rsid w:val="00631D63"/>
    <w:rsid w:val="00635F00"/>
    <w:rsid w:val="006362BF"/>
    <w:rsid w:val="00636BCA"/>
    <w:rsid w:val="00636E48"/>
    <w:rsid w:val="00637414"/>
    <w:rsid w:val="00642AF1"/>
    <w:rsid w:val="006440FD"/>
    <w:rsid w:val="006454A4"/>
    <w:rsid w:val="0065739F"/>
    <w:rsid w:val="006609AA"/>
    <w:rsid w:val="006713D1"/>
    <w:rsid w:val="00680FEE"/>
    <w:rsid w:val="00681682"/>
    <w:rsid w:val="006825BB"/>
    <w:rsid w:val="006854BB"/>
    <w:rsid w:val="00693854"/>
    <w:rsid w:val="006974AD"/>
    <w:rsid w:val="006B2057"/>
    <w:rsid w:val="006B483C"/>
    <w:rsid w:val="006B57F5"/>
    <w:rsid w:val="006C615E"/>
    <w:rsid w:val="006D167B"/>
    <w:rsid w:val="006D430F"/>
    <w:rsid w:val="006E600C"/>
    <w:rsid w:val="006F541F"/>
    <w:rsid w:val="006F6C9C"/>
    <w:rsid w:val="00716B6F"/>
    <w:rsid w:val="00716BCD"/>
    <w:rsid w:val="00726265"/>
    <w:rsid w:val="00732291"/>
    <w:rsid w:val="00735303"/>
    <w:rsid w:val="00735CD9"/>
    <w:rsid w:val="007423A5"/>
    <w:rsid w:val="00750548"/>
    <w:rsid w:val="0076526B"/>
    <w:rsid w:val="0076699D"/>
    <w:rsid w:val="0077172E"/>
    <w:rsid w:val="007721B7"/>
    <w:rsid w:val="00782B09"/>
    <w:rsid w:val="00790FE3"/>
    <w:rsid w:val="00794A01"/>
    <w:rsid w:val="007A6390"/>
    <w:rsid w:val="007B0F77"/>
    <w:rsid w:val="007B27DC"/>
    <w:rsid w:val="007B4757"/>
    <w:rsid w:val="007B568D"/>
    <w:rsid w:val="007B6252"/>
    <w:rsid w:val="007B787C"/>
    <w:rsid w:val="007C3AD7"/>
    <w:rsid w:val="007D231E"/>
    <w:rsid w:val="007D61CE"/>
    <w:rsid w:val="007E5C62"/>
    <w:rsid w:val="007F3616"/>
    <w:rsid w:val="007F3771"/>
    <w:rsid w:val="00801D4C"/>
    <w:rsid w:val="00807A3C"/>
    <w:rsid w:val="008108FF"/>
    <w:rsid w:val="00812DC3"/>
    <w:rsid w:val="00826450"/>
    <w:rsid w:val="008429E1"/>
    <w:rsid w:val="008430E8"/>
    <w:rsid w:val="0084622D"/>
    <w:rsid w:val="00847CE6"/>
    <w:rsid w:val="00855807"/>
    <w:rsid w:val="0086594C"/>
    <w:rsid w:val="0087020C"/>
    <w:rsid w:val="00873756"/>
    <w:rsid w:val="008818AD"/>
    <w:rsid w:val="0088664E"/>
    <w:rsid w:val="00887A02"/>
    <w:rsid w:val="00893ABD"/>
    <w:rsid w:val="008944CB"/>
    <w:rsid w:val="008970C1"/>
    <w:rsid w:val="008A496B"/>
    <w:rsid w:val="008B4C08"/>
    <w:rsid w:val="008B59A9"/>
    <w:rsid w:val="008C68D6"/>
    <w:rsid w:val="008D5B16"/>
    <w:rsid w:val="008E1091"/>
    <w:rsid w:val="008E2198"/>
    <w:rsid w:val="008E4BA3"/>
    <w:rsid w:val="008F419C"/>
    <w:rsid w:val="008F7541"/>
    <w:rsid w:val="008F7EA7"/>
    <w:rsid w:val="0090245F"/>
    <w:rsid w:val="009061E5"/>
    <w:rsid w:val="00907203"/>
    <w:rsid w:val="00915F4F"/>
    <w:rsid w:val="00916C66"/>
    <w:rsid w:val="0093537B"/>
    <w:rsid w:val="00935E86"/>
    <w:rsid w:val="009369C1"/>
    <w:rsid w:val="009416A2"/>
    <w:rsid w:val="00942494"/>
    <w:rsid w:val="00943408"/>
    <w:rsid w:val="009520DE"/>
    <w:rsid w:val="009546FC"/>
    <w:rsid w:val="00957332"/>
    <w:rsid w:val="00966DAD"/>
    <w:rsid w:val="00976BDD"/>
    <w:rsid w:val="00983436"/>
    <w:rsid w:val="00984EA3"/>
    <w:rsid w:val="00990A18"/>
    <w:rsid w:val="009932EC"/>
    <w:rsid w:val="00995533"/>
    <w:rsid w:val="009B0D16"/>
    <w:rsid w:val="009B1487"/>
    <w:rsid w:val="009B3B88"/>
    <w:rsid w:val="009B7BAD"/>
    <w:rsid w:val="009C4E2C"/>
    <w:rsid w:val="009C521D"/>
    <w:rsid w:val="009D43AC"/>
    <w:rsid w:val="009E04A8"/>
    <w:rsid w:val="00A031EA"/>
    <w:rsid w:val="00A033CC"/>
    <w:rsid w:val="00A036C6"/>
    <w:rsid w:val="00A16942"/>
    <w:rsid w:val="00A21A69"/>
    <w:rsid w:val="00A23B18"/>
    <w:rsid w:val="00A30505"/>
    <w:rsid w:val="00A34305"/>
    <w:rsid w:val="00A34430"/>
    <w:rsid w:val="00A41DC2"/>
    <w:rsid w:val="00A65998"/>
    <w:rsid w:val="00A7124D"/>
    <w:rsid w:val="00A723FB"/>
    <w:rsid w:val="00A74945"/>
    <w:rsid w:val="00A80008"/>
    <w:rsid w:val="00A81589"/>
    <w:rsid w:val="00A832C1"/>
    <w:rsid w:val="00A855BD"/>
    <w:rsid w:val="00A93483"/>
    <w:rsid w:val="00A951EE"/>
    <w:rsid w:val="00AA7024"/>
    <w:rsid w:val="00AB39A2"/>
    <w:rsid w:val="00AB55CB"/>
    <w:rsid w:val="00AC5446"/>
    <w:rsid w:val="00AD0FD2"/>
    <w:rsid w:val="00AE19C7"/>
    <w:rsid w:val="00AE4B5B"/>
    <w:rsid w:val="00AE54B8"/>
    <w:rsid w:val="00AF2CC4"/>
    <w:rsid w:val="00AF7EE5"/>
    <w:rsid w:val="00B00768"/>
    <w:rsid w:val="00B10165"/>
    <w:rsid w:val="00B308A9"/>
    <w:rsid w:val="00B332D5"/>
    <w:rsid w:val="00B33B87"/>
    <w:rsid w:val="00B43A20"/>
    <w:rsid w:val="00B47EDD"/>
    <w:rsid w:val="00B54559"/>
    <w:rsid w:val="00B63DCE"/>
    <w:rsid w:val="00B65CA6"/>
    <w:rsid w:val="00B67B47"/>
    <w:rsid w:val="00B74847"/>
    <w:rsid w:val="00B77B8C"/>
    <w:rsid w:val="00B8150D"/>
    <w:rsid w:val="00B843AA"/>
    <w:rsid w:val="00B92187"/>
    <w:rsid w:val="00B943B0"/>
    <w:rsid w:val="00B9700D"/>
    <w:rsid w:val="00BA4FC1"/>
    <w:rsid w:val="00BA5EA7"/>
    <w:rsid w:val="00BA64ED"/>
    <w:rsid w:val="00BB00BA"/>
    <w:rsid w:val="00BB073D"/>
    <w:rsid w:val="00BC4E79"/>
    <w:rsid w:val="00BC53C0"/>
    <w:rsid w:val="00BC6B04"/>
    <w:rsid w:val="00BD2835"/>
    <w:rsid w:val="00BD2D51"/>
    <w:rsid w:val="00BD47A5"/>
    <w:rsid w:val="00BD7273"/>
    <w:rsid w:val="00BF1951"/>
    <w:rsid w:val="00C04E06"/>
    <w:rsid w:val="00C05EA9"/>
    <w:rsid w:val="00C16626"/>
    <w:rsid w:val="00C17A8C"/>
    <w:rsid w:val="00C47CFC"/>
    <w:rsid w:val="00C5115E"/>
    <w:rsid w:val="00C56627"/>
    <w:rsid w:val="00C609E9"/>
    <w:rsid w:val="00C62009"/>
    <w:rsid w:val="00C6267C"/>
    <w:rsid w:val="00C70508"/>
    <w:rsid w:val="00C7200D"/>
    <w:rsid w:val="00C7209E"/>
    <w:rsid w:val="00C86924"/>
    <w:rsid w:val="00C97AE1"/>
    <w:rsid w:val="00CA0653"/>
    <w:rsid w:val="00CA1685"/>
    <w:rsid w:val="00CA4A0B"/>
    <w:rsid w:val="00CA7E3E"/>
    <w:rsid w:val="00CA7E9A"/>
    <w:rsid w:val="00CB07CA"/>
    <w:rsid w:val="00CB2536"/>
    <w:rsid w:val="00CB6C81"/>
    <w:rsid w:val="00CC78CD"/>
    <w:rsid w:val="00CD373A"/>
    <w:rsid w:val="00CE2CDF"/>
    <w:rsid w:val="00CE33E3"/>
    <w:rsid w:val="00CE675A"/>
    <w:rsid w:val="00CE6828"/>
    <w:rsid w:val="00CE752D"/>
    <w:rsid w:val="00D0657D"/>
    <w:rsid w:val="00D106B7"/>
    <w:rsid w:val="00D31A6D"/>
    <w:rsid w:val="00D5099C"/>
    <w:rsid w:val="00D5670F"/>
    <w:rsid w:val="00D67C38"/>
    <w:rsid w:val="00D74D07"/>
    <w:rsid w:val="00D90935"/>
    <w:rsid w:val="00DA193F"/>
    <w:rsid w:val="00DA4E3F"/>
    <w:rsid w:val="00DA5BCD"/>
    <w:rsid w:val="00DB09DB"/>
    <w:rsid w:val="00DB29C8"/>
    <w:rsid w:val="00DC6BE7"/>
    <w:rsid w:val="00DD4DD8"/>
    <w:rsid w:val="00DE307E"/>
    <w:rsid w:val="00DE4CAD"/>
    <w:rsid w:val="00DF21AF"/>
    <w:rsid w:val="00E00365"/>
    <w:rsid w:val="00E2072C"/>
    <w:rsid w:val="00E25232"/>
    <w:rsid w:val="00E55371"/>
    <w:rsid w:val="00E6109B"/>
    <w:rsid w:val="00E67FD1"/>
    <w:rsid w:val="00E7074C"/>
    <w:rsid w:val="00E757B8"/>
    <w:rsid w:val="00E81B90"/>
    <w:rsid w:val="00E84033"/>
    <w:rsid w:val="00E86A07"/>
    <w:rsid w:val="00E93D2A"/>
    <w:rsid w:val="00EA12E6"/>
    <w:rsid w:val="00EA2DD1"/>
    <w:rsid w:val="00EA7B21"/>
    <w:rsid w:val="00EA7E71"/>
    <w:rsid w:val="00EC2405"/>
    <w:rsid w:val="00EC3F66"/>
    <w:rsid w:val="00EC514D"/>
    <w:rsid w:val="00EC6E0E"/>
    <w:rsid w:val="00ED7B9E"/>
    <w:rsid w:val="00EE5C79"/>
    <w:rsid w:val="00EE70BB"/>
    <w:rsid w:val="00EF01C0"/>
    <w:rsid w:val="00EF51BB"/>
    <w:rsid w:val="00EF596A"/>
    <w:rsid w:val="00EF5BC7"/>
    <w:rsid w:val="00F0362B"/>
    <w:rsid w:val="00F03DAE"/>
    <w:rsid w:val="00F04277"/>
    <w:rsid w:val="00F21340"/>
    <w:rsid w:val="00F46CAB"/>
    <w:rsid w:val="00F657C5"/>
    <w:rsid w:val="00F70752"/>
    <w:rsid w:val="00F75E91"/>
    <w:rsid w:val="00F77510"/>
    <w:rsid w:val="00F81F45"/>
    <w:rsid w:val="00F84A5B"/>
    <w:rsid w:val="00F85F9B"/>
    <w:rsid w:val="00F94DFF"/>
    <w:rsid w:val="00FA122A"/>
    <w:rsid w:val="00FA29A2"/>
    <w:rsid w:val="00FC22C2"/>
    <w:rsid w:val="00FC3EA8"/>
    <w:rsid w:val="00FC415F"/>
    <w:rsid w:val="00FD451E"/>
    <w:rsid w:val="00FD4D15"/>
    <w:rsid w:val="00FE1DFB"/>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41"/>
    <o:shapelayout v:ext="edit">
      <o:idmap v:ext="edit" data="1"/>
    </o:shapelayout>
  </w:shapeDefaults>
  <w:decimalSymbol w:val="."/>
  <w:listSeparator w:val=","/>
  <w14:docId w14:val="168C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qFormat/>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7,Style 4,Footnote Reference1"/>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HeaderChar">
    <w:name w:val="Header Char"/>
    <w:link w:val="Header"/>
    <w:rsid w:val="00FF56BF"/>
    <w:rPr>
      <w:sz w:val="22"/>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fn Char"/>
    <w:rsid w:val="007A6390"/>
    <w:rPr>
      <w:snapToGrid w:val="0"/>
      <w:lang w:val="en-US" w:eastAsia="en-US" w:bidi="ar-SA"/>
    </w:rPr>
  </w:style>
  <w:style w:type="character" w:customStyle="1" w:styleId="displayhltextactive">
    <w:name w:val="display_hl_text_active"/>
    <w:basedOn w:val="DefaultParagraphFont"/>
    <w:rsid w:val="00C05EA9"/>
  </w:style>
  <w:style w:type="character" w:customStyle="1" w:styleId="apple-converted-space">
    <w:name w:val="apple-converted-space"/>
    <w:basedOn w:val="DefaultParagraphFont"/>
    <w:rsid w:val="00C05EA9"/>
  </w:style>
  <w:style w:type="character" w:customStyle="1" w:styleId="displayhltext">
    <w:name w:val="display_hl_text"/>
    <w:basedOn w:val="DefaultParagraphFont"/>
    <w:rsid w:val="00C0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qFormat/>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7,Style 4,Footnote Reference1"/>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HeaderChar">
    <w:name w:val="Header Char"/>
    <w:link w:val="Header"/>
    <w:rsid w:val="00FF56BF"/>
    <w:rPr>
      <w:sz w:val="22"/>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fn Char"/>
    <w:rsid w:val="007A6390"/>
    <w:rPr>
      <w:snapToGrid w:val="0"/>
      <w:lang w:val="en-US" w:eastAsia="en-US" w:bidi="ar-SA"/>
    </w:rPr>
  </w:style>
  <w:style w:type="character" w:customStyle="1" w:styleId="displayhltextactive">
    <w:name w:val="display_hl_text_active"/>
    <w:basedOn w:val="DefaultParagraphFont"/>
    <w:rsid w:val="00C05EA9"/>
  </w:style>
  <w:style w:type="character" w:customStyle="1" w:styleId="apple-converted-space">
    <w:name w:val="apple-converted-space"/>
    <w:basedOn w:val="DefaultParagraphFont"/>
    <w:rsid w:val="00C05EA9"/>
  </w:style>
  <w:style w:type="character" w:customStyle="1" w:styleId="displayhltext">
    <w:name w:val="display_hl_text"/>
    <w:basedOn w:val="DefaultParagraphFont"/>
    <w:rsid w:val="00C0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4615</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2012-12-18T17:32:00Z</cp:lastPrinted>
  <dcterms:created xsi:type="dcterms:W3CDTF">2016-04-04T16:59:00Z</dcterms:created>
  <dcterms:modified xsi:type="dcterms:W3CDTF">2016-04-04T16:59:00Z</dcterms:modified>
  <cp:category> </cp:category>
  <cp:contentStatus> </cp:contentStatus>
</cp:coreProperties>
</file>