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2D4CE9" w:rsidRDefault="00C81BA2">
      <w:pPr>
        <w:pStyle w:val="Header"/>
        <w:tabs>
          <w:tab w:val="clear" w:pos="4320"/>
          <w:tab w:val="clear" w:pos="8640"/>
        </w:tabs>
        <w:rPr>
          <w:szCs w:val="22"/>
        </w:rPr>
        <w:sectPr w:rsidR="0046747F" w:rsidRPr="002D4CE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sidRPr="002D4CE9">
        <w:rPr>
          <w:szCs w:val="22"/>
        </w:rPr>
        <w:t xml:space="preserve"> </w:t>
      </w:r>
      <w:r w:rsidR="0046747F" w:rsidRPr="002D4CE9">
        <w:rPr>
          <w:szCs w:val="22"/>
        </w:rPr>
        <w:t xml:space="preserve"> </w:t>
      </w:r>
    </w:p>
    <w:p w:rsidR="0053505C" w:rsidRPr="0053505C" w:rsidRDefault="0055075F" w:rsidP="0053505C">
      <w:pPr>
        <w:widowControl w:val="0"/>
        <w:ind w:left="7200" w:firstLine="720"/>
        <w:rPr>
          <w:b/>
          <w:snapToGrid w:val="0"/>
          <w:kern w:val="28"/>
          <w:sz w:val="24"/>
        </w:rPr>
      </w:pPr>
      <w:r>
        <w:rPr>
          <w:b/>
          <w:snapToGrid w:val="0"/>
          <w:kern w:val="28"/>
          <w:sz w:val="24"/>
        </w:rPr>
        <w:lastRenderedPageBreak/>
        <w:t xml:space="preserve">  </w:t>
      </w:r>
      <w:r w:rsidR="00690322">
        <w:rPr>
          <w:b/>
          <w:snapToGrid w:val="0"/>
          <w:kern w:val="28"/>
          <w:sz w:val="24"/>
        </w:rPr>
        <w:t xml:space="preserve">   </w:t>
      </w:r>
      <w:r w:rsidR="0053505C" w:rsidRPr="0053505C">
        <w:rPr>
          <w:b/>
          <w:snapToGrid w:val="0"/>
          <w:kern w:val="28"/>
          <w:sz w:val="24"/>
        </w:rPr>
        <w:t>DA 16-</w:t>
      </w:r>
      <w:r>
        <w:rPr>
          <w:b/>
          <w:snapToGrid w:val="0"/>
          <w:kern w:val="28"/>
          <w:sz w:val="24"/>
        </w:rPr>
        <w:t>353</w:t>
      </w:r>
    </w:p>
    <w:p w:rsidR="0053505C" w:rsidRPr="0053505C" w:rsidRDefault="0053505C" w:rsidP="0053505C">
      <w:pPr>
        <w:widowControl w:val="0"/>
        <w:spacing w:before="60"/>
        <w:jc w:val="right"/>
        <w:rPr>
          <w:b/>
          <w:snapToGrid w:val="0"/>
          <w:kern w:val="28"/>
          <w:sz w:val="24"/>
        </w:rPr>
      </w:pPr>
      <w:r w:rsidRPr="0053505C">
        <w:rPr>
          <w:b/>
          <w:snapToGrid w:val="0"/>
          <w:kern w:val="28"/>
          <w:sz w:val="24"/>
        </w:rPr>
        <w:t xml:space="preserve">April </w:t>
      </w:r>
      <w:r w:rsidR="00741454">
        <w:rPr>
          <w:b/>
          <w:snapToGrid w:val="0"/>
          <w:kern w:val="28"/>
          <w:sz w:val="24"/>
        </w:rPr>
        <w:t>4</w:t>
      </w:r>
      <w:r w:rsidRPr="0053505C">
        <w:rPr>
          <w:b/>
          <w:snapToGrid w:val="0"/>
          <w:kern w:val="28"/>
          <w:sz w:val="24"/>
        </w:rPr>
        <w:t>, 2016</w:t>
      </w:r>
    </w:p>
    <w:p w:rsidR="0053505C" w:rsidRPr="0053505C" w:rsidRDefault="0053505C" w:rsidP="0053505C">
      <w:pPr>
        <w:widowControl w:val="0"/>
        <w:jc w:val="right"/>
        <w:rPr>
          <w:snapToGrid w:val="0"/>
          <w:kern w:val="28"/>
          <w:sz w:val="24"/>
        </w:rPr>
      </w:pPr>
    </w:p>
    <w:p w:rsidR="0053505C" w:rsidRPr="0053505C" w:rsidRDefault="0053505C" w:rsidP="0053505C">
      <w:pPr>
        <w:jc w:val="center"/>
        <w:rPr>
          <w:b/>
          <w:bCs/>
        </w:rPr>
      </w:pPr>
      <w:r w:rsidRPr="0053505C">
        <w:rPr>
          <w:b/>
          <w:bCs/>
        </w:rPr>
        <w:t xml:space="preserve">DOMESTIC SECTION 214 APPLICATION FILED FOR THE TRANSFER OF CONTROL OF MOULTRIE MULTICORP, INC. AND ITS SUBSIDARIES </w:t>
      </w:r>
    </w:p>
    <w:p w:rsidR="0053505C" w:rsidRPr="0053505C" w:rsidRDefault="0053505C" w:rsidP="0053505C">
      <w:pPr>
        <w:widowControl w:val="0"/>
        <w:spacing w:after="240"/>
        <w:jc w:val="center"/>
        <w:rPr>
          <w:rFonts w:ascii="Times New Roman Bold" w:hAnsi="Times New Roman Bold"/>
          <w:b/>
          <w:caps/>
          <w:snapToGrid w:val="0"/>
          <w:kern w:val="28"/>
          <w:sz w:val="24"/>
        </w:rPr>
      </w:pPr>
      <w:r w:rsidRPr="0053505C">
        <w:rPr>
          <w:b/>
          <w:bCs/>
        </w:rPr>
        <w:t>TO SHAWNEE COMMUNICATIONS, INC.</w:t>
      </w:r>
    </w:p>
    <w:p w:rsidR="0053505C" w:rsidRPr="0053505C" w:rsidRDefault="0053505C" w:rsidP="0053505C">
      <w:pPr>
        <w:widowControl w:val="0"/>
        <w:spacing w:after="240"/>
        <w:jc w:val="center"/>
        <w:rPr>
          <w:b/>
          <w:snapToGrid w:val="0"/>
          <w:kern w:val="28"/>
          <w:sz w:val="24"/>
        </w:rPr>
      </w:pPr>
      <w:r w:rsidRPr="0053505C">
        <w:rPr>
          <w:b/>
          <w:snapToGrid w:val="0"/>
          <w:kern w:val="28"/>
          <w:sz w:val="24"/>
        </w:rPr>
        <w:t>STREAMLINED PLEADING CYCLE ESTABLISHED</w:t>
      </w:r>
    </w:p>
    <w:p w:rsidR="0053505C" w:rsidRPr="0053505C" w:rsidRDefault="0053505C" w:rsidP="0053505C">
      <w:pPr>
        <w:widowControl w:val="0"/>
        <w:jc w:val="center"/>
        <w:rPr>
          <w:b/>
          <w:snapToGrid w:val="0"/>
          <w:kern w:val="28"/>
          <w:sz w:val="24"/>
        </w:rPr>
      </w:pPr>
      <w:r w:rsidRPr="0053505C">
        <w:rPr>
          <w:b/>
          <w:snapToGrid w:val="0"/>
          <w:kern w:val="28"/>
          <w:sz w:val="24"/>
        </w:rPr>
        <w:t>WC Docket No. 16-95</w:t>
      </w:r>
    </w:p>
    <w:p w:rsidR="0053505C" w:rsidRPr="0053505C" w:rsidRDefault="0053505C" w:rsidP="0053505C">
      <w:pPr>
        <w:widowControl w:val="0"/>
        <w:jc w:val="center"/>
        <w:rPr>
          <w:szCs w:val="22"/>
        </w:rPr>
      </w:pPr>
    </w:p>
    <w:p w:rsidR="0053505C" w:rsidRPr="0053505C" w:rsidRDefault="0053505C" w:rsidP="0053505C">
      <w:pPr>
        <w:rPr>
          <w:b/>
          <w:szCs w:val="22"/>
        </w:rPr>
      </w:pPr>
      <w:r w:rsidRPr="0053505C">
        <w:rPr>
          <w:b/>
          <w:szCs w:val="22"/>
        </w:rPr>
        <w:t xml:space="preserve">Comments Due:  April </w:t>
      </w:r>
      <w:r w:rsidR="00D319D8">
        <w:rPr>
          <w:b/>
          <w:szCs w:val="22"/>
        </w:rPr>
        <w:t>18</w:t>
      </w:r>
      <w:r w:rsidRPr="0053505C">
        <w:rPr>
          <w:b/>
          <w:szCs w:val="22"/>
        </w:rPr>
        <w:t>, 2016</w:t>
      </w:r>
    </w:p>
    <w:p w:rsidR="0053505C" w:rsidRPr="0053505C" w:rsidRDefault="0053505C" w:rsidP="0053505C">
      <w:pPr>
        <w:rPr>
          <w:b/>
          <w:szCs w:val="22"/>
        </w:rPr>
      </w:pPr>
      <w:r w:rsidRPr="0053505C">
        <w:rPr>
          <w:b/>
          <w:szCs w:val="22"/>
        </w:rPr>
        <w:t>Reply Comments Due:  April 2</w:t>
      </w:r>
      <w:r w:rsidR="00D319D8">
        <w:rPr>
          <w:b/>
          <w:szCs w:val="22"/>
        </w:rPr>
        <w:t>5</w:t>
      </w:r>
      <w:r w:rsidRPr="0053505C">
        <w:rPr>
          <w:b/>
          <w:szCs w:val="22"/>
        </w:rPr>
        <w:t>, 2016</w:t>
      </w:r>
    </w:p>
    <w:p w:rsidR="0053505C" w:rsidRPr="0053505C" w:rsidRDefault="0053505C" w:rsidP="0053505C">
      <w:pPr>
        <w:widowControl w:val="0"/>
        <w:jc w:val="center"/>
        <w:rPr>
          <w:snapToGrid w:val="0"/>
          <w:kern w:val="28"/>
          <w:sz w:val="24"/>
        </w:rPr>
      </w:pPr>
    </w:p>
    <w:p w:rsidR="0053505C" w:rsidRPr="0053505C" w:rsidRDefault="0053505C" w:rsidP="0053505C">
      <w:pPr>
        <w:autoSpaceDE w:val="0"/>
        <w:autoSpaceDN w:val="0"/>
        <w:adjustRightInd w:val="0"/>
        <w:ind w:firstLine="720"/>
        <w:rPr>
          <w:color w:val="2D2A2B"/>
          <w:szCs w:val="22"/>
        </w:rPr>
      </w:pPr>
      <w:r w:rsidRPr="0053505C">
        <w:rPr>
          <w:color w:val="2D2A2B"/>
          <w:szCs w:val="22"/>
        </w:rPr>
        <w:t xml:space="preserve">David A. Bowers, Steven G. Bowers and Stuart D. Bowers (collectively, the Bowers family), and Shawnee Communications, Inc. (Shawnee) </w:t>
      </w:r>
      <w:r w:rsidRPr="0053505C">
        <w:rPr>
          <w:szCs w:val="22"/>
        </w:rPr>
        <w:t xml:space="preserve">(together, Applicants) filed an application pursuant to section 214 of the Communications Act of 1934, as amended, and section 63.03 of the Commission’s rules, requesting approval to transfer control of </w:t>
      </w:r>
      <w:r w:rsidRPr="0053505C">
        <w:rPr>
          <w:color w:val="2D2A2B"/>
          <w:szCs w:val="22"/>
        </w:rPr>
        <w:t>Moultrie MultiCorp, Inc. (MMCI) and its wholly owned subsidiaries Moultrie Independent Telephone Company (MITCO) and Moultrie InfoComm, Inc. (MICI) from the Bowers family to Shawnee</w:t>
      </w:r>
      <w:r w:rsidRPr="0053505C">
        <w:rPr>
          <w:szCs w:val="22"/>
        </w:rPr>
        <w:t>.</w:t>
      </w:r>
      <w:r w:rsidRPr="0053505C">
        <w:rPr>
          <w:szCs w:val="22"/>
          <w:vertAlign w:val="superscript"/>
        </w:rPr>
        <w:footnoteReference w:id="1"/>
      </w:r>
      <w:r w:rsidRPr="0053505C">
        <w:rPr>
          <w:szCs w:val="22"/>
        </w:rPr>
        <w:t xml:space="preserve"> </w:t>
      </w:r>
    </w:p>
    <w:p w:rsidR="0053505C" w:rsidRPr="0053505C" w:rsidRDefault="0053505C" w:rsidP="0053505C">
      <w:pPr>
        <w:autoSpaceDE w:val="0"/>
        <w:autoSpaceDN w:val="0"/>
        <w:adjustRightInd w:val="0"/>
        <w:rPr>
          <w:color w:val="2D2A2B"/>
          <w:sz w:val="23"/>
          <w:szCs w:val="23"/>
        </w:rPr>
      </w:pPr>
    </w:p>
    <w:p w:rsidR="0053505C" w:rsidRPr="0053505C" w:rsidRDefault="0053505C" w:rsidP="0053505C">
      <w:pPr>
        <w:autoSpaceDE w:val="0"/>
        <w:autoSpaceDN w:val="0"/>
        <w:adjustRightInd w:val="0"/>
        <w:ind w:firstLine="720"/>
        <w:rPr>
          <w:color w:val="2D292A"/>
          <w:szCs w:val="22"/>
        </w:rPr>
      </w:pPr>
      <w:r w:rsidRPr="0053505C">
        <w:rPr>
          <w:color w:val="2D2A2B"/>
          <w:szCs w:val="22"/>
        </w:rPr>
        <w:t xml:space="preserve">MITCO, an Illinois corporation, provides local exchange service and exchange access service as an incumbent local exchange carrier (LEC) in a single rural exchange (the Lovington exchange) in Moultrie </w:t>
      </w:r>
      <w:r w:rsidRPr="0053505C">
        <w:rPr>
          <w:color w:val="262223"/>
          <w:szCs w:val="22"/>
        </w:rPr>
        <w:t>County in central Illinois.  MICI resells interstate and intrastate long distance toll services in</w:t>
      </w:r>
      <w:r w:rsidRPr="0053505C">
        <w:rPr>
          <w:color w:val="2D2A2B"/>
          <w:szCs w:val="22"/>
        </w:rPr>
        <w:t xml:space="preserve"> </w:t>
      </w:r>
      <w:r w:rsidRPr="0053505C">
        <w:rPr>
          <w:color w:val="262223"/>
          <w:szCs w:val="22"/>
        </w:rPr>
        <w:t xml:space="preserve">MITCO's local exchange service area.  </w:t>
      </w:r>
      <w:r w:rsidRPr="0053505C">
        <w:rPr>
          <w:color w:val="4D4A4A"/>
          <w:szCs w:val="22"/>
        </w:rPr>
        <w:t xml:space="preserve">MMCI </w:t>
      </w:r>
      <w:r w:rsidRPr="0053505C">
        <w:rPr>
          <w:color w:val="3E3B3B"/>
          <w:szCs w:val="22"/>
        </w:rPr>
        <w:t xml:space="preserve">is a holding company </w:t>
      </w:r>
      <w:r w:rsidRPr="0053505C">
        <w:rPr>
          <w:color w:val="4D4A4A"/>
          <w:szCs w:val="22"/>
        </w:rPr>
        <w:t xml:space="preserve">that does </w:t>
      </w:r>
      <w:r w:rsidRPr="0053505C">
        <w:rPr>
          <w:color w:val="3E3B3B"/>
          <w:szCs w:val="22"/>
        </w:rPr>
        <w:t xml:space="preserve">not </w:t>
      </w:r>
      <w:r w:rsidRPr="0053505C">
        <w:rPr>
          <w:color w:val="2F2B2C"/>
          <w:szCs w:val="22"/>
        </w:rPr>
        <w:t>directl</w:t>
      </w:r>
      <w:r w:rsidRPr="0053505C">
        <w:rPr>
          <w:color w:val="4D4A4A"/>
          <w:szCs w:val="22"/>
        </w:rPr>
        <w:t xml:space="preserve">y </w:t>
      </w:r>
      <w:r w:rsidRPr="0053505C">
        <w:rPr>
          <w:color w:val="2F2B2C"/>
          <w:szCs w:val="22"/>
        </w:rPr>
        <w:t>provid</w:t>
      </w:r>
      <w:r w:rsidRPr="0053505C">
        <w:rPr>
          <w:color w:val="4D4A4A"/>
          <w:szCs w:val="22"/>
        </w:rPr>
        <w:t xml:space="preserve">e </w:t>
      </w:r>
      <w:r w:rsidRPr="0053505C">
        <w:rPr>
          <w:color w:val="2F2B2C"/>
          <w:szCs w:val="22"/>
        </w:rPr>
        <w:t>d</w:t>
      </w:r>
      <w:r w:rsidRPr="0053505C">
        <w:rPr>
          <w:color w:val="4D4A4A"/>
          <w:szCs w:val="22"/>
        </w:rPr>
        <w:t xml:space="preserve">omestic </w:t>
      </w:r>
      <w:r w:rsidRPr="0053505C">
        <w:rPr>
          <w:color w:val="3E3B3B"/>
          <w:szCs w:val="22"/>
        </w:rPr>
        <w:t xml:space="preserve">telecommunications </w:t>
      </w:r>
      <w:r w:rsidRPr="0053505C">
        <w:rPr>
          <w:color w:val="4D4A4A"/>
          <w:szCs w:val="22"/>
        </w:rPr>
        <w:t>services.</w:t>
      </w:r>
      <w:r w:rsidRPr="0053505C">
        <w:rPr>
          <w:color w:val="4D4A4A"/>
          <w:szCs w:val="22"/>
          <w:vertAlign w:val="superscript"/>
        </w:rPr>
        <w:footnoteReference w:id="2"/>
      </w:r>
      <w:r w:rsidRPr="0053505C">
        <w:rPr>
          <w:color w:val="4D4A4A"/>
          <w:szCs w:val="22"/>
        </w:rPr>
        <w:t xml:space="preserve">  One-E</w:t>
      </w:r>
      <w:r w:rsidRPr="0053505C">
        <w:rPr>
          <w:color w:val="2F2B2C"/>
          <w:szCs w:val="22"/>
        </w:rPr>
        <w:t>le</w:t>
      </w:r>
      <w:r w:rsidRPr="0053505C">
        <w:rPr>
          <w:color w:val="4D4A4A"/>
          <w:szCs w:val="22"/>
        </w:rPr>
        <w:t>v</w:t>
      </w:r>
      <w:r w:rsidRPr="0053505C">
        <w:rPr>
          <w:color w:val="2F2B2C"/>
          <w:szCs w:val="22"/>
        </w:rPr>
        <w:t>en Internet S</w:t>
      </w:r>
      <w:r w:rsidRPr="0053505C">
        <w:rPr>
          <w:color w:val="4D4A4A"/>
          <w:szCs w:val="22"/>
        </w:rPr>
        <w:t>erv</w:t>
      </w:r>
      <w:r w:rsidRPr="0053505C">
        <w:rPr>
          <w:color w:val="2F2B2C"/>
          <w:szCs w:val="22"/>
        </w:rPr>
        <w:t>ic</w:t>
      </w:r>
      <w:r w:rsidRPr="0053505C">
        <w:rPr>
          <w:color w:val="4D4A4A"/>
          <w:szCs w:val="22"/>
        </w:rPr>
        <w:t xml:space="preserve">es, </w:t>
      </w:r>
      <w:r w:rsidRPr="0053505C">
        <w:rPr>
          <w:color w:val="3E3B3B"/>
          <w:szCs w:val="22"/>
        </w:rPr>
        <w:t xml:space="preserve">Inc., </w:t>
      </w:r>
      <w:r w:rsidRPr="0053505C">
        <w:rPr>
          <w:color w:val="4D4A4A"/>
          <w:szCs w:val="22"/>
        </w:rPr>
        <w:t xml:space="preserve">an </w:t>
      </w:r>
      <w:r w:rsidRPr="0053505C">
        <w:rPr>
          <w:color w:val="3E3B3B"/>
          <w:szCs w:val="22"/>
        </w:rPr>
        <w:t xml:space="preserve">Illinois corporation </w:t>
      </w:r>
      <w:r w:rsidRPr="0053505C">
        <w:rPr>
          <w:color w:val="2F2B2C"/>
          <w:szCs w:val="22"/>
        </w:rPr>
        <w:t xml:space="preserve">and </w:t>
      </w:r>
      <w:r w:rsidRPr="0053505C">
        <w:rPr>
          <w:color w:val="3E3B3B"/>
          <w:szCs w:val="22"/>
        </w:rPr>
        <w:t xml:space="preserve">wholly owned </w:t>
      </w:r>
      <w:r w:rsidRPr="0053505C">
        <w:rPr>
          <w:color w:val="4D4A4A"/>
          <w:szCs w:val="22"/>
        </w:rPr>
        <w:t>subsi</w:t>
      </w:r>
      <w:r w:rsidRPr="0053505C">
        <w:rPr>
          <w:color w:val="2F2B2C"/>
          <w:szCs w:val="22"/>
        </w:rPr>
        <w:t>diary of</w:t>
      </w:r>
      <w:r w:rsidRPr="0053505C">
        <w:rPr>
          <w:color w:val="3E3B3B"/>
          <w:szCs w:val="22"/>
        </w:rPr>
        <w:t xml:space="preserve"> MMCI, provides </w:t>
      </w:r>
      <w:r w:rsidRPr="0053505C">
        <w:rPr>
          <w:color w:val="2F2B2C"/>
          <w:szCs w:val="22"/>
        </w:rPr>
        <w:t xml:space="preserve">wireless </w:t>
      </w:r>
      <w:r w:rsidRPr="0053505C">
        <w:rPr>
          <w:color w:val="3E3B3B"/>
          <w:szCs w:val="22"/>
        </w:rPr>
        <w:t xml:space="preserve">and digital </w:t>
      </w:r>
      <w:r w:rsidRPr="0053505C">
        <w:rPr>
          <w:color w:val="4D4A4A"/>
          <w:szCs w:val="22"/>
        </w:rPr>
        <w:t xml:space="preserve">subscriber </w:t>
      </w:r>
      <w:r w:rsidRPr="0053505C">
        <w:rPr>
          <w:color w:val="2F2B2C"/>
          <w:szCs w:val="22"/>
        </w:rPr>
        <w:t>line (DSL) Int</w:t>
      </w:r>
      <w:r w:rsidRPr="0053505C">
        <w:rPr>
          <w:color w:val="4D4A4A"/>
          <w:szCs w:val="22"/>
        </w:rPr>
        <w:t>erne</w:t>
      </w:r>
      <w:r w:rsidRPr="0053505C">
        <w:rPr>
          <w:color w:val="2F2B2C"/>
          <w:szCs w:val="22"/>
        </w:rPr>
        <w:t xml:space="preserve">t </w:t>
      </w:r>
      <w:r w:rsidRPr="0053505C">
        <w:rPr>
          <w:color w:val="4D4A4A"/>
          <w:szCs w:val="22"/>
        </w:rPr>
        <w:t xml:space="preserve">access services </w:t>
      </w:r>
      <w:r w:rsidRPr="0053505C">
        <w:rPr>
          <w:color w:val="3E3B3B"/>
          <w:szCs w:val="22"/>
        </w:rPr>
        <w:t xml:space="preserve">in and </w:t>
      </w:r>
      <w:r w:rsidRPr="0053505C">
        <w:rPr>
          <w:color w:val="4D4A4A"/>
          <w:szCs w:val="22"/>
        </w:rPr>
        <w:t xml:space="preserve">around </w:t>
      </w:r>
      <w:r w:rsidRPr="0053505C">
        <w:rPr>
          <w:color w:val="3E3B3B"/>
          <w:szCs w:val="22"/>
        </w:rPr>
        <w:t xml:space="preserve">Lovington.  </w:t>
      </w:r>
      <w:r w:rsidRPr="0053505C">
        <w:rPr>
          <w:color w:val="4D4A4A"/>
          <w:szCs w:val="22"/>
        </w:rPr>
        <w:t xml:space="preserve">Moultrie </w:t>
      </w:r>
      <w:r w:rsidRPr="0053505C">
        <w:rPr>
          <w:color w:val="3E3B3B"/>
          <w:szCs w:val="22"/>
        </w:rPr>
        <w:t xml:space="preserve">Telecommunications, Inc., </w:t>
      </w:r>
      <w:r w:rsidRPr="0053505C">
        <w:rPr>
          <w:color w:val="4D4A4A"/>
          <w:szCs w:val="22"/>
        </w:rPr>
        <w:t>an affi</w:t>
      </w:r>
      <w:r w:rsidRPr="0053505C">
        <w:rPr>
          <w:color w:val="2F2B2C"/>
          <w:szCs w:val="22"/>
        </w:rPr>
        <w:t>lia</w:t>
      </w:r>
      <w:r w:rsidRPr="0053505C">
        <w:rPr>
          <w:color w:val="4D4A4A"/>
          <w:szCs w:val="22"/>
        </w:rPr>
        <w:t>te</w:t>
      </w:r>
      <w:r w:rsidRPr="0053505C">
        <w:rPr>
          <w:color w:val="2F2B2C"/>
          <w:szCs w:val="22"/>
        </w:rPr>
        <w:t xml:space="preserve">d Illinois </w:t>
      </w:r>
      <w:r w:rsidRPr="0053505C">
        <w:rPr>
          <w:color w:val="4D4A4A"/>
          <w:szCs w:val="22"/>
        </w:rPr>
        <w:t xml:space="preserve">corporation, </w:t>
      </w:r>
      <w:r w:rsidRPr="0053505C">
        <w:rPr>
          <w:color w:val="3E3B3B"/>
          <w:szCs w:val="22"/>
        </w:rPr>
        <w:t xml:space="preserve">provides cable television </w:t>
      </w:r>
      <w:r w:rsidRPr="0053505C">
        <w:rPr>
          <w:color w:val="4D4A4A"/>
          <w:szCs w:val="22"/>
        </w:rPr>
        <w:t xml:space="preserve">service </w:t>
      </w:r>
      <w:r w:rsidRPr="0053505C">
        <w:rPr>
          <w:color w:val="2F2B2C"/>
          <w:szCs w:val="22"/>
        </w:rPr>
        <w:t xml:space="preserve">in </w:t>
      </w:r>
      <w:r w:rsidRPr="0053505C">
        <w:rPr>
          <w:color w:val="3E3B3B"/>
          <w:szCs w:val="22"/>
        </w:rPr>
        <w:t xml:space="preserve">the Lovington </w:t>
      </w:r>
      <w:r w:rsidRPr="0053505C">
        <w:rPr>
          <w:color w:val="4D4A4A"/>
          <w:szCs w:val="22"/>
        </w:rPr>
        <w:t>area.</w:t>
      </w:r>
      <w:r w:rsidRPr="0053505C">
        <w:rPr>
          <w:color w:val="2D292A"/>
          <w:szCs w:val="22"/>
          <w:vertAlign w:val="superscript"/>
        </w:rPr>
        <w:footnoteReference w:id="3"/>
      </w:r>
    </w:p>
    <w:p w:rsidR="0053505C" w:rsidRPr="0053505C" w:rsidRDefault="0053505C" w:rsidP="0053505C">
      <w:pPr>
        <w:autoSpaceDE w:val="0"/>
        <w:autoSpaceDN w:val="0"/>
        <w:adjustRightInd w:val="0"/>
        <w:ind w:firstLine="720"/>
        <w:rPr>
          <w:color w:val="262223"/>
          <w:szCs w:val="22"/>
        </w:rPr>
      </w:pPr>
      <w:r w:rsidRPr="0053505C">
        <w:rPr>
          <w:color w:val="262223"/>
          <w:szCs w:val="22"/>
        </w:rPr>
        <w:lastRenderedPageBreak/>
        <w:t>Shawnee, an Illinois corporation serving primarily as a holding company, wholly owns Shawnee Telephone Company (STC), an Illinois corporation, which is an incumbent LEC serving nine rural exchanges (Cave-in-Rock, Eddyville, Elizabethtown, Equality, Hicks, Leamington, Renshaw, Rosiclare and Simpson) in Gallatin, Hardin, Pope and Johnson Counties in southeastern Illinois.  ShawneeLink Corporation, an Illinois corporation and wholly owned subsidiary of Shawnee, resells intrastate and interstate toll services and provides Internet access services to customers located in and around STC’s local exchange access areas.  ShawneeLEC, also an Illinois corporation and wholly owned subsidiary of Shawnee, provides local exchange service and exchange access service as a competitive LEC in four rural exchanges in and around the communities of Eldorado, Golconda, Anna and Vienna in Johnson and Saline Counties in southeastern Illinois. Applicants state that Shawnee holds a 33.54 percent member interest in SI Wireless LLC, an Illinois limited liability company that provides cellular service in Illinois, Kentucky and Illinois.</w:t>
      </w:r>
      <w:r w:rsidRPr="0053505C">
        <w:rPr>
          <w:sz w:val="20"/>
          <w:szCs w:val="22"/>
          <w:vertAlign w:val="superscript"/>
        </w:rPr>
        <w:footnoteReference w:id="4"/>
      </w:r>
      <w:r w:rsidRPr="0053505C">
        <w:rPr>
          <w:color w:val="262223"/>
          <w:szCs w:val="22"/>
        </w:rPr>
        <w:t xml:space="preserve">  </w:t>
      </w:r>
    </w:p>
    <w:p w:rsidR="0053505C" w:rsidRPr="0053505C" w:rsidRDefault="0053505C" w:rsidP="0053505C">
      <w:pPr>
        <w:autoSpaceDE w:val="0"/>
        <w:autoSpaceDN w:val="0"/>
        <w:adjustRightInd w:val="0"/>
        <w:rPr>
          <w:szCs w:val="22"/>
        </w:rPr>
      </w:pPr>
    </w:p>
    <w:p w:rsidR="0053505C" w:rsidRPr="0053505C" w:rsidRDefault="0053505C" w:rsidP="0053505C">
      <w:pPr>
        <w:autoSpaceDE w:val="0"/>
        <w:autoSpaceDN w:val="0"/>
        <w:adjustRightInd w:val="0"/>
        <w:spacing w:after="200"/>
        <w:ind w:firstLine="720"/>
        <w:rPr>
          <w:color w:val="262223"/>
          <w:szCs w:val="22"/>
        </w:rPr>
      </w:pPr>
      <w:r w:rsidRPr="0053505C">
        <w:rPr>
          <w:szCs w:val="22"/>
        </w:rPr>
        <w:t>Applicants state that pursuant to the terms of the proposed stock purchase and sale transaction, the Bowers Family</w:t>
      </w:r>
      <w:r w:rsidRPr="0053505C">
        <w:rPr>
          <w:color w:val="262223"/>
          <w:szCs w:val="22"/>
        </w:rPr>
        <w:t xml:space="preserve">, who presently own 98.65 percent of the issued and outstanding stock of MMCI (a fourth Bowers Family member owns the remaining 1.35 percent of MMCI's stock and is also selling that stock to Shawnee), propose to transfer all of their MMCI stock to Shawnee.  Applicants describe that by acquiring 100 percent of the issued and outstanding stock of MMCI, Shawnee will acquire control of MITCO and MICI and their section 214 authorizations.  </w:t>
      </w:r>
      <w:r w:rsidRPr="0053505C">
        <w:rPr>
          <w:color w:val="020100"/>
          <w:szCs w:val="22"/>
        </w:rPr>
        <w:t>Applicants assert that the proposed transaction is entitled to presumptive streamlined treatment under section 63.03(b)(2)(iii) of the Commission’s rules and that a grant of the application will serve the public interest, convenience, and necessity</w:t>
      </w:r>
      <w:r w:rsidRPr="0053505C">
        <w:rPr>
          <w:rFonts w:ascii="TimesNewRoman" w:hAnsi="TimesNewRoman" w:cs="TimesNewRoman"/>
          <w:color w:val="020100"/>
          <w:szCs w:val="22"/>
        </w:rPr>
        <w:t>.</w:t>
      </w:r>
      <w:r w:rsidRPr="0053505C">
        <w:rPr>
          <w:rFonts w:ascii="TimesNewRoman" w:hAnsi="TimesNewRoman" w:cs="TimesNewRoman"/>
          <w:color w:val="020100"/>
          <w:szCs w:val="22"/>
          <w:vertAlign w:val="superscript"/>
        </w:rPr>
        <w:footnoteReference w:id="5"/>
      </w:r>
    </w:p>
    <w:p w:rsidR="0053505C" w:rsidRPr="0053505C" w:rsidRDefault="0053505C" w:rsidP="0053505C">
      <w:pPr>
        <w:rPr>
          <w:szCs w:val="22"/>
        </w:rPr>
      </w:pPr>
    </w:p>
    <w:p w:rsidR="0053505C" w:rsidRPr="0053505C" w:rsidRDefault="0053505C" w:rsidP="0053505C">
      <w:pPr>
        <w:autoSpaceDE w:val="0"/>
        <w:autoSpaceDN w:val="0"/>
        <w:adjustRightInd w:val="0"/>
        <w:ind w:left="720" w:right="144"/>
        <w:rPr>
          <w:bCs/>
          <w:szCs w:val="22"/>
        </w:rPr>
      </w:pPr>
      <w:r w:rsidRPr="0053505C">
        <w:rPr>
          <w:szCs w:val="22"/>
        </w:rPr>
        <w:t xml:space="preserve">Domestic Section 214 Application Filed for the </w:t>
      </w:r>
      <w:r w:rsidRPr="0053505C">
        <w:rPr>
          <w:bCs/>
          <w:szCs w:val="22"/>
        </w:rPr>
        <w:t xml:space="preserve">Transfer of Control of MoultrieCorp, Inc. and its Subsidiaries to Shawnee Communications, Inc., </w:t>
      </w:r>
      <w:r w:rsidRPr="0053505C">
        <w:rPr>
          <w:szCs w:val="22"/>
        </w:rPr>
        <w:t>WC Docket No. 16-95 (filed Mar. 24, 2016).</w:t>
      </w:r>
    </w:p>
    <w:p w:rsidR="0053505C" w:rsidRPr="0053505C" w:rsidRDefault="0053505C" w:rsidP="0053505C">
      <w:pPr>
        <w:autoSpaceDE w:val="0"/>
        <w:autoSpaceDN w:val="0"/>
        <w:adjustRightInd w:val="0"/>
        <w:ind w:left="720"/>
        <w:rPr>
          <w:szCs w:val="22"/>
        </w:rPr>
      </w:pPr>
    </w:p>
    <w:p w:rsidR="0053505C" w:rsidRPr="0053505C" w:rsidRDefault="0053505C" w:rsidP="0053505C">
      <w:pPr>
        <w:ind w:right="720"/>
        <w:rPr>
          <w:szCs w:val="22"/>
        </w:rPr>
      </w:pPr>
      <w:r w:rsidRPr="0053505C">
        <w:rPr>
          <w:b/>
          <w:szCs w:val="22"/>
          <w:u w:val="single"/>
        </w:rPr>
        <w:t>GENERAL INFORMATION</w:t>
      </w:r>
    </w:p>
    <w:p w:rsidR="0053505C" w:rsidRPr="0053505C" w:rsidRDefault="0053505C" w:rsidP="0053505C">
      <w:pPr>
        <w:ind w:right="720"/>
        <w:rPr>
          <w:szCs w:val="22"/>
        </w:rPr>
      </w:pPr>
    </w:p>
    <w:p w:rsidR="0053505C" w:rsidRPr="0053505C" w:rsidRDefault="0053505C" w:rsidP="0053505C">
      <w:pPr>
        <w:ind w:firstLine="720"/>
        <w:rPr>
          <w:szCs w:val="22"/>
        </w:rPr>
      </w:pPr>
      <w:r w:rsidRPr="0053505C">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53505C">
        <w:rPr>
          <w:b/>
          <w:szCs w:val="22"/>
        </w:rPr>
        <w:t>on or before April 1</w:t>
      </w:r>
      <w:r w:rsidR="00C3469D">
        <w:rPr>
          <w:b/>
          <w:szCs w:val="22"/>
        </w:rPr>
        <w:t>8</w:t>
      </w:r>
      <w:r w:rsidRPr="0053505C">
        <w:rPr>
          <w:b/>
          <w:szCs w:val="22"/>
        </w:rPr>
        <w:t>, 2016</w:t>
      </w:r>
      <w:r w:rsidRPr="0053505C">
        <w:rPr>
          <w:szCs w:val="22"/>
        </w:rPr>
        <w:t xml:space="preserve">, and reply comments </w:t>
      </w:r>
      <w:r w:rsidRPr="0053505C">
        <w:rPr>
          <w:b/>
          <w:szCs w:val="22"/>
        </w:rPr>
        <w:t>on or before April 2</w:t>
      </w:r>
      <w:r w:rsidR="00C3469D">
        <w:rPr>
          <w:b/>
          <w:szCs w:val="22"/>
        </w:rPr>
        <w:t>5</w:t>
      </w:r>
      <w:r w:rsidRPr="0053505C">
        <w:rPr>
          <w:b/>
          <w:szCs w:val="22"/>
        </w:rPr>
        <w:t>, 2016</w:t>
      </w:r>
      <w:r w:rsidRPr="0053505C">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53505C" w:rsidRPr="0053505C" w:rsidRDefault="0053505C" w:rsidP="0053505C">
      <w:pPr>
        <w:rPr>
          <w:szCs w:val="22"/>
        </w:rPr>
      </w:pPr>
    </w:p>
    <w:p w:rsidR="0053505C" w:rsidRPr="0053505C" w:rsidRDefault="0053505C" w:rsidP="0053505C">
      <w:pPr>
        <w:ind w:firstLine="720"/>
        <w:rPr>
          <w:szCs w:val="22"/>
        </w:rPr>
      </w:pPr>
      <w:r w:rsidRPr="0053505C">
        <w:rPr>
          <w:szCs w:val="22"/>
        </w:rPr>
        <w:t xml:space="preserve">Pursuant to section 63.03 of the Commission’s rules, 47 CFR § 63.03, parties to this proceeding should file any documents in this proceeding using the Commission’s Electronic Comment Filing System (ECFS):  http://apps.fcc.gov/ecfs/.  </w:t>
      </w:r>
    </w:p>
    <w:p w:rsidR="0053505C" w:rsidRPr="0053505C" w:rsidRDefault="0053505C" w:rsidP="0053505C">
      <w:pPr>
        <w:rPr>
          <w:szCs w:val="22"/>
        </w:rPr>
      </w:pPr>
    </w:p>
    <w:p w:rsidR="0053505C" w:rsidRPr="0053505C" w:rsidRDefault="0053505C" w:rsidP="0053505C">
      <w:pPr>
        <w:rPr>
          <w:b/>
          <w:szCs w:val="22"/>
        </w:rPr>
      </w:pPr>
      <w:r w:rsidRPr="0053505C">
        <w:rPr>
          <w:b/>
          <w:szCs w:val="22"/>
        </w:rPr>
        <w:t>In addition, e-mail one copy of each pleading to each of the following:</w:t>
      </w:r>
    </w:p>
    <w:p w:rsidR="0053505C" w:rsidRPr="0053505C" w:rsidRDefault="0053505C" w:rsidP="0053505C">
      <w:pPr>
        <w:rPr>
          <w:szCs w:val="22"/>
        </w:rPr>
      </w:pPr>
    </w:p>
    <w:p w:rsidR="0053505C" w:rsidRPr="0053505C" w:rsidRDefault="0053505C" w:rsidP="0053505C">
      <w:pPr>
        <w:widowControl w:val="0"/>
        <w:numPr>
          <w:ilvl w:val="0"/>
          <w:numId w:val="18"/>
        </w:numPr>
        <w:rPr>
          <w:szCs w:val="22"/>
        </w:rPr>
      </w:pPr>
      <w:r w:rsidRPr="0053505C">
        <w:rPr>
          <w:szCs w:val="22"/>
        </w:rPr>
        <w:t xml:space="preserve">Tracey Wilson, Wireline Competition Bureau,  </w:t>
      </w:r>
      <w:hyperlink r:id="rId14" w:history="1">
        <w:r w:rsidRPr="0053505C">
          <w:rPr>
            <w:color w:val="0000FF"/>
            <w:szCs w:val="22"/>
            <w:u w:val="single"/>
          </w:rPr>
          <w:t>tracey.wilson@fcc.gov</w:t>
        </w:r>
      </w:hyperlink>
      <w:r w:rsidRPr="0053505C">
        <w:rPr>
          <w:szCs w:val="22"/>
        </w:rPr>
        <w:t>;</w:t>
      </w:r>
    </w:p>
    <w:p w:rsidR="0053505C" w:rsidRPr="0053505C" w:rsidRDefault="0053505C" w:rsidP="0053505C">
      <w:pPr>
        <w:widowControl w:val="0"/>
        <w:numPr>
          <w:ilvl w:val="0"/>
          <w:numId w:val="18"/>
        </w:numPr>
        <w:rPr>
          <w:szCs w:val="22"/>
        </w:rPr>
      </w:pPr>
      <w:r w:rsidRPr="0053505C">
        <w:rPr>
          <w:szCs w:val="22"/>
        </w:rPr>
        <w:lastRenderedPageBreak/>
        <w:t xml:space="preserve">Dennis Johnson, Wireline Competition Bureau, </w:t>
      </w:r>
      <w:hyperlink r:id="rId15" w:history="1">
        <w:r w:rsidRPr="0053505C">
          <w:rPr>
            <w:color w:val="0000FF"/>
            <w:szCs w:val="22"/>
            <w:u w:val="single"/>
          </w:rPr>
          <w:t>dennis.johnson@fcc.gov</w:t>
        </w:r>
      </w:hyperlink>
      <w:r w:rsidRPr="0053505C">
        <w:rPr>
          <w:szCs w:val="22"/>
        </w:rPr>
        <w:t>;</w:t>
      </w:r>
    </w:p>
    <w:p w:rsidR="0053505C" w:rsidRPr="0053505C" w:rsidRDefault="0053505C" w:rsidP="0053505C">
      <w:pPr>
        <w:rPr>
          <w:szCs w:val="22"/>
        </w:rPr>
      </w:pPr>
    </w:p>
    <w:p w:rsidR="0053505C" w:rsidRPr="0053505C" w:rsidRDefault="0053505C" w:rsidP="0053505C">
      <w:pPr>
        <w:widowControl w:val="0"/>
        <w:numPr>
          <w:ilvl w:val="0"/>
          <w:numId w:val="18"/>
        </w:numPr>
        <w:rPr>
          <w:szCs w:val="22"/>
        </w:rPr>
      </w:pPr>
      <w:r w:rsidRPr="0053505C">
        <w:rPr>
          <w:szCs w:val="22"/>
        </w:rPr>
        <w:t xml:space="preserve">Jim Bird, Office of General Counsel, </w:t>
      </w:r>
      <w:hyperlink r:id="rId16" w:history="1">
        <w:r w:rsidRPr="0053505C">
          <w:rPr>
            <w:color w:val="0000FF"/>
            <w:szCs w:val="22"/>
            <w:u w:val="single"/>
          </w:rPr>
          <w:t>jim.bird@fcc.gov</w:t>
        </w:r>
      </w:hyperlink>
      <w:r w:rsidRPr="0053505C">
        <w:rPr>
          <w:szCs w:val="22"/>
        </w:rPr>
        <w:t>;</w:t>
      </w:r>
    </w:p>
    <w:p w:rsidR="0053505C" w:rsidRPr="0053505C" w:rsidRDefault="0053505C" w:rsidP="0053505C">
      <w:pPr>
        <w:ind w:left="720"/>
        <w:rPr>
          <w:szCs w:val="22"/>
        </w:rPr>
      </w:pPr>
    </w:p>
    <w:p w:rsidR="0053505C" w:rsidRPr="0053505C" w:rsidRDefault="0053505C" w:rsidP="0053505C">
      <w:pPr>
        <w:widowControl w:val="0"/>
        <w:numPr>
          <w:ilvl w:val="0"/>
          <w:numId w:val="18"/>
        </w:numPr>
        <w:rPr>
          <w:szCs w:val="22"/>
        </w:rPr>
      </w:pPr>
      <w:r w:rsidRPr="0053505C">
        <w:rPr>
          <w:szCs w:val="22"/>
        </w:rPr>
        <w:t xml:space="preserve">David Krech, International Bureau, </w:t>
      </w:r>
      <w:hyperlink r:id="rId17" w:history="1">
        <w:r w:rsidRPr="0053505C">
          <w:rPr>
            <w:color w:val="0000FF"/>
            <w:szCs w:val="22"/>
            <w:u w:val="single"/>
          </w:rPr>
          <w:t>david.krech@fcc.gov</w:t>
        </w:r>
      </w:hyperlink>
      <w:r w:rsidRPr="0053505C">
        <w:rPr>
          <w:szCs w:val="22"/>
        </w:rPr>
        <w:t>;</w:t>
      </w:r>
    </w:p>
    <w:p w:rsidR="0053505C" w:rsidRPr="0053505C" w:rsidRDefault="0053505C" w:rsidP="0053505C">
      <w:pPr>
        <w:ind w:left="720"/>
        <w:rPr>
          <w:szCs w:val="22"/>
        </w:rPr>
      </w:pPr>
    </w:p>
    <w:p w:rsidR="0053505C" w:rsidRPr="0053505C" w:rsidRDefault="0053505C" w:rsidP="0053505C">
      <w:pPr>
        <w:widowControl w:val="0"/>
        <w:numPr>
          <w:ilvl w:val="0"/>
          <w:numId w:val="18"/>
        </w:numPr>
        <w:rPr>
          <w:szCs w:val="22"/>
        </w:rPr>
      </w:pPr>
      <w:r w:rsidRPr="0053505C">
        <w:rPr>
          <w:szCs w:val="22"/>
        </w:rPr>
        <w:t xml:space="preserve">Sumita Mukhoty, International Bureau, </w:t>
      </w:r>
      <w:hyperlink r:id="rId18" w:history="1">
        <w:r w:rsidRPr="0053505C">
          <w:rPr>
            <w:color w:val="0000FF"/>
            <w:szCs w:val="22"/>
            <w:u w:val="single"/>
          </w:rPr>
          <w:t>sumita.mukhoty@fcc.gov</w:t>
        </w:r>
      </w:hyperlink>
      <w:r w:rsidRPr="0053505C">
        <w:rPr>
          <w:szCs w:val="22"/>
        </w:rPr>
        <w:t>.</w:t>
      </w:r>
    </w:p>
    <w:p w:rsidR="0053505C" w:rsidRPr="0053505C" w:rsidRDefault="0053505C" w:rsidP="0053505C">
      <w:pPr>
        <w:rPr>
          <w:szCs w:val="22"/>
        </w:rPr>
      </w:pPr>
    </w:p>
    <w:p w:rsidR="0053505C" w:rsidRPr="0053505C" w:rsidRDefault="0053505C" w:rsidP="0053505C">
      <w:pPr>
        <w:ind w:firstLine="720"/>
        <w:rPr>
          <w:szCs w:val="22"/>
        </w:rPr>
      </w:pPr>
      <w:r w:rsidRPr="0053505C">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53505C" w:rsidRPr="0053505C" w:rsidRDefault="0053505C" w:rsidP="0053505C">
      <w:pPr>
        <w:rPr>
          <w:szCs w:val="22"/>
        </w:rPr>
      </w:pPr>
    </w:p>
    <w:p w:rsidR="0053505C" w:rsidRPr="0053505C" w:rsidRDefault="0053505C" w:rsidP="0053505C">
      <w:pPr>
        <w:ind w:firstLine="720"/>
        <w:rPr>
          <w:szCs w:val="22"/>
        </w:rPr>
      </w:pPr>
      <w:r w:rsidRPr="0053505C">
        <w:rPr>
          <w:szCs w:val="22"/>
        </w:rPr>
        <w:t xml:space="preserve">The proceeding in this Notice shall be treated as a “permit-but-disclose” proceeding in accordance with the Commission’s </w:t>
      </w:r>
      <w:r w:rsidRPr="0053505C">
        <w:rPr>
          <w:i/>
          <w:szCs w:val="22"/>
        </w:rPr>
        <w:t>ex parte</w:t>
      </w:r>
      <w:r w:rsidRPr="0053505C">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53505C" w:rsidRPr="0053505C" w:rsidRDefault="0053505C" w:rsidP="0053505C">
      <w:pPr>
        <w:rPr>
          <w:szCs w:val="22"/>
        </w:rPr>
      </w:pPr>
    </w:p>
    <w:p w:rsidR="0053505C" w:rsidRPr="0053505C" w:rsidRDefault="0053505C" w:rsidP="0053505C">
      <w:pPr>
        <w:rPr>
          <w:szCs w:val="22"/>
        </w:rPr>
      </w:pPr>
      <w:r w:rsidRPr="0053505C">
        <w:rPr>
          <w:szCs w:val="22"/>
        </w:rPr>
        <w:tab/>
        <w:t>For further information, please contact Tracey Wilson at (202) 418-1394 or Dennis Johnson at (202) 418-0809.</w:t>
      </w:r>
    </w:p>
    <w:p w:rsidR="0053505C" w:rsidRPr="0053505C" w:rsidRDefault="0053505C" w:rsidP="0053505C">
      <w:pPr>
        <w:ind w:left="720" w:right="720"/>
        <w:rPr>
          <w:szCs w:val="22"/>
        </w:rPr>
      </w:pPr>
    </w:p>
    <w:p w:rsidR="0053505C" w:rsidRPr="0053505C" w:rsidRDefault="0053505C" w:rsidP="0053505C">
      <w:pPr>
        <w:jc w:val="center"/>
        <w:rPr>
          <w:szCs w:val="22"/>
        </w:rPr>
      </w:pPr>
      <w:r w:rsidRPr="0053505C">
        <w:rPr>
          <w:b/>
          <w:szCs w:val="22"/>
        </w:rPr>
        <w:t>- FCC -</w:t>
      </w:r>
    </w:p>
    <w:p w:rsidR="00F80FFB" w:rsidRPr="002D4CE9" w:rsidRDefault="00F80FFB" w:rsidP="00F80FFB">
      <w:pPr>
        <w:spacing w:before="120" w:after="240"/>
        <w:rPr>
          <w:szCs w:val="22"/>
        </w:rPr>
      </w:pPr>
    </w:p>
    <w:p w:rsidR="00F80FFB" w:rsidRPr="002D4CE9" w:rsidRDefault="00F80FFB" w:rsidP="00F80FFB">
      <w:pPr>
        <w:rPr>
          <w:szCs w:val="22"/>
        </w:rPr>
      </w:pPr>
    </w:p>
    <w:p w:rsidR="0046747F" w:rsidRPr="002D4CE9" w:rsidRDefault="0046747F" w:rsidP="00F80FFB">
      <w:pPr>
        <w:suppressAutoHyphens/>
        <w:ind w:left="7920"/>
        <w:jc w:val="right"/>
        <w:rPr>
          <w:color w:val="000000"/>
          <w:szCs w:val="22"/>
        </w:rPr>
      </w:pPr>
    </w:p>
    <w:sectPr w:rsidR="0046747F" w:rsidRPr="002D4CE9"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21A" w:rsidRDefault="00C4121A">
      <w:r>
        <w:separator/>
      </w:r>
    </w:p>
  </w:endnote>
  <w:endnote w:type="continuationSeparator" w:id="0">
    <w:p w:rsidR="00C4121A" w:rsidRDefault="00C4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BB5" w:rsidRDefault="00B03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3BB5" w:rsidRDefault="00B03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0F" w:rsidRDefault="000867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jc w:val="center"/>
    </w:pPr>
    <w:r>
      <w:rPr>
        <w:rStyle w:val="PageNumber"/>
      </w:rPr>
      <w:fldChar w:fldCharType="begin"/>
    </w:r>
    <w:r>
      <w:rPr>
        <w:rStyle w:val="PageNumber"/>
      </w:rPr>
      <w:instrText xml:space="preserve"> PAGE </w:instrText>
    </w:r>
    <w:r>
      <w:rPr>
        <w:rStyle w:val="PageNumber"/>
      </w:rPr>
      <w:fldChar w:fldCharType="separate"/>
    </w:r>
    <w:r w:rsidR="00E77A99">
      <w:rPr>
        <w:rStyle w:val="PageNumber"/>
        <w:noProof/>
      </w:rPr>
      <w:t>2</w:t>
    </w:r>
    <w:r>
      <w:rPr>
        <w:rStyle w:val="PageNumber"/>
      </w:rPr>
      <w:fldChar w:fldCharType="end"/>
    </w:r>
  </w:p>
  <w:p w:rsidR="00B03BB5" w:rsidRDefault="00B03B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21A" w:rsidRDefault="00C4121A">
      <w:r>
        <w:separator/>
      </w:r>
    </w:p>
  </w:footnote>
  <w:footnote w:type="continuationSeparator" w:id="0">
    <w:p w:rsidR="00C4121A" w:rsidRDefault="00C4121A">
      <w:r>
        <w:continuationSeparator/>
      </w:r>
    </w:p>
  </w:footnote>
  <w:footnote w:id="1">
    <w:p w:rsidR="0053505C" w:rsidRPr="0053505C" w:rsidRDefault="0053505C" w:rsidP="0053505C">
      <w:pPr>
        <w:pStyle w:val="FootnoteText"/>
        <w:rPr>
          <w:sz w:val="20"/>
        </w:rPr>
      </w:pPr>
      <w:r w:rsidRPr="0053505C">
        <w:rPr>
          <w:rStyle w:val="FootnoteReference"/>
          <w:sz w:val="20"/>
        </w:rPr>
        <w:footnoteRef/>
      </w:r>
      <w:r w:rsidRPr="0053505C">
        <w:rPr>
          <w:sz w:val="20"/>
        </w:rPr>
        <w:t xml:space="preserve"> </w:t>
      </w:r>
      <w:r w:rsidRPr="0053505C">
        <w:rPr>
          <w:i/>
          <w:sz w:val="20"/>
        </w:rPr>
        <w:t xml:space="preserve">See </w:t>
      </w:r>
      <w:r w:rsidRPr="0053505C">
        <w:rPr>
          <w:sz w:val="20"/>
        </w:rPr>
        <w:t>47 C.F.R § 63.03; 47 U.S.C. § 214.  Applicants also filed applications for the transfer of authorizations associated with wireless services.  Applicants filed a supplement to their Application on April 1, 2016.  Any action on this domestic section 214 application is without prejudice to Commission action on other related, pending applications.</w:t>
      </w:r>
    </w:p>
  </w:footnote>
  <w:footnote w:id="2">
    <w:p w:rsidR="0053505C" w:rsidRPr="0053505C" w:rsidRDefault="0053505C" w:rsidP="0053505C">
      <w:pPr>
        <w:pStyle w:val="FootnoteText"/>
        <w:rPr>
          <w:sz w:val="20"/>
        </w:rPr>
      </w:pPr>
      <w:r w:rsidRPr="0053505C">
        <w:rPr>
          <w:rStyle w:val="FootnoteReference"/>
          <w:sz w:val="20"/>
        </w:rPr>
        <w:footnoteRef/>
      </w:r>
      <w:r w:rsidRPr="0053505C">
        <w:rPr>
          <w:sz w:val="20"/>
        </w:rPr>
        <w:t xml:space="preserve"> </w:t>
      </w:r>
      <w:r w:rsidRPr="0053505C">
        <w:rPr>
          <w:color w:val="3E3B3B"/>
          <w:sz w:val="20"/>
        </w:rPr>
        <w:t xml:space="preserve">Applicants state that </w:t>
      </w:r>
      <w:r w:rsidRPr="0053505C">
        <w:rPr>
          <w:color w:val="2D292A"/>
          <w:sz w:val="20"/>
        </w:rPr>
        <w:t>the following U.S. citizens own at least ten percent of the equity and voting power of Moultrie Multi Corp, Inc. before the proposed transaction are as follows:  David A. Bowers (37.36 percent), Steven Bowers (30.72 percent) and Stuart Bowers (30.57 percent) (all brothers).  Applicants further state that no other individual or entity directly or indirectly owns an interest of ten percent of the equity and voting power of Moultrie Multi Corp, Inc. prior to the proposed transaction.</w:t>
      </w:r>
    </w:p>
  </w:footnote>
  <w:footnote w:id="3">
    <w:p w:rsidR="0053505C" w:rsidRPr="0053505C" w:rsidRDefault="0053505C" w:rsidP="0053505C">
      <w:pPr>
        <w:pStyle w:val="FootnoteText"/>
        <w:rPr>
          <w:sz w:val="20"/>
        </w:rPr>
      </w:pPr>
      <w:r w:rsidRPr="0053505C">
        <w:rPr>
          <w:rStyle w:val="FootnoteReference"/>
          <w:sz w:val="20"/>
        </w:rPr>
        <w:footnoteRef/>
      </w:r>
      <w:r w:rsidRPr="0053505C">
        <w:rPr>
          <w:sz w:val="20"/>
        </w:rPr>
        <w:t xml:space="preserve"> MMCI has no ownership interests in any other entity that offers domestic telecommunications services.  </w:t>
      </w:r>
    </w:p>
  </w:footnote>
  <w:footnote w:id="4">
    <w:p w:rsidR="0053505C" w:rsidRPr="0053505C" w:rsidRDefault="0053505C" w:rsidP="0053505C">
      <w:pPr>
        <w:pStyle w:val="FootnoteText"/>
        <w:rPr>
          <w:sz w:val="20"/>
        </w:rPr>
      </w:pPr>
      <w:r w:rsidRPr="0053505C">
        <w:rPr>
          <w:rStyle w:val="FootnoteReference"/>
          <w:sz w:val="20"/>
        </w:rPr>
        <w:footnoteRef/>
      </w:r>
      <w:r w:rsidRPr="0053505C">
        <w:rPr>
          <w:sz w:val="20"/>
        </w:rPr>
        <w:t xml:space="preserve"> </w:t>
      </w:r>
      <w:r w:rsidRPr="0053505C">
        <w:rPr>
          <w:i/>
          <w:sz w:val="20"/>
        </w:rPr>
        <w:t>See</w:t>
      </w:r>
      <w:r w:rsidRPr="0053505C">
        <w:rPr>
          <w:sz w:val="20"/>
        </w:rPr>
        <w:t xml:space="preserve"> Application for a complete description of Shawnee and its affiliates.  </w:t>
      </w:r>
    </w:p>
  </w:footnote>
  <w:footnote w:id="5">
    <w:p w:rsidR="0053505C" w:rsidRPr="00C44D31" w:rsidRDefault="0053505C" w:rsidP="0053505C">
      <w:pPr>
        <w:pStyle w:val="FootnoteText"/>
      </w:pPr>
      <w:r w:rsidRPr="0053505C">
        <w:rPr>
          <w:rStyle w:val="FootnoteReference"/>
          <w:sz w:val="20"/>
        </w:rPr>
        <w:footnoteRef/>
      </w:r>
      <w:r w:rsidRPr="0053505C">
        <w:rPr>
          <w:sz w:val="20"/>
        </w:rPr>
        <w:t xml:space="preserve"> </w:t>
      </w:r>
      <w:r w:rsidRPr="0053505C">
        <w:rPr>
          <w:color w:val="020100"/>
          <w:sz w:val="20"/>
        </w:rPr>
        <w:t>47 C.F.R. § 63.03(b)(2)(iii).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0F" w:rsidRDefault="00086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0F" w:rsidRDefault="000867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E77A99">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sidR="00B03BB5">
      <w:rPr>
        <w:rFonts w:ascii="News Gothic MT" w:hAnsi="News Gothic MT"/>
        <w:b/>
        <w:kern w:val="28"/>
        <w:sz w:val="96"/>
      </w:rPr>
      <w:t>PUBLIC NOTICE</w:t>
    </w:r>
  </w:p>
  <w:p w:rsidR="00B03BB5" w:rsidRDefault="00E77A99">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E77A99">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B03BB5">
      <w:rPr>
        <w:rFonts w:ascii="Copperplate32bc" w:hAnsi="Copperplate32bc"/>
        <w:b/>
        <w:kern w:val="28"/>
        <w:sz w:val="96"/>
      </w:rPr>
      <w:t>PUBLIC NOTICE</w:t>
    </w:r>
  </w:p>
  <w:p w:rsidR="00B03BB5" w:rsidRDefault="00E77A99">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Internet: http://www.fcc.gov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0660F"/>
    <w:rsid w:val="000114B5"/>
    <w:rsid w:val="00020E3E"/>
    <w:rsid w:val="000211F6"/>
    <w:rsid w:val="0002290F"/>
    <w:rsid w:val="0002448D"/>
    <w:rsid w:val="000264E1"/>
    <w:rsid w:val="000319E4"/>
    <w:rsid w:val="00034463"/>
    <w:rsid w:val="000359CA"/>
    <w:rsid w:val="00037963"/>
    <w:rsid w:val="000401F2"/>
    <w:rsid w:val="00044ACA"/>
    <w:rsid w:val="00047EBE"/>
    <w:rsid w:val="00051FB2"/>
    <w:rsid w:val="00053B9F"/>
    <w:rsid w:val="0005535C"/>
    <w:rsid w:val="000627D1"/>
    <w:rsid w:val="00064E36"/>
    <w:rsid w:val="0007252B"/>
    <w:rsid w:val="00076713"/>
    <w:rsid w:val="0008670F"/>
    <w:rsid w:val="0009126E"/>
    <w:rsid w:val="00094CB0"/>
    <w:rsid w:val="000A2C47"/>
    <w:rsid w:val="000A4055"/>
    <w:rsid w:val="000A4520"/>
    <w:rsid w:val="000A7685"/>
    <w:rsid w:val="000C0811"/>
    <w:rsid w:val="000C28B5"/>
    <w:rsid w:val="000C4780"/>
    <w:rsid w:val="000C4C46"/>
    <w:rsid w:val="000E157B"/>
    <w:rsid w:val="000E3155"/>
    <w:rsid w:val="000E760D"/>
    <w:rsid w:val="000F6B18"/>
    <w:rsid w:val="0010107E"/>
    <w:rsid w:val="001025BB"/>
    <w:rsid w:val="001026C6"/>
    <w:rsid w:val="00110942"/>
    <w:rsid w:val="00112342"/>
    <w:rsid w:val="00112A9B"/>
    <w:rsid w:val="00113666"/>
    <w:rsid w:val="00115555"/>
    <w:rsid w:val="00124705"/>
    <w:rsid w:val="0013052A"/>
    <w:rsid w:val="00142D36"/>
    <w:rsid w:val="00151E72"/>
    <w:rsid w:val="00153E4E"/>
    <w:rsid w:val="00154DD3"/>
    <w:rsid w:val="00156895"/>
    <w:rsid w:val="00165BD0"/>
    <w:rsid w:val="001727F8"/>
    <w:rsid w:val="001809F9"/>
    <w:rsid w:val="00187B28"/>
    <w:rsid w:val="00190FAB"/>
    <w:rsid w:val="00192F32"/>
    <w:rsid w:val="001A0FDC"/>
    <w:rsid w:val="001A269E"/>
    <w:rsid w:val="001A6B9B"/>
    <w:rsid w:val="001A7665"/>
    <w:rsid w:val="001B2E39"/>
    <w:rsid w:val="001B6FE3"/>
    <w:rsid w:val="001B7E4B"/>
    <w:rsid w:val="001D04A4"/>
    <w:rsid w:val="001D263C"/>
    <w:rsid w:val="001D31BD"/>
    <w:rsid w:val="001D3BE2"/>
    <w:rsid w:val="001D404B"/>
    <w:rsid w:val="001D65FC"/>
    <w:rsid w:val="001D79DC"/>
    <w:rsid w:val="001E0B77"/>
    <w:rsid w:val="001E1925"/>
    <w:rsid w:val="001E4E86"/>
    <w:rsid w:val="001F396A"/>
    <w:rsid w:val="001F4668"/>
    <w:rsid w:val="0020536A"/>
    <w:rsid w:val="0020538B"/>
    <w:rsid w:val="00205B87"/>
    <w:rsid w:val="00206292"/>
    <w:rsid w:val="0020629D"/>
    <w:rsid w:val="0020749C"/>
    <w:rsid w:val="002119BB"/>
    <w:rsid w:val="002277E1"/>
    <w:rsid w:val="00227CC7"/>
    <w:rsid w:val="00234FF8"/>
    <w:rsid w:val="002458B5"/>
    <w:rsid w:val="002479BC"/>
    <w:rsid w:val="002606F1"/>
    <w:rsid w:val="00261E94"/>
    <w:rsid w:val="00264B89"/>
    <w:rsid w:val="00266585"/>
    <w:rsid w:val="00272E9B"/>
    <w:rsid w:val="00274C2B"/>
    <w:rsid w:val="002903B7"/>
    <w:rsid w:val="00295114"/>
    <w:rsid w:val="002A0D31"/>
    <w:rsid w:val="002A2546"/>
    <w:rsid w:val="002B1C38"/>
    <w:rsid w:val="002C2AD8"/>
    <w:rsid w:val="002D152E"/>
    <w:rsid w:val="002D3C39"/>
    <w:rsid w:val="002D4CE9"/>
    <w:rsid w:val="002D7782"/>
    <w:rsid w:val="002E0322"/>
    <w:rsid w:val="002E2641"/>
    <w:rsid w:val="002E78EF"/>
    <w:rsid w:val="002E7F1A"/>
    <w:rsid w:val="002F2AB4"/>
    <w:rsid w:val="003007C4"/>
    <w:rsid w:val="00304122"/>
    <w:rsid w:val="00305EAF"/>
    <w:rsid w:val="0031539D"/>
    <w:rsid w:val="00321B06"/>
    <w:rsid w:val="0032475C"/>
    <w:rsid w:val="00327957"/>
    <w:rsid w:val="00331394"/>
    <w:rsid w:val="00333620"/>
    <w:rsid w:val="00336B43"/>
    <w:rsid w:val="00352555"/>
    <w:rsid w:val="003558D9"/>
    <w:rsid w:val="00356B0F"/>
    <w:rsid w:val="003664FF"/>
    <w:rsid w:val="00366A2F"/>
    <w:rsid w:val="00367CFE"/>
    <w:rsid w:val="00372CF6"/>
    <w:rsid w:val="00393BD4"/>
    <w:rsid w:val="00393C16"/>
    <w:rsid w:val="003A1C84"/>
    <w:rsid w:val="003A47DB"/>
    <w:rsid w:val="003C124D"/>
    <w:rsid w:val="003C3C08"/>
    <w:rsid w:val="003D0C8E"/>
    <w:rsid w:val="003D5E4D"/>
    <w:rsid w:val="003D6207"/>
    <w:rsid w:val="003E65E9"/>
    <w:rsid w:val="003F08DD"/>
    <w:rsid w:val="004009F5"/>
    <w:rsid w:val="00402BBF"/>
    <w:rsid w:val="00402F08"/>
    <w:rsid w:val="00406D42"/>
    <w:rsid w:val="00406EA7"/>
    <w:rsid w:val="00412D95"/>
    <w:rsid w:val="004272D7"/>
    <w:rsid w:val="00433C43"/>
    <w:rsid w:val="004363ED"/>
    <w:rsid w:val="00437390"/>
    <w:rsid w:val="00440540"/>
    <w:rsid w:val="00453F57"/>
    <w:rsid w:val="00456252"/>
    <w:rsid w:val="00456F02"/>
    <w:rsid w:val="004634EA"/>
    <w:rsid w:val="00464B99"/>
    <w:rsid w:val="004668F2"/>
    <w:rsid w:val="0046747F"/>
    <w:rsid w:val="0047389D"/>
    <w:rsid w:val="00474C93"/>
    <w:rsid w:val="004754AC"/>
    <w:rsid w:val="00483ED8"/>
    <w:rsid w:val="004908CF"/>
    <w:rsid w:val="004A06AD"/>
    <w:rsid w:val="004A52B7"/>
    <w:rsid w:val="004A767A"/>
    <w:rsid w:val="004B147E"/>
    <w:rsid w:val="004B2404"/>
    <w:rsid w:val="004B6EA1"/>
    <w:rsid w:val="004C5F29"/>
    <w:rsid w:val="004C602F"/>
    <w:rsid w:val="004D396B"/>
    <w:rsid w:val="004D6475"/>
    <w:rsid w:val="004D67C3"/>
    <w:rsid w:val="004D74B9"/>
    <w:rsid w:val="004D75F8"/>
    <w:rsid w:val="004E32BF"/>
    <w:rsid w:val="004F4F69"/>
    <w:rsid w:val="005007B4"/>
    <w:rsid w:val="0050591A"/>
    <w:rsid w:val="00514D74"/>
    <w:rsid w:val="00515FB3"/>
    <w:rsid w:val="0051799E"/>
    <w:rsid w:val="00525252"/>
    <w:rsid w:val="00525CA0"/>
    <w:rsid w:val="0053505C"/>
    <w:rsid w:val="00536E8B"/>
    <w:rsid w:val="00537386"/>
    <w:rsid w:val="00541525"/>
    <w:rsid w:val="00541863"/>
    <w:rsid w:val="00542653"/>
    <w:rsid w:val="005437C5"/>
    <w:rsid w:val="00546040"/>
    <w:rsid w:val="00546786"/>
    <w:rsid w:val="005472BF"/>
    <w:rsid w:val="0055075F"/>
    <w:rsid w:val="00551579"/>
    <w:rsid w:val="00553445"/>
    <w:rsid w:val="0055473C"/>
    <w:rsid w:val="00556EA7"/>
    <w:rsid w:val="00557A6A"/>
    <w:rsid w:val="00565FBE"/>
    <w:rsid w:val="0056768B"/>
    <w:rsid w:val="005741D7"/>
    <w:rsid w:val="00574D45"/>
    <w:rsid w:val="00575E76"/>
    <w:rsid w:val="0058289C"/>
    <w:rsid w:val="00587F5D"/>
    <w:rsid w:val="00590AAA"/>
    <w:rsid w:val="00592FE0"/>
    <w:rsid w:val="0059710E"/>
    <w:rsid w:val="005A06DF"/>
    <w:rsid w:val="005A5CC8"/>
    <w:rsid w:val="005B1E67"/>
    <w:rsid w:val="005C2131"/>
    <w:rsid w:val="005C26CE"/>
    <w:rsid w:val="005C3917"/>
    <w:rsid w:val="005E6A88"/>
    <w:rsid w:val="005F1B83"/>
    <w:rsid w:val="005F5B69"/>
    <w:rsid w:val="00612B09"/>
    <w:rsid w:val="00616866"/>
    <w:rsid w:val="0062123A"/>
    <w:rsid w:val="00635D3A"/>
    <w:rsid w:val="00641302"/>
    <w:rsid w:val="006429B2"/>
    <w:rsid w:val="00650AC8"/>
    <w:rsid w:val="006512BD"/>
    <w:rsid w:val="00653E9A"/>
    <w:rsid w:val="00654B02"/>
    <w:rsid w:val="00655B3B"/>
    <w:rsid w:val="00663A4E"/>
    <w:rsid w:val="00665EA5"/>
    <w:rsid w:val="00666BE8"/>
    <w:rsid w:val="00675394"/>
    <w:rsid w:val="00677248"/>
    <w:rsid w:val="006800B9"/>
    <w:rsid w:val="00687145"/>
    <w:rsid w:val="0068743C"/>
    <w:rsid w:val="00690322"/>
    <w:rsid w:val="0069220A"/>
    <w:rsid w:val="00694E3C"/>
    <w:rsid w:val="006A0D14"/>
    <w:rsid w:val="006A4B30"/>
    <w:rsid w:val="006A554C"/>
    <w:rsid w:val="006A55EB"/>
    <w:rsid w:val="006A6B79"/>
    <w:rsid w:val="006B33F3"/>
    <w:rsid w:val="006C05E5"/>
    <w:rsid w:val="006C11FC"/>
    <w:rsid w:val="006C35E9"/>
    <w:rsid w:val="006C3DA4"/>
    <w:rsid w:val="006C4EFF"/>
    <w:rsid w:val="006C636E"/>
    <w:rsid w:val="006D0B4E"/>
    <w:rsid w:val="006D1A21"/>
    <w:rsid w:val="006D1DCD"/>
    <w:rsid w:val="006D1FA6"/>
    <w:rsid w:val="006D3EF3"/>
    <w:rsid w:val="006E2CD3"/>
    <w:rsid w:val="006F20ED"/>
    <w:rsid w:val="006F2166"/>
    <w:rsid w:val="006F6A1D"/>
    <w:rsid w:val="00703EC6"/>
    <w:rsid w:val="00706AC9"/>
    <w:rsid w:val="0071025C"/>
    <w:rsid w:val="00714819"/>
    <w:rsid w:val="00716D2D"/>
    <w:rsid w:val="00717C73"/>
    <w:rsid w:val="007217B1"/>
    <w:rsid w:val="00724554"/>
    <w:rsid w:val="00727EC7"/>
    <w:rsid w:val="00732551"/>
    <w:rsid w:val="00732554"/>
    <w:rsid w:val="00741454"/>
    <w:rsid w:val="0075287B"/>
    <w:rsid w:val="00752D36"/>
    <w:rsid w:val="00755072"/>
    <w:rsid w:val="0075512A"/>
    <w:rsid w:val="00755E16"/>
    <w:rsid w:val="00756B80"/>
    <w:rsid w:val="00756B88"/>
    <w:rsid w:val="0077636A"/>
    <w:rsid w:val="00777285"/>
    <w:rsid w:val="007857C7"/>
    <w:rsid w:val="00792794"/>
    <w:rsid w:val="0079745F"/>
    <w:rsid w:val="007A0749"/>
    <w:rsid w:val="007B0E00"/>
    <w:rsid w:val="007B5F78"/>
    <w:rsid w:val="007C0877"/>
    <w:rsid w:val="007C0FD1"/>
    <w:rsid w:val="007C3A5F"/>
    <w:rsid w:val="007C3BD7"/>
    <w:rsid w:val="007C465B"/>
    <w:rsid w:val="007C6DF4"/>
    <w:rsid w:val="007D5DC4"/>
    <w:rsid w:val="007D6B43"/>
    <w:rsid w:val="007E0595"/>
    <w:rsid w:val="007F3CD7"/>
    <w:rsid w:val="00801697"/>
    <w:rsid w:val="00804FE6"/>
    <w:rsid w:val="00805979"/>
    <w:rsid w:val="00807C6E"/>
    <w:rsid w:val="0081400F"/>
    <w:rsid w:val="0081552C"/>
    <w:rsid w:val="00817653"/>
    <w:rsid w:val="00817D67"/>
    <w:rsid w:val="00825C85"/>
    <w:rsid w:val="00832D56"/>
    <w:rsid w:val="008413D2"/>
    <w:rsid w:val="00856727"/>
    <w:rsid w:val="00856872"/>
    <w:rsid w:val="008621B7"/>
    <w:rsid w:val="008635E1"/>
    <w:rsid w:val="008656D9"/>
    <w:rsid w:val="008709C9"/>
    <w:rsid w:val="008753EC"/>
    <w:rsid w:val="00880A11"/>
    <w:rsid w:val="0088214B"/>
    <w:rsid w:val="00884E48"/>
    <w:rsid w:val="00887198"/>
    <w:rsid w:val="008917E6"/>
    <w:rsid w:val="00891AD2"/>
    <w:rsid w:val="00894F4D"/>
    <w:rsid w:val="00897BDD"/>
    <w:rsid w:val="008A0F18"/>
    <w:rsid w:val="008A1274"/>
    <w:rsid w:val="008A6B6F"/>
    <w:rsid w:val="008B06B4"/>
    <w:rsid w:val="008B2C64"/>
    <w:rsid w:val="008B7C7A"/>
    <w:rsid w:val="008C2B82"/>
    <w:rsid w:val="008C4993"/>
    <w:rsid w:val="008C4B79"/>
    <w:rsid w:val="008D3DB7"/>
    <w:rsid w:val="008D4B73"/>
    <w:rsid w:val="008D6469"/>
    <w:rsid w:val="008E37AE"/>
    <w:rsid w:val="008E78C2"/>
    <w:rsid w:val="008F2BD8"/>
    <w:rsid w:val="008F6A9B"/>
    <w:rsid w:val="009036A1"/>
    <w:rsid w:val="0090733F"/>
    <w:rsid w:val="00912B96"/>
    <w:rsid w:val="009305A4"/>
    <w:rsid w:val="00930DEB"/>
    <w:rsid w:val="0093341E"/>
    <w:rsid w:val="00933726"/>
    <w:rsid w:val="00933F7C"/>
    <w:rsid w:val="00940008"/>
    <w:rsid w:val="00940BD5"/>
    <w:rsid w:val="00941ED1"/>
    <w:rsid w:val="00957B60"/>
    <w:rsid w:val="00960ED3"/>
    <w:rsid w:val="0096477A"/>
    <w:rsid w:val="00967B69"/>
    <w:rsid w:val="00967F4A"/>
    <w:rsid w:val="00972AE9"/>
    <w:rsid w:val="00975232"/>
    <w:rsid w:val="00977C32"/>
    <w:rsid w:val="009A0F1A"/>
    <w:rsid w:val="009A5EC7"/>
    <w:rsid w:val="009A6CA9"/>
    <w:rsid w:val="009A6D5F"/>
    <w:rsid w:val="009A7FBD"/>
    <w:rsid w:val="009B1A42"/>
    <w:rsid w:val="009B1C8D"/>
    <w:rsid w:val="009C019F"/>
    <w:rsid w:val="009C2EED"/>
    <w:rsid w:val="009C4123"/>
    <w:rsid w:val="009C49A3"/>
    <w:rsid w:val="009C51B3"/>
    <w:rsid w:val="009D12E7"/>
    <w:rsid w:val="009D2374"/>
    <w:rsid w:val="009D4216"/>
    <w:rsid w:val="009D7779"/>
    <w:rsid w:val="009D77FE"/>
    <w:rsid w:val="009E381B"/>
    <w:rsid w:val="009E4540"/>
    <w:rsid w:val="009E5CFD"/>
    <w:rsid w:val="009F590D"/>
    <w:rsid w:val="009F764E"/>
    <w:rsid w:val="00A0457E"/>
    <w:rsid w:val="00A10A09"/>
    <w:rsid w:val="00A13027"/>
    <w:rsid w:val="00A14541"/>
    <w:rsid w:val="00A1474A"/>
    <w:rsid w:val="00A149C4"/>
    <w:rsid w:val="00A1791B"/>
    <w:rsid w:val="00A27E4B"/>
    <w:rsid w:val="00A31E0F"/>
    <w:rsid w:val="00A3235E"/>
    <w:rsid w:val="00A3589F"/>
    <w:rsid w:val="00A365E1"/>
    <w:rsid w:val="00A45A02"/>
    <w:rsid w:val="00A45E96"/>
    <w:rsid w:val="00A56D3D"/>
    <w:rsid w:val="00A75ACA"/>
    <w:rsid w:val="00A8048E"/>
    <w:rsid w:val="00A80AD8"/>
    <w:rsid w:val="00A81037"/>
    <w:rsid w:val="00A82C60"/>
    <w:rsid w:val="00A82DDF"/>
    <w:rsid w:val="00A93F47"/>
    <w:rsid w:val="00A95E69"/>
    <w:rsid w:val="00A96B2A"/>
    <w:rsid w:val="00AA0ED6"/>
    <w:rsid w:val="00AA5130"/>
    <w:rsid w:val="00AA723D"/>
    <w:rsid w:val="00AB2CBC"/>
    <w:rsid w:val="00AB507C"/>
    <w:rsid w:val="00AB781A"/>
    <w:rsid w:val="00AC3819"/>
    <w:rsid w:val="00AD765A"/>
    <w:rsid w:val="00AE2EB5"/>
    <w:rsid w:val="00AE3CBB"/>
    <w:rsid w:val="00AF30E8"/>
    <w:rsid w:val="00AF3BBA"/>
    <w:rsid w:val="00B03BB5"/>
    <w:rsid w:val="00B1118C"/>
    <w:rsid w:val="00B14A99"/>
    <w:rsid w:val="00B17211"/>
    <w:rsid w:val="00B21A75"/>
    <w:rsid w:val="00B27DCF"/>
    <w:rsid w:val="00B37D03"/>
    <w:rsid w:val="00B418FA"/>
    <w:rsid w:val="00B427D3"/>
    <w:rsid w:val="00B53DE7"/>
    <w:rsid w:val="00B558E7"/>
    <w:rsid w:val="00B60477"/>
    <w:rsid w:val="00B7040D"/>
    <w:rsid w:val="00B750D5"/>
    <w:rsid w:val="00B800AF"/>
    <w:rsid w:val="00B815D7"/>
    <w:rsid w:val="00B917D9"/>
    <w:rsid w:val="00B969C9"/>
    <w:rsid w:val="00BA30A4"/>
    <w:rsid w:val="00BA3857"/>
    <w:rsid w:val="00BB2CF8"/>
    <w:rsid w:val="00BB5D09"/>
    <w:rsid w:val="00BC4533"/>
    <w:rsid w:val="00BC717D"/>
    <w:rsid w:val="00BC7AD6"/>
    <w:rsid w:val="00BD3DD4"/>
    <w:rsid w:val="00BE0887"/>
    <w:rsid w:val="00BE0BD9"/>
    <w:rsid w:val="00BE4CFF"/>
    <w:rsid w:val="00BF1C1F"/>
    <w:rsid w:val="00C04F2B"/>
    <w:rsid w:val="00C10BB6"/>
    <w:rsid w:val="00C2115F"/>
    <w:rsid w:val="00C24306"/>
    <w:rsid w:val="00C255BC"/>
    <w:rsid w:val="00C3469D"/>
    <w:rsid w:val="00C35242"/>
    <w:rsid w:val="00C4121A"/>
    <w:rsid w:val="00C419F7"/>
    <w:rsid w:val="00C41B9D"/>
    <w:rsid w:val="00C43BF8"/>
    <w:rsid w:val="00C51228"/>
    <w:rsid w:val="00C527E5"/>
    <w:rsid w:val="00C54121"/>
    <w:rsid w:val="00C6038C"/>
    <w:rsid w:val="00C60933"/>
    <w:rsid w:val="00C622BF"/>
    <w:rsid w:val="00C62628"/>
    <w:rsid w:val="00C6684C"/>
    <w:rsid w:val="00C76EFA"/>
    <w:rsid w:val="00C81BA2"/>
    <w:rsid w:val="00C900AE"/>
    <w:rsid w:val="00C923C2"/>
    <w:rsid w:val="00CA5DD3"/>
    <w:rsid w:val="00CB19AC"/>
    <w:rsid w:val="00CC5D6E"/>
    <w:rsid w:val="00CC7F56"/>
    <w:rsid w:val="00CD3B03"/>
    <w:rsid w:val="00CD7FD6"/>
    <w:rsid w:val="00CE40A4"/>
    <w:rsid w:val="00CE6AA5"/>
    <w:rsid w:val="00CF6941"/>
    <w:rsid w:val="00CF6A87"/>
    <w:rsid w:val="00D0013A"/>
    <w:rsid w:val="00D011DA"/>
    <w:rsid w:val="00D24728"/>
    <w:rsid w:val="00D248A8"/>
    <w:rsid w:val="00D27120"/>
    <w:rsid w:val="00D319D8"/>
    <w:rsid w:val="00D3731D"/>
    <w:rsid w:val="00D44068"/>
    <w:rsid w:val="00D466B9"/>
    <w:rsid w:val="00D50D2B"/>
    <w:rsid w:val="00D62953"/>
    <w:rsid w:val="00D70329"/>
    <w:rsid w:val="00D71F6B"/>
    <w:rsid w:val="00D72792"/>
    <w:rsid w:val="00D7450C"/>
    <w:rsid w:val="00D86BFA"/>
    <w:rsid w:val="00D91896"/>
    <w:rsid w:val="00D927ED"/>
    <w:rsid w:val="00D97B31"/>
    <w:rsid w:val="00DA50A3"/>
    <w:rsid w:val="00DA57FA"/>
    <w:rsid w:val="00DC2B52"/>
    <w:rsid w:val="00DC3B85"/>
    <w:rsid w:val="00DC413F"/>
    <w:rsid w:val="00DC6056"/>
    <w:rsid w:val="00DC648C"/>
    <w:rsid w:val="00DC7382"/>
    <w:rsid w:val="00DD1600"/>
    <w:rsid w:val="00DE1F42"/>
    <w:rsid w:val="00DE3B77"/>
    <w:rsid w:val="00DF5665"/>
    <w:rsid w:val="00E001CE"/>
    <w:rsid w:val="00E0104E"/>
    <w:rsid w:val="00E1161E"/>
    <w:rsid w:val="00E21EC9"/>
    <w:rsid w:val="00E236EB"/>
    <w:rsid w:val="00E264FC"/>
    <w:rsid w:val="00E32EA8"/>
    <w:rsid w:val="00E33A2C"/>
    <w:rsid w:val="00E44159"/>
    <w:rsid w:val="00E4643A"/>
    <w:rsid w:val="00E540C5"/>
    <w:rsid w:val="00E5460E"/>
    <w:rsid w:val="00E562AE"/>
    <w:rsid w:val="00E579BA"/>
    <w:rsid w:val="00E655A8"/>
    <w:rsid w:val="00E65CD0"/>
    <w:rsid w:val="00E65D6E"/>
    <w:rsid w:val="00E77A99"/>
    <w:rsid w:val="00E812F7"/>
    <w:rsid w:val="00EA472D"/>
    <w:rsid w:val="00EB2EE1"/>
    <w:rsid w:val="00EB3220"/>
    <w:rsid w:val="00EB52D2"/>
    <w:rsid w:val="00EC45B8"/>
    <w:rsid w:val="00ED32CD"/>
    <w:rsid w:val="00EE5616"/>
    <w:rsid w:val="00EF3D6D"/>
    <w:rsid w:val="00EF7DA7"/>
    <w:rsid w:val="00F03304"/>
    <w:rsid w:val="00F11571"/>
    <w:rsid w:val="00F1637D"/>
    <w:rsid w:val="00F17797"/>
    <w:rsid w:val="00F17A33"/>
    <w:rsid w:val="00F2097E"/>
    <w:rsid w:val="00F2332A"/>
    <w:rsid w:val="00F33F22"/>
    <w:rsid w:val="00F36993"/>
    <w:rsid w:val="00F43775"/>
    <w:rsid w:val="00F45414"/>
    <w:rsid w:val="00F466A5"/>
    <w:rsid w:val="00F4786E"/>
    <w:rsid w:val="00F57179"/>
    <w:rsid w:val="00F60F8D"/>
    <w:rsid w:val="00F80FFB"/>
    <w:rsid w:val="00F831DC"/>
    <w:rsid w:val="00F9738D"/>
    <w:rsid w:val="00FB0C70"/>
    <w:rsid w:val="00FC0D4A"/>
    <w:rsid w:val="00FC0DDB"/>
    <w:rsid w:val="00FC103B"/>
    <w:rsid w:val="00FC1DAA"/>
    <w:rsid w:val="00FC3100"/>
    <w:rsid w:val="00FC336B"/>
    <w:rsid w:val="00FC73A8"/>
    <w:rsid w:val="00FC75D5"/>
    <w:rsid w:val="00FD1AE8"/>
    <w:rsid w:val="00FD1B4E"/>
    <w:rsid w:val="00FD1CD8"/>
    <w:rsid w:val="00FD62FA"/>
    <w:rsid w:val="00FE6834"/>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nnis.johnso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1021</Words>
  <Characters>5987</Characters>
  <Application>Microsoft Office Word</Application>
  <DocSecurity>0</DocSecurity>
  <Lines>107</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7020</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2016-04-04T16:38:00Z</dcterms:created>
  <dcterms:modified xsi:type="dcterms:W3CDTF">2016-04-04T16:38:00Z</dcterms:modified>
  <cp:category> </cp:category>
  <cp:contentStatus> </cp:contentStatus>
</cp:coreProperties>
</file>