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D44" w:rsidRDefault="003E05FE" w:rsidP="00D42D44">
      <w:pPr>
        <w:jc w:val="right"/>
        <w:rPr>
          <w:b/>
          <w:szCs w:val="22"/>
        </w:rPr>
      </w:pPr>
      <w:bookmarkStart w:id="0" w:name="_GoBack"/>
      <w:bookmarkEnd w:id="0"/>
      <w:r>
        <w:rPr>
          <w:b/>
          <w:szCs w:val="22"/>
        </w:rPr>
        <w:t>DA: 16-357</w:t>
      </w:r>
      <w:r w:rsidR="00D42D44">
        <w:rPr>
          <w:b/>
          <w:szCs w:val="22"/>
        </w:rPr>
        <w:t xml:space="preserve"> </w:t>
      </w:r>
    </w:p>
    <w:p w:rsidR="00D42D44" w:rsidRDefault="00EB59EB" w:rsidP="00D42D44">
      <w:pPr>
        <w:jc w:val="right"/>
        <w:rPr>
          <w:b/>
          <w:caps/>
          <w:szCs w:val="22"/>
        </w:rPr>
      </w:pPr>
      <w:r>
        <w:rPr>
          <w:b/>
          <w:szCs w:val="22"/>
        </w:rPr>
        <w:t>Released: April 4, 2016</w:t>
      </w:r>
      <w:r w:rsidR="00D42D44">
        <w:rPr>
          <w:b/>
          <w:szCs w:val="22"/>
        </w:rPr>
        <w:t xml:space="preserve">  </w:t>
      </w:r>
    </w:p>
    <w:p w:rsidR="00D42D44" w:rsidRDefault="00D42D44" w:rsidP="00D42D44">
      <w:pPr>
        <w:spacing w:after="240"/>
        <w:jc w:val="center"/>
        <w:rPr>
          <w:b/>
          <w:caps/>
          <w:szCs w:val="22"/>
        </w:rPr>
      </w:pPr>
    </w:p>
    <w:p w:rsidR="00D42D44" w:rsidRDefault="00D42D44" w:rsidP="00D42D44">
      <w:pPr>
        <w:spacing w:after="240"/>
        <w:jc w:val="center"/>
        <w:rPr>
          <w:b/>
          <w:caps/>
          <w:szCs w:val="22"/>
        </w:rPr>
      </w:pPr>
      <w:r>
        <w:rPr>
          <w:b/>
          <w:caps/>
          <w:szCs w:val="22"/>
        </w:rPr>
        <w:t>Consumer AND Governmental Affairs, WIRELINE COMPETITION, AND WIRELESS TELECOMMUNICATIONS BUREAUS APPROVE OPEN INTERNET BROADBAND CONSUMER LABELS</w:t>
      </w:r>
    </w:p>
    <w:p w:rsidR="00D42D44" w:rsidRDefault="00D42D44" w:rsidP="00D42D44">
      <w:pPr>
        <w:spacing w:after="240"/>
        <w:jc w:val="center"/>
        <w:rPr>
          <w:b/>
          <w:szCs w:val="22"/>
        </w:rPr>
      </w:pPr>
      <w:r>
        <w:rPr>
          <w:b/>
          <w:szCs w:val="22"/>
        </w:rPr>
        <w:t>GN Docket No. 14-28</w:t>
      </w:r>
    </w:p>
    <w:p w:rsidR="00D42D44" w:rsidRDefault="00D42D44" w:rsidP="00D42D44">
      <w:pPr>
        <w:jc w:val="center"/>
        <w:rPr>
          <w:szCs w:val="22"/>
        </w:rPr>
      </w:pPr>
    </w:p>
    <w:p w:rsidR="00D42D44" w:rsidRPr="005971A5" w:rsidRDefault="00D42D44" w:rsidP="00D42D44">
      <w:pPr>
        <w:autoSpaceDE w:val="0"/>
        <w:autoSpaceDN w:val="0"/>
        <w:adjustRightInd w:val="0"/>
        <w:rPr>
          <w:szCs w:val="22"/>
        </w:rPr>
      </w:pPr>
      <w:r w:rsidRPr="005971A5">
        <w:rPr>
          <w:szCs w:val="22"/>
        </w:rPr>
        <w:t xml:space="preserve">With this Public Notice, the Consumer and Governmental Affairs, Wireline Competition, and Wireless Telecommunications </w:t>
      </w:r>
      <w:r>
        <w:rPr>
          <w:szCs w:val="22"/>
        </w:rPr>
        <w:t>B</w:t>
      </w:r>
      <w:r w:rsidRPr="005971A5">
        <w:rPr>
          <w:szCs w:val="22"/>
        </w:rPr>
        <w:t>ureaus (Bureaus) approve</w:t>
      </w:r>
      <w:r>
        <w:rPr>
          <w:szCs w:val="22"/>
        </w:rPr>
        <w:t>,</w:t>
      </w:r>
      <w:r w:rsidRPr="005971A5">
        <w:rPr>
          <w:szCs w:val="22"/>
        </w:rPr>
        <w:t xml:space="preserve"> with modifications</w:t>
      </w:r>
      <w:r>
        <w:rPr>
          <w:szCs w:val="22"/>
        </w:rPr>
        <w:t>,</w:t>
      </w:r>
      <w:r w:rsidRPr="005971A5">
        <w:rPr>
          <w:szCs w:val="22"/>
        </w:rPr>
        <w:t xml:space="preserve"> the consumer broadband label</w:t>
      </w:r>
      <w:r>
        <w:rPr>
          <w:szCs w:val="22"/>
        </w:rPr>
        <w:t>s</w:t>
      </w:r>
      <w:r w:rsidRPr="005971A5">
        <w:rPr>
          <w:szCs w:val="22"/>
        </w:rPr>
        <w:t xml:space="preserve"> proposed by the Commission’s Consumer Advisory Committee (CAC).  The CAC proposed the label</w:t>
      </w:r>
      <w:r>
        <w:rPr>
          <w:szCs w:val="22"/>
        </w:rPr>
        <w:t>s</w:t>
      </w:r>
      <w:r w:rsidRPr="005971A5">
        <w:rPr>
          <w:szCs w:val="22"/>
        </w:rPr>
        <w:t xml:space="preserve"> pursuant to the </w:t>
      </w:r>
      <w:r w:rsidRPr="005971A5">
        <w:rPr>
          <w:i/>
          <w:szCs w:val="22"/>
        </w:rPr>
        <w:t>2015 Open Internet Order</w:t>
      </w:r>
      <w:r w:rsidRPr="005971A5">
        <w:rPr>
          <w:szCs w:val="22"/>
        </w:rPr>
        <w:t xml:space="preserve"> and, as required by the Commission, the label</w:t>
      </w:r>
      <w:r>
        <w:rPr>
          <w:szCs w:val="22"/>
        </w:rPr>
        <w:t>s</w:t>
      </w:r>
      <w:r w:rsidRPr="005971A5">
        <w:rPr>
          <w:szCs w:val="22"/>
        </w:rPr>
        <w:t xml:space="preserve"> will operate as a safe harbor format for broadband providers once the enhanced transparency </w:t>
      </w:r>
      <w:r>
        <w:rPr>
          <w:szCs w:val="22"/>
        </w:rPr>
        <w:t xml:space="preserve">requirements </w:t>
      </w:r>
      <w:r w:rsidRPr="005971A5">
        <w:rPr>
          <w:szCs w:val="22"/>
        </w:rPr>
        <w:t>take effect.</w:t>
      </w:r>
      <w:r w:rsidRPr="008A2226">
        <w:rPr>
          <w:rStyle w:val="FootnoteReference"/>
        </w:rPr>
        <w:footnoteReference w:id="2"/>
      </w:r>
    </w:p>
    <w:p w:rsidR="00D42D44" w:rsidRPr="005971A5" w:rsidRDefault="00D42D44" w:rsidP="00D42D44">
      <w:pPr>
        <w:autoSpaceDE w:val="0"/>
        <w:autoSpaceDN w:val="0"/>
        <w:adjustRightInd w:val="0"/>
        <w:rPr>
          <w:szCs w:val="22"/>
        </w:rPr>
      </w:pPr>
    </w:p>
    <w:p w:rsidR="00D42D44" w:rsidRPr="005971A5" w:rsidRDefault="00D42D44" w:rsidP="00D42D44">
      <w:pPr>
        <w:pStyle w:val="ListParagraph"/>
        <w:ind w:left="0"/>
      </w:pPr>
      <w:r w:rsidRPr="005971A5">
        <w:t xml:space="preserve">In the </w:t>
      </w:r>
      <w:r w:rsidRPr="005971A5">
        <w:rPr>
          <w:i/>
        </w:rPr>
        <w:t>2015 Open Internet Order</w:t>
      </w:r>
      <w:r w:rsidRPr="005971A5">
        <w:t xml:space="preserve"> the Commission enhanced the rule governing broadband providers’ disclosure of commercial terms, network performance, and network management practices.</w:t>
      </w:r>
      <w:r>
        <w:rPr>
          <w:rStyle w:val="FootnoteReference"/>
        </w:rPr>
        <w:footnoteReference w:id="3"/>
      </w:r>
      <w:r w:rsidRPr="005971A5">
        <w:t xml:space="preserve">  The Commission found that consumers need an easy way to understand provider prices, performance, and network practices and required that providers convey the required information in a simple-to-understand format that would enable consumers to compare services of different broadband providers.</w:t>
      </w:r>
      <w:r>
        <w:rPr>
          <w:rStyle w:val="FootnoteReference"/>
        </w:rPr>
        <w:footnoteReference w:id="4"/>
      </w:r>
      <w:r w:rsidRPr="005971A5">
        <w:t xml:space="preserve">  </w:t>
      </w:r>
    </w:p>
    <w:p w:rsidR="00D42D44" w:rsidRPr="005971A5" w:rsidRDefault="00D42D44" w:rsidP="00D42D44">
      <w:pPr>
        <w:pStyle w:val="ListParagraph"/>
        <w:ind w:left="0"/>
      </w:pPr>
    </w:p>
    <w:p w:rsidR="00D42D44" w:rsidRDefault="00D42D44" w:rsidP="00D42D44">
      <w:pPr>
        <w:pStyle w:val="ListParagraph"/>
        <w:ind w:left="0"/>
      </w:pPr>
      <w:r w:rsidRPr="005971A5">
        <w:t xml:space="preserve">The Commission </w:t>
      </w:r>
      <w:r>
        <w:t xml:space="preserve">referred the matter to </w:t>
      </w:r>
      <w:r w:rsidRPr="005971A5">
        <w:t>the CAC to recommend a format that would operate as a safe harbor for the required disclosure format.</w:t>
      </w:r>
      <w:r>
        <w:rPr>
          <w:rStyle w:val="FootnoteReference"/>
        </w:rPr>
        <w:footnoteReference w:id="5"/>
      </w:r>
      <w:r w:rsidRPr="005971A5">
        <w:t xml:space="preserve">  </w:t>
      </w:r>
      <w:r>
        <w:t>The Commission found that the CAC, which is composed of industry and consumer interests, with its experience with consumer disclosure issues was “an ideal body to recommend a disclosure format that should be clear and easy to read – similar to a nutrition label – to allow consumers to easily compare the services of different providers.”</w:t>
      </w:r>
      <w:r>
        <w:rPr>
          <w:rStyle w:val="FootnoteReference"/>
        </w:rPr>
        <w:footnoteReference w:id="6"/>
      </w:r>
      <w:r>
        <w:t xml:space="preserve">  </w:t>
      </w:r>
      <w:r w:rsidRPr="005971A5">
        <w:t xml:space="preserve">The deadline </w:t>
      </w:r>
      <w:r>
        <w:t xml:space="preserve">for the </w:t>
      </w:r>
      <w:r w:rsidRPr="005971A5">
        <w:t xml:space="preserve">CAC recommendation was October 31, 2015, and the Commission delegated to </w:t>
      </w:r>
      <w:r>
        <w:t>the Bureaus authority to issue a Public Notice announcing whether the CAC’s proposal meets its expectations for the safe harbor.</w:t>
      </w:r>
      <w:r>
        <w:rPr>
          <w:rStyle w:val="FootnoteReference"/>
        </w:rPr>
        <w:footnoteReference w:id="7"/>
      </w:r>
      <w:r>
        <w:t xml:space="preserve"> </w:t>
      </w:r>
    </w:p>
    <w:p w:rsidR="00D42D44" w:rsidRDefault="00D42D44" w:rsidP="00D42D44">
      <w:pPr>
        <w:pStyle w:val="ListParagraph"/>
        <w:ind w:left="0"/>
      </w:pPr>
    </w:p>
    <w:p w:rsidR="00D42D44" w:rsidRDefault="00D42D44" w:rsidP="00D42D44">
      <w:pPr>
        <w:pStyle w:val="ListParagraph"/>
        <w:ind w:left="0"/>
      </w:pPr>
      <w:r>
        <w:t>The CAC submitted its proposed labels, one for fixed broadband and one for mobile broadband, and supporting materials on October 26, 2015.</w:t>
      </w:r>
      <w:r>
        <w:rPr>
          <w:rStyle w:val="FootnoteReference"/>
        </w:rPr>
        <w:footnoteReference w:id="8"/>
      </w:r>
      <w:r>
        <w:t xml:space="preserve">  The CAC states its Disclosure Task Force met more than 20 times to discuss and develop the proposed labels, and that the CAC voted for the proposed labels unanimously.</w:t>
      </w:r>
      <w:r>
        <w:rPr>
          <w:rStyle w:val="FootnoteReference"/>
        </w:rPr>
        <w:footnoteReference w:id="9"/>
      </w:r>
      <w:r>
        <w:t xml:space="preserve">  The Bureaus find that the CAC’s proposed labels substantially fulfill the goals of the </w:t>
      </w:r>
      <w:r w:rsidRPr="0050465B">
        <w:rPr>
          <w:i/>
        </w:rPr>
        <w:t>2015 Open Internet Order</w:t>
      </w:r>
      <w:r>
        <w:t xml:space="preserve"> by providing a simple-to-understand format describing the key factors consumers need to know when considering broadband service, including:  price, data allowances, speeds, and management practices, among other things.  We find the proposed format displays these terms in plain language that is easy to understand without overwhelming consumers with too much information.     </w:t>
      </w:r>
    </w:p>
    <w:p w:rsidR="00D42D44" w:rsidRDefault="00D42D44" w:rsidP="00D42D44">
      <w:pPr>
        <w:pStyle w:val="ListParagraph"/>
        <w:ind w:left="0"/>
      </w:pPr>
    </w:p>
    <w:p w:rsidR="00D42D44" w:rsidRPr="005971A5" w:rsidRDefault="00D42D44" w:rsidP="00D42D44">
      <w:pPr>
        <w:pStyle w:val="ListParagraph"/>
        <w:ind w:left="0"/>
      </w:pPr>
      <w:r>
        <w:t xml:space="preserve">We therefore find that, with the changes incorporated into the attached labels and instructions attached to  this Public Notice, the CAC’s proposed labels should operate as the safe harbor for the format and nature of the required disclosure to consumers prescribed in the </w:t>
      </w:r>
      <w:r w:rsidRPr="00432CC2">
        <w:rPr>
          <w:i/>
        </w:rPr>
        <w:t>2015 Open Internet Order</w:t>
      </w:r>
      <w:r>
        <w:t>.</w:t>
      </w:r>
      <w:r>
        <w:rPr>
          <w:rStyle w:val="FootnoteReference"/>
        </w:rPr>
        <w:footnoteReference w:id="10"/>
      </w:r>
      <w:r>
        <w:t xml:space="preserve">  The changes are consistent with the Order’s directive that the labels be similar to a nutrition label</w:t>
      </w:r>
      <w:r>
        <w:rPr>
          <w:rStyle w:val="FootnoteReference"/>
        </w:rPr>
        <w:footnoteReference w:id="11"/>
      </w:r>
      <w:r>
        <w:t xml:space="preserve"> and the CAC’s recommendation that the Commission use design expertise to make the labels consumer-friendly.</w:t>
      </w:r>
      <w:r>
        <w:rPr>
          <w:rStyle w:val="FootnoteReference"/>
        </w:rPr>
        <w:footnoteReference w:id="12"/>
      </w:r>
      <w:r>
        <w:t xml:space="preserve">  We reiterate and remind broadband providers that the labels must be provided in accessible formats.</w:t>
      </w:r>
      <w:r>
        <w:rPr>
          <w:rStyle w:val="FootnoteReference"/>
        </w:rPr>
        <w:footnoteReference w:id="13"/>
      </w:r>
      <w:r>
        <w:t xml:space="preserve">  </w:t>
      </w:r>
      <w:r w:rsidRPr="008A2226">
        <w:t xml:space="preserve">While the labels in the attachment </w:t>
      </w:r>
      <w:r>
        <w:t>may be used as a</w:t>
      </w:r>
      <w:r w:rsidRPr="008A2226">
        <w:t xml:space="preserve"> safe harbor after the enhanced transparency rules have taken effect,</w:t>
      </w:r>
      <w:r>
        <w:t xml:space="preserve"> broadband providers may of course begin using the labels before that time and we encourage them to do so.</w:t>
      </w:r>
    </w:p>
    <w:p w:rsidR="00D42D44" w:rsidRDefault="00D42D44" w:rsidP="00D42D44">
      <w:pPr>
        <w:autoSpaceDE w:val="0"/>
        <w:autoSpaceDN w:val="0"/>
        <w:adjustRightInd w:val="0"/>
        <w:rPr>
          <w:szCs w:val="22"/>
        </w:rPr>
      </w:pPr>
    </w:p>
    <w:p w:rsidR="00D42D44" w:rsidRDefault="00D42D44" w:rsidP="00D42D44">
      <w:pPr>
        <w:rPr>
          <w:szCs w:val="22"/>
        </w:rPr>
      </w:pPr>
      <w:r>
        <w:rPr>
          <w:b/>
          <w:szCs w:val="22"/>
        </w:rPr>
        <w:t>FOR FURTHER INFORMATION CONTACT:</w:t>
      </w:r>
      <w:r>
        <w:rPr>
          <w:szCs w:val="22"/>
        </w:rPr>
        <w:t xml:space="preserve">  </w:t>
      </w:r>
      <w:r w:rsidRPr="006E14E4">
        <w:rPr>
          <w:szCs w:val="22"/>
        </w:rPr>
        <w:t>Jerusha Burnett, Consumer and Governmental Affairs Bureau, Federal Communications Commission, (202) 418-0526; Jerusha.Burnett@fcc.gov.</w:t>
      </w:r>
    </w:p>
    <w:p w:rsidR="00D42D44" w:rsidRDefault="00D42D44" w:rsidP="00D42D44">
      <w:pPr>
        <w:rPr>
          <w:szCs w:val="22"/>
        </w:rPr>
      </w:pPr>
    </w:p>
    <w:p w:rsidR="00D42D44" w:rsidRDefault="00D42D44" w:rsidP="00D42D44">
      <w:pPr>
        <w:jc w:val="center"/>
        <w:rPr>
          <w:b/>
          <w:sz w:val="24"/>
          <w:szCs w:val="24"/>
        </w:rPr>
      </w:pPr>
      <w:r>
        <w:rPr>
          <w:b/>
          <w:sz w:val="24"/>
          <w:szCs w:val="24"/>
        </w:rPr>
        <w:t>-FCC-</w:t>
      </w:r>
    </w:p>
    <w:p w:rsidR="00D42D44" w:rsidRDefault="00D42D44" w:rsidP="00D42D44">
      <w:pPr>
        <w:spacing w:before="120"/>
        <w:rPr>
          <w:sz w:val="24"/>
        </w:rPr>
      </w:pPr>
      <w:r>
        <w:rPr>
          <w:b/>
          <w:sz w:val="24"/>
          <w:szCs w:val="24"/>
        </w:rPr>
        <w:br w:type="page"/>
      </w:r>
    </w:p>
    <w:p w:rsidR="00D361D1" w:rsidRDefault="00D361D1" w:rsidP="00D361D1">
      <w:pPr>
        <w:jc w:val="center"/>
        <w:rPr>
          <w:sz w:val="72"/>
          <w:szCs w:val="72"/>
        </w:rPr>
      </w:pPr>
    </w:p>
    <w:p w:rsidR="00D361D1" w:rsidRDefault="00D361D1" w:rsidP="00E1380D">
      <w:pPr>
        <w:jc w:val="center"/>
        <w:rPr>
          <w:sz w:val="72"/>
          <w:szCs w:val="72"/>
        </w:rPr>
      </w:pPr>
    </w:p>
    <w:p w:rsidR="00D361D1" w:rsidRDefault="00D361D1" w:rsidP="00E1380D">
      <w:pPr>
        <w:jc w:val="center"/>
        <w:rPr>
          <w:sz w:val="72"/>
          <w:szCs w:val="72"/>
        </w:rPr>
      </w:pPr>
    </w:p>
    <w:p w:rsidR="00D361D1" w:rsidRDefault="00D361D1" w:rsidP="00E1380D">
      <w:pPr>
        <w:jc w:val="center"/>
        <w:rPr>
          <w:sz w:val="72"/>
          <w:szCs w:val="72"/>
        </w:rPr>
      </w:pPr>
    </w:p>
    <w:p w:rsidR="00043339" w:rsidRDefault="00043339" w:rsidP="0006127C">
      <w:pPr>
        <w:rPr>
          <w:sz w:val="72"/>
          <w:szCs w:val="72"/>
        </w:rPr>
      </w:pPr>
    </w:p>
    <w:p w:rsidR="00D361D1" w:rsidRDefault="00D361D1" w:rsidP="00E1380D">
      <w:pPr>
        <w:jc w:val="center"/>
        <w:rPr>
          <w:sz w:val="72"/>
          <w:szCs w:val="72"/>
        </w:rPr>
      </w:pPr>
    </w:p>
    <w:p w:rsidR="00EB59EB" w:rsidRPr="00EB59EB" w:rsidRDefault="00D361D1" w:rsidP="00E1380D">
      <w:pPr>
        <w:jc w:val="center"/>
        <w:rPr>
          <w:sz w:val="52"/>
          <w:szCs w:val="52"/>
        </w:rPr>
      </w:pPr>
      <w:r w:rsidRPr="00EB59EB">
        <w:rPr>
          <w:sz w:val="52"/>
          <w:szCs w:val="52"/>
        </w:rPr>
        <w:t xml:space="preserve">Fixed Broadband Consumer Disclosure </w:t>
      </w:r>
    </w:p>
    <w:p w:rsidR="00D361D1" w:rsidRPr="00EB59EB" w:rsidRDefault="00D361D1" w:rsidP="00E1380D">
      <w:pPr>
        <w:jc w:val="center"/>
        <w:rPr>
          <w:sz w:val="52"/>
          <w:szCs w:val="52"/>
        </w:rPr>
      </w:pPr>
      <w:r w:rsidRPr="00EB59EB">
        <w:rPr>
          <w:sz w:val="52"/>
          <w:szCs w:val="52"/>
        </w:rPr>
        <w:t>Blank Label</w:t>
      </w:r>
    </w:p>
    <w:p w:rsidR="006A1F49" w:rsidRDefault="006A1F49" w:rsidP="00E1380D">
      <w:pPr>
        <w:spacing w:before="120" w:after="240"/>
        <w:jc w:val="center"/>
        <w:rPr>
          <w:sz w:val="24"/>
        </w:rPr>
      </w:pPr>
    </w:p>
    <w:p w:rsidR="00D361D1" w:rsidRDefault="00D361D1" w:rsidP="00E1380D">
      <w:pPr>
        <w:spacing w:before="120" w:after="240"/>
        <w:jc w:val="center"/>
        <w:rPr>
          <w:sz w:val="24"/>
        </w:rPr>
      </w:pPr>
    </w:p>
    <w:p w:rsidR="00D361D1" w:rsidRDefault="00D361D1" w:rsidP="00E1380D">
      <w:pPr>
        <w:spacing w:before="120" w:after="240"/>
        <w:jc w:val="center"/>
        <w:rPr>
          <w:sz w:val="24"/>
        </w:rPr>
      </w:pPr>
    </w:p>
    <w:p w:rsidR="00D361D1" w:rsidRDefault="00D361D1" w:rsidP="00E1380D">
      <w:pPr>
        <w:spacing w:before="120" w:after="240"/>
        <w:jc w:val="center"/>
        <w:rPr>
          <w:sz w:val="24"/>
        </w:rPr>
      </w:pPr>
    </w:p>
    <w:p w:rsidR="00D361D1" w:rsidRDefault="00D361D1" w:rsidP="00E1380D">
      <w:pPr>
        <w:spacing w:before="120" w:after="240"/>
        <w:jc w:val="center"/>
        <w:rPr>
          <w:sz w:val="24"/>
        </w:rPr>
      </w:pPr>
    </w:p>
    <w:p w:rsidR="00D361D1" w:rsidRDefault="00D361D1" w:rsidP="00E1380D">
      <w:pPr>
        <w:spacing w:before="120" w:after="240"/>
        <w:jc w:val="center"/>
        <w:rPr>
          <w:sz w:val="24"/>
        </w:rPr>
      </w:pPr>
    </w:p>
    <w:p w:rsidR="00D361D1" w:rsidRDefault="00D361D1" w:rsidP="00E1380D">
      <w:pPr>
        <w:spacing w:before="120" w:after="240"/>
        <w:jc w:val="center"/>
        <w:rPr>
          <w:sz w:val="24"/>
        </w:rPr>
      </w:pPr>
    </w:p>
    <w:p w:rsidR="00D361D1" w:rsidRDefault="00D361D1" w:rsidP="00E1380D">
      <w:pPr>
        <w:spacing w:before="120" w:after="240"/>
        <w:jc w:val="center"/>
        <w:rPr>
          <w:sz w:val="24"/>
        </w:rPr>
      </w:pPr>
    </w:p>
    <w:p w:rsidR="00D361D1" w:rsidRDefault="00D361D1" w:rsidP="00E1380D">
      <w:pPr>
        <w:spacing w:before="120" w:after="240"/>
        <w:jc w:val="center"/>
        <w:rPr>
          <w:sz w:val="24"/>
        </w:rPr>
      </w:pPr>
    </w:p>
    <w:p w:rsidR="00043339" w:rsidRDefault="00043339" w:rsidP="00E1380D">
      <w:pPr>
        <w:spacing w:before="120" w:after="240"/>
        <w:jc w:val="center"/>
        <w:rPr>
          <w:sz w:val="24"/>
        </w:rPr>
      </w:pPr>
    </w:p>
    <w:p w:rsidR="00043339" w:rsidRDefault="00043339" w:rsidP="00E1380D">
      <w:pPr>
        <w:spacing w:before="120" w:after="240"/>
        <w:jc w:val="center"/>
        <w:rPr>
          <w:sz w:val="24"/>
        </w:rPr>
      </w:pPr>
    </w:p>
    <w:p w:rsidR="00043339" w:rsidRDefault="00043339" w:rsidP="00E1380D">
      <w:pPr>
        <w:spacing w:before="120" w:after="240"/>
        <w:jc w:val="center"/>
        <w:rPr>
          <w:sz w:val="24"/>
        </w:rPr>
      </w:pPr>
      <w:r>
        <w:rPr>
          <w:noProof/>
          <w:sz w:val="24"/>
        </w:rPr>
        <w:lastRenderedPageBreak/>
        <w:drawing>
          <wp:inline distT="0" distB="0" distL="0" distR="0">
            <wp:extent cx="5170805" cy="8686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XED Broadband Label Blank 3.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70805" cy="8686800"/>
                    </a:xfrm>
                    <a:prstGeom prst="rect">
                      <a:avLst/>
                    </a:prstGeom>
                  </pic:spPr>
                </pic:pic>
              </a:graphicData>
            </a:graphic>
          </wp:inline>
        </w:drawing>
      </w:r>
    </w:p>
    <w:p w:rsidR="0006127C" w:rsidRDefault="0006127C" w:rsidP="0006127C">
      <w:pPr>
        <w:jc w:val="center"/>
        <w:rPr>
          <w:sz w:val="72"/>
          <w:szCs w:val="72"/>
        </w:rPr>
      </w:pPr>
    </w:p>
    <w:p w:rsidR="0006127C" w:rsidRDefault="0006127C" w:rsidP="0006127C">
      <w:pPr>
        <w:jc w:val="center"/>
        <w:rPr>
          <w:sz w:val="72"/>
          <w:szCs w:val="72"/>
        </w:rPr>
      </w:pPr>
    </w:p>
    <w:p w:rsidR="0006127C" w:rsidRDefault="0006127C" w:rsidP="0006127C">
      <w:pPr>
        <w:jc w:val="center"/>
        <w:rPr>
          <w:sz w:val="72"/>
          <w:szCs w:val="72"/>
        </w:rPr>
      </w:pPr>
    </w:p>
    <w:p w:rsidR="0006127C" w:rsidRDefault="0006127C" w:rsidP="0006127C">
      <w:pPr>
        <w:jc w:val="center"/>
        <w:rPr>
          <w:sz w:val="72"/>
          <w:szCs w:val="72"/>
        </w:rPr>
      </w:pPr>
    </w:p>
    <w:p w:rsidR="0006127C" w:rsidRDefault="0006127C" w:rsidP="0006127C">
      <w:pPr>
        <w:rPr>
          <w:sz w:val="72"/>
          <w:szCs w:val="72"/>
        </w:rPr>
      </w:pPr>
    </w:p>
    <w:p w:rsidR="0006127C" w:rsidRDefault="0006127C" w:rsidP="0006127C">
      <w:pPr>
        <w:jc w:val="center"/>
        <w:rPr>
          <w:sz w:val="72"/>
          <w:szCs w:val="72"/>
        </w:rPr>
      </w:pPr>
    </w:p>
    <w:p w:rsidR="00EB59EB" w:rsidRPr="00EB59EB" w:rsidRDefault="00EB59EB" w:rsidP="00EB59EB">
      <w:pPr>
        <w:pStyle w:val="ListParagraph"/>
        <w:contextualSpacing w:val="0"/>
        <w:jc w:val="center"/>
        <w:rPr>
          <w:sz w:val="52"/>
          <w:szCs w:val="52"/>
        </w:rPr>
      </w:pPr>
      <w:r w:rsidRPr="00EB59EB">
        <w:rPr>
          <w:sz w:val="52"/>
          <w:szCs w:val="52"/>
        </w:rPr>
        <w:t xml:space="preserve">Fixed Broadband Consumer </w:t>
      </w:r>
      <w:r w:rsidR="003B43F6" w:rsidRPr="00EB59EB">
        <w:rPr>
          <w:sz w:val="52"/>
          <w:szCs w:val="52"/>
        </w:rPr>
        <w:t>Disclosure</w:t>
      </w:r>
    </w:p>
    <w:p w:rsidR="003B43F6" w:rsidRPr="00EB59EB" w:rsidRDefault="003B43F6" w:rsidP="00E1380D">
      <w:pPr>
        <w:pStyle w:val="ListParagraph"/>
        <w:contextualSpacing w:val="0"/>
        <w:jc w:val="center"/>
        <w:rPr>
          <w:sz w:val="52"/>
          <w:szCs w:val="52"/>
        </w:rPr>
      </w:pPr>
      <w:r w:rsidRPr="00EB59EB">
        <w:rPr>
          <w:sz w:val="52"/>
          <w:szCs w:val="52"/>
        </w:rPr>
        <w:t>Provider Instructions</w:t>
      </w:r>
    </w:p>
    <w:p w:rsidR="00D361D1" w:rsidRDefault="00D361D1" w:rsidP="00E1380D">
      <w:pPr>
        <w:spacing w:before="120" w:after="240"/>
        <w:jc w:val="center"/>
        <w:rPr>
          <w:sz w:val="24"/>
        </w:rPr>
      </w:pPr>
    </w:p>
    <w:p w:rsidR="003B43F6" w:rsidRDefault="003B43F6" w:rsidP="00E1380D">
      <w:pPr>
        <w:spacing w:before="120" w:after="240"/>
        <w:jc w:val="center"/>
        <w:rPr>
          <w:sz w:val="24"/>
        </w:rPr>
      </w:pPr>
    </w:p>
    <w:p w:rsidR="003B43F6" w:rsidRDefault="003B43F6" w:rsidP="00E1380D">
      <w:pPr>
        <w:spacing w:before="120" w:after="240"/>
        <w:jc w:val="center"/>
        <w:rPr>
          <w:sz w:val="24"/>
        </w:rPr>
      </w:pPr>
    </w:p>
    <w:p w:rsidR="003B43F6" w:rsidRDefault="003B43F6" w:rsidP="00E1380D">
      <w:pPr>
        <w:spacing w:before="120" w:after="240"/>
        <w:jc w:val="center"/>
        <w:rPr>
          <w:sz w:val="24"/>
        </w:rPr>
      </w:pPr>
    </w:p>
    <w:p w:rsidR="003B43F6" w:rsidRDefault="003B43F6" w:rsidP="00E1380D">
      <w:pPr>
        <w:spacing w:before="120" w:after="240"/>
        <w:jc w:val="center"/>
        <w:rPr>
          <w:sz w:val="24"/>
        </w:rPr>
      </w:pPr>
    </w:p>
    <w:p w:rsidR="003B43F6" w:rsidRDefault="003B43F6" w:rsidP="00E1380D">
      <w:pPr>
        <w:spacing w:before="120" w:after="240"/>
        <w:jc w:val="center"/>
        <w:rPr>
          <w:sz w:val="24"/>
        </w:rPr>
      </w:pPr>
    </w:p>
    <w:p w:rsidR="003B43F6" w:rsidRDefault="003B43F6" w:rsidP="00E1380D">
      <w:pPr>
        <w:spacing w:before="120" w:after="240"/>
        <w:jc w:val="center"/>
        <w:rPr>
          <w:sz w:val="24"/>
        </w:rPr>
      </w:pPr>
    </w:p>
    <w:p w:rsidR="003B43F6" w:rsidRDefault="003B43F6" w:rsidP="00E1380D">
      <w:pPr>
        <w:spacing w:before="120" w:after="240"/>
        <w:jc w:val="center"/>
        <w:rPr>
          <w:sz w:val="24"/>
        </w:rPr>
      </w:pPr>
    </w:p>
    <w:p w:rsidR="003B43F6" w:rsidRDefault="003B43F6" w:rsidP="00E1380D">
      <w:pPr>
        <w:spacing w:before="120" w:after="240"/>
        <w:jc w:val="center"/>
        <w:rPr>
          <w:sz w:val="24"/>
        </w:rPr>
      </w:pPr>
    </w:p>
    <w:p w:rsidR="00043339" w:rsidRDefault="00043339" w:rsidP="00E1380D">
      <w:pPr>
        <w:spacing w:before="120" w:after="240"/>
        <w:jc w:val="center"/>
        <w:rPr>
          <w:sz w:val="24"/>
        </w:rPr>
      </w:pPr>
    </w:p>
    <w:p w:rsidR="00043339" w:rsidRDefault="00043339" w:rsidP="00E1380D">
      <w:pPr>
        <w:spacing w:before="120" w:after="240"/>
        <w:jc w:val="center"/>
        <w:rPr>
          <w:sz w:val="24"/>
        </w:rPr>
      </w:pPr>
    </w:p>
    <w:p w:rsidR="00043339" w:rsidRDefault="00043339" w:rsidP="00E1380D">
      <w:pPr>
        <w:spacing w:before="120" w:after="240"/>
        <w:jc w:val="center"/>
        <w:rPr>
          <w:sz w:val="24"/>
        </w:rPr>
      </w:pPr>
      <w:r>
        <w:rPr>
          <w:noProof/>
          <w:sz w:val="24"/>
        </w:rPr>
        <w:lastRenderedPageBreak/>
        <w:drawing>
          <wp:inline distT="0" distB="0" distL="0" distR="0">
            <wp:extent cx="5104765" cy="86868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XED p1 Broadband Label Instructions 3.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04765" cy="8686800"/>
                    </a:xfrm>
                    <a:prstGeom prst="rect">
                      <a:avLst/>
                    </a:prstGeom>
                  </pic:spPr>
                </pic:pic>
              </a:graphicData>
            </a:graphic>
          </wp:inline>
        </w:drawing>
      </w:r>
    </w:p>
    <w:p w:rsidR="00043339" w:rsidRDefault="00043339" w:rsidP="00E1380D">
      <w:pPr>
        <w:spacing w:before="120" w:after="240"/>
        <w:jc w:val="center"/>
        <w:rPr>
          <w:sz w:val="24"/>
        </w:rPr>
      </w:pPr>
      <w:r>
        <w:rPr>
          <w:noProof/>
          <w:sz w:val="24"/>
        </w:rPr>
        <w:drawing>
          <wp:inline distT="0" distB="0" distL="0" distR="0">
            <wp:extent cx="5066583" cy="396557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XED p2 Broadband Label Instructions 3.3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85645" cy="3980495"/>
                    </a:xfrm>
                    <a:prstGeom prst="rect">
                      <a:avLst/>
                    </a:prstGeom>
                  </pic:spPr>
                </pic:pic>
              </a:graphicData>
            </a:graphic>
          </wp:inline>
        </w:drawing>
      </w:r>
    </w:p>
    <w:p w:rsidR="003B43F6" w:rsidRDefault="003B43F6" w:rsidP="00E1380D">
      <w:pPr>
        <w:spacing w:before="120" w:after="240"/>
        <w:jc w:val="center"/>
        <w:rPr>
          <w:sz w:val="24"/>
        </w:rPr>
      </w:pPr>
    </w:p>
    <w:p w:rsidR="003B43F6" w:rsidRDefault="003B43F6" w:rsidP="00E1380D">
      <w:pPr>
        <w:spacing w:before="120"/>
        <w:jc w:val="center"/>
        <w:rPr>
          <w:sz w:val="24"/>
        </w:rPr>
      </w:pPr>
      <w:r>
        <w:rPr>
          <w:b/>
          <w:sz w:val="24"/>
          <w:szCs w:val="24"/>
        </w:rPr>
        <w:br w:type="page"/>
      </w:r>
    </w:p>
    <w:p w:rsidR="0006127C" w:rsidRDefault="0006127C" w:rsidP="0006127C">
      <w:pPr>
        <w:jc w:val="center"/>
        <w:rPr>
          <w:sz w:val="72"/>
          <w:szCs w:val="72"/>
        </w:rPr>
      </w:pPr>
    </w:p>
    <w:p w:rsidR="0006127C" w:rsidRDefault="0006127C" w:rsidP="0006127C">
      <w:pPr>
        <w:jc w:val="center"/>
        <w:rPr>
          <w:sz w:val="72"/>
          <w:szCs w:val="72"/>
        </w:rPr>
      </w:pPr>
    </w:p>
    <w:p w:rsidR="0006127C" w:rsidRDefault="0006127C" w:rsidP="0006127C">
      <w:pPr>
        <w:jc w:val="center"/>
        <w:rPr>
          <w:sz w:val="72"/>
          <w:szCs w:val="72"/>
        </w:rPr>
      </w:pPr>
    </w:p>
    <w:p w:rsidR="0006127C" w:rsidRDefault="0006127C" w:rsidP="0006127C">
      <w:pPr>
        <w:jc w:val="center"/>
        <w:rPr>
          <w:sz w:val="72"/>
          <w:szCs w:val="72"/>
        </w:rPr>
      </w:pPr>
    </w:p>
    <w:p w:rsidR="0006127C" w:rsidRDefault="0006127C" w:rsidP="0006127C">
      <w:pPr>
        <w:rPr>
          <w:sz w:val="72"/>
          <w:szCs w:val="72"/>
        </w:rPr>
      </w:pPr>
    </w:p>
    <w:p w:rsidR="0006127C" w:rsidRDefault="0006127C" w:rsidP="0006127C">
      <w:pPr>
        <w:jc w:val="center"/>
        <w:rPr>
          <w:sz w:val="72"/>
          <w:szCs w:val="72"/>
        </w:rPr>
      </w:pPr>
    </w:p>
    <w:p w:rsidR="003B43F6" w:rsidRDefault="003B43F6" w:rsidP="00E1380D">
      <w:pPr>
        <w:jc w:val="center"/>
        <w:rPr>
          <w:color w:val="1F497D"/>
        </w:rPr>
      </w:pPr>
    </w:p>
    <w:p w:rsidR="00EB59EB" w:rsidRPr="00EB59EB" w:rsidRDefault="003B43F6" w:rsidP="00E1380D">
      <w:pPr>
        <w:jc w:val="center"/>
        <w:rPr>
          <w:sz w:val="52"/>
          <w:szCs w:val="52"/>
        </w:rPr>
      </w:pPr>
      <w:r w:rsidRPr="00EB59EB">
        <w:rPr>
          <w:sz w:val="52"/>
          <w:szCs w:val="52"/>
        </w:rPr>
        <w:t xml:space="preserve">Mobile Broadband Consumer Disclosure </w:t>
      </w:r>
    </w:p>
    <w:p w:rsidR="003B43F6" w:rsidRPr="00EB59EB" w:rsidRDefault="003B43F6" w:rsidP="00E1380D">
      <w:pPr>
        <w:jc w:val="center"/>
        <w:rPr>
          <w:sz w:val="52"/>
          <w:szCs w:val="52"/>
        </w:rPr>
      </w:pPr>
      <w:r w:rsidRPr="00EB59EB">
        <w:rPr>
          <w:sz w:val="52"/>
          <w:szCs w:val="52"/>
        </w:rPr>
        <w:t>Blank Label</w:t>
      </w:r>
    </w:p>
    <w:p w:rsidR="003B43F6" w:rsidRDefault="003B43F6" w:rsidP="00E1380D">
      <w:pPr>
        <w:spacing w:before="120" w:after="240"/>
        <w:jc w:val="center"/>
        <w:rPr>
          <w:sz w:val="24"/>
        </w:rPr>
      </w:pPr>
    </w:p>
    <w:p w:rsidR="003B43F6" w:rsidRDefault="003B43F6" w:rsidP="00E1380D">
      <w:pPr>
        <w:spacing w:before="120" w:after="240"/>
        <w:jc w:val="center"/>
        <w:rPr>
          <w:sz w:val="24"/>
        </w:rPr>
      </w:pPr>
    </w:p>
    <w:p w:rsidR="003B43F6" w:rsidRDefault="003B43F6" w:rsidP="00E1380D">
      <w:pPr>
        <w:spacing w:before="120" w:after="240"/>
        <w:jc w:val="center"/>
        <w:rPr>
          <w:sz w:val="24"/>
        </w:rPr>
      </w:pPr>
    </w:p>
    <w:p w:rsidR="003B43F6" w:rsidRDefault="003B43F6" w:rsidP="00E1380D">
      <w:pPr>
        <w:spacing w:before="120" w:after="240"/>
        <w:jc w:val="center"/>
        <w:rPr>
          <w:sz w:val="24"/>
        </w:rPr>
      </w:pPr>
    </w:p>
    <w:p w:rsidR="003B43F6" w:rsidRDefault="003B43F6" w:rsidP="00E1380D">
      <w:pPr>
        <w:spacing w:before="120" w:after="240"/>
        <w:jc w:val="center"/>
        <w:rPr>
          <w:sz w:val="24"/>
        </w:rPr>
      </w:pPr>
    </w:p>
    <w:p w:rsidR="003B43F6" w:rsidRDefault="003B43F6" w:rsidP="00E1380D">
      <w:pPr>
        <w:spacing w:before="120" w:after="240"/>
        <w:jc w:val="center"/>
        <w:rPr>
          <w:sz w:val="24"/>
        </w:rPr>
      </w:pPr>
    </w:p>
    <w:p w:rsidR="003B43F6" w:rsidRDefault="003B43F6" w:rsidP="00E1380D">
      <w:pPr>
        <w:spacing w:before="120" w:after="240"/>
        <w:jc w:val="center"/>
        <w:rPr>
          <w:sz w:val="24"/>
        </w:rPr>
      </w:pPr>
    </w:p>
    <w:p w:rsidR="003B43F6" w:rsidRDefault="003B43F6" w:rsidP="00E1380D">
      <w:pPr>
        <w:spacing w:before="120" w:after="240"/>
        <w:jc w:val="center"/>
        <w:rPr>
          <w:sz w:val="24"/>
        </w:rPr>
      </w:pPr>
    </w:p>
    <w:p w:rsidR="003B43F6" w:rsidRDefault="003B43F6" w:rsidP="00E1380D">
      <w:pPr>
        <w:spacing w:before="120" w:after="240"/>
        <w:jc w:val="center"/>
        <w:rPr>
          <w:sz w:val="24"/>
        </w:rPr>
      </w:pPr>
    </w:p>
    <w:p w:rsidR="003B43F6" w:rsidRDefault="003B43F6" w:rsidP="00E1380D">
      <w:pPr>
        <w:spacing w:before="120" w:after="240"/>
        <w:jc w:val="center"/>
        <w:rPr>
          <w:sz w:val="24"/>
        </w:rPr>
      </w:pPr>
    </w:p>
    <w:p w:rsidR="003B43F6" w:rsidRDefault="003B43F6" w:rsidP="00E1380D">
      <w:pPr>
        <w:spacing w:before="120" w:after="240"/>
        <w:jc w:val="center"/>
        <w:rPr>
          <w:sz w:val="24"/>
        </w:rPr>
      </w:pPr>
    </w:p>
    <w:p w:rsidR="003B43F6" w:rsidRDefault="003B43F6" w:rsidP="00E1380D">
      <w:pPr>
        <w:spacing w:before="120" w:after="240"/>
        <w:jc w:val="center"/>
        <w:rPr>
          <w:sz w:val="24"/>
        </w:rPr>
      </w:pPr>
    </w:p>
    <w:p w:rsidR="003B43F6" w:rsidRDefault="003B43F6" w:rsidP="00E1380D">
      <w:pPr>
        <w:spacing w:before="120"/>
        <w:jc w:val="center"/>
        <w:rPr>
          <w:sz w:val="24"/>
        </w:rPr>
      </w:pPr>
      <w:r>
        <w:rPr>
          <w:b/>
          <w:sz w:val="24"/>
          <w:szCs w:val="24"/>
        </w:rPr>
        <w:br w:type="page"/>
      </w:r>
      <w:r w:rsidR="00D02768">
        <w:rPr>
          <w:noProof/>
          <w:sz w:val="24"/>
        </w:rPr>
        <w:drawing>
          <wp:inline distT="0" distB="0" distL="0" distR="0">
            <wp:extent cx="4466590" cy="8686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BILE Broadband Label Blank 3.3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66590" cy="8686800"/>
                    </a:xfrm>
                    <a:prstGeom prst="rect">
                      <a:avLst/>
                    </a:prstGeom>
                  </pic:spPr>
                </pic:pic>
              </a:graphicData>
            </a:graphic>
          </wp:inline>
        </w:drawing>
      </w:r>
    </w:p>
    <w:p w:rsidR="0006127C" w:rsidRDefault="0006127C" w:rsidP="0006127C">
      <w:pPr>
        <w:jc w:val="center"/>
        <w:rPr>
          <w:sz w:val="72"/>
          <w:szCs w:val="72"/>
        </w:rPr>
      </w:pPr>
    </w:p>
    <w:p w:rsidR="0006127C" w:rsidRDefault="0006127C" w:rsidP="0006127C">
      <w:pPr>
        <w:jc w:val="center"/>
        <w:rPr>
          <w:sz w:val="72"/>
          <w:szCs w:val="72"/>
        </w:rPr>
      </w:pPr>
    </w:p>
    <w:p w:rsidR="0006127C" w:rsidRDefault="0006127C" w:rsidP="0006127C">
      <w:pPr>
        <w:jc w:val="center"/>
        <w:rPr>
          <w:sz w:val="72"/>
          <w:szCs w:val="72"/>
        </w:rPr>
      </w:pPr>
    </w:p>
    <w:p w:rsidR="0006127C" w:rsidRDefault="0006127C" w:rsidP="0006127C">
      <w:pPr>
        <w:jc w:val="center"/>
        <w:rPr>
          <w:sz w:val="72"/>
          <w:szCs w:val="72"/>
        </w:rPr>
      </w:pPr>
    </w:p>
    <w:p w:rsidR="0006127C" w:rsidRDefault="0006127C" w:rsidP="0006127C">
      <w:pPr>
        <w:rPr>
          <w:sz w:val="72"/>
          <w:szCs w:val="72"/>
        </w:rPr>
      </w:pPr>
    </w:p>
    <w:p w:rsidR="003B43F6" w:rsidRDefault="003B43F6" w:rsidP="0006127C">
      <w:pPr>
        <w:rPr>
          <w:sz w:val="72"/>
          <w:szCs w:val="72"/>
        </w:rPr>
      </w:pPr>
    </w:p>
    <w:p w:rsidR="00EB59EB" w:rsidRPr="00EB59EB" w:rsidRDefault="003B43F6" w:rsidP="00E1380D">
      <w:pPr>
        <w:jc w:val="center"/>
        <w:rPr>
          <w:sz w:val="52"/>
          <w:szCs w:val="52"/>
        </w:rPr>
      </w:pPr>
      <w:r w:rsidRPr="00EB59EB">
        <w:rPr>
          <w:sz w:val="52"/>
          <w:szCs w:val="52"/>
        </w:rPr>
        <w:t xml:space="preserve">Mobile Broadband Consumer Disclosure </w:t>
      </w:r>
    </w:p>
    <w:p w:rsidR="003B43F6" w:rsidRPr="00EB59EB" w:rsidRDefault="003B43F6" w:rsidP="00E1380D">
      <w:pPr>
        <w:jc w:val="center"/>
        <w:rPr>
          <w:sz w:val="52"/>
          <w:szCs w:val="52"/>
        </w:rPr>
      </w:pPr>
      <w:r w:rsidRPr="00EB59EB">
        <w:rPr>
          <w:sz w:val="52"/>
          <w:szCs w:val="52"/>
        </w:rPr>
        <w:t>Provider Instructions</w:t>
      </w:r>
    </w:p>
    <w:p w:rsidR="003B43F6" w:rsidRDefault="003B43F6" w:rsidP="00E1380D">
      <w:pPr>
        <w:spacing w:before="120" w:after="240"/>
        <w:jc w:val="center"/>
        <w:rPr>
          <w:sz w:val="72"/>
          <w:szCs w:val="72"/>
        </w:rPr>
      </w:pPr>
    </w:p>
    <w:p w:rsidR="003B428A" w:rsidRDefault="003B428A" w:rsidP="00E1380D">
      <w:pPr>
        <w:spacing w:before="120" w:after="240"/>
        <w:jc w:val="center"/>
        <w:rPr>
          <w:sz w:val="72"/>
          <w:szCs w:val="72"/>
        </w:rPr>
      </w:pPr>
    </w:p>
    <w:p w:rsidR="003B428A" w:rsidRDefault="003B428A" w:rsidP="00E1380D">
      <w:pPr>
        <w:spacing w:before="120" w:after="240"/>
        <w:jc w:val="center"/>
        <w:rPr>
          <w:sz w:val="72"/>
          <w:szCs w:val="72"/>
        </w:rPr>
      </w:pPr>
    </w:p>
    <w:p w:rsidR="003B428A" w:rsidRDefault="003B428A" w:rsidP="00E1380D">
      <w:pPr>
        <w:spacing w:before="120" w:after="240"/>
        <w:jc w:val="center"/>
        <w:rPr>
          <w:sz w:val="72"/>
          <w:szCs w:val="72"/>
        </w:rPr>
      </w:pPr>
    </w:p>
    <w:p w:rsidR="003B428A" w:rsidRDefault="003B428A" w:rsidP="00E1380D">
      <w:pPr>
        <w:spacing w:before="120" w:after="240"/>
        <w:jc w:val="center"/>
        <w:rPr>
          <w:sz w:val="72"/>
          <w:szCs w:val="72"/>
        </w:rPr>
      </w:pPr>
    </w:p>
    <w:p w:rsidR="003B428A" w:rsidRDefault="003B428A" w:rsidP="00E1380D">
      <w:pPr>
        <w:spacing w:before="120" w:after="240"/>
        <w:jc w:val="center"/>
        <w:rPr>
          <w:sz w:val="72"/>
          <w:szCs w:val="72"/>
        </w:rPr>
      </w:pPr>
    </w:p>
    <w:p w:rsidR="003B428A" w:rsidRDefault="00043339" w:rsidP="00E1380D">
      <w:pPr>
        <w:spacing w:before="120" w:after="240"/>
        <w:jc w:val="center"/>
        <w:rPr>
          <w:sz w:val="72"/>
          <w:szCs w:val="72"/>
        </w:rPr>
      </w:pPr>
      <w:r>
        <w:rPr>
          <w:noProof/>
          <w:sz w:val="72"/>
          <w:szCs w:val="72"/>
        </w:rPr>
        <w:drawing>
          <wp:inline distT="0" distB="0" distL="0" distR="0">
            <wp:extent cx="5053263" cy="6244775"/>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BILE p1 Broadband Label Instructions 3.3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2985" cy="6269148"/>
                    </a:xfrm>
                    <a:prstGeom prst="rect">
                      <a:avLst/>
                    </a:prstGeom>
                  </pic:spPr>
                </pic:pic>
              </a:graphicData>
            </a:graphic>
          </wp:inline>
        </w:drawing>
      </w:r>
    </w:p>
    <w:p w:rsidR="00043339" w:rsidRDefault="00043339" w:rsidP="00E1380D">
      <w:pPr>
        <w:spacing w:before="120" w:after="240"/>
        <w:jc w:val="center"/>
        <w:rPr>
          <w:sz w:val="72"/>
          <w:szCs w:val="72"/>
        </w:rPr>
      </w:pPr>
    </w:p>
    <w:p w:rsidR="00043339" w:rsidRDefault="00043339" w:rsidP="00E1380D">
      <w:pPr>
        <w:spacing w:before="120" w:after="240"/>
        <w:jc w:val="center"/>
        <w:rPr>
          <w:sz w:val="72"/>
          <w:szCs w:val="72"/>
        </w:rPr>
      </w:pPr>
      <w:r>
        <w:rPr>
          <w:noProof/>
          <w:sz w:val="72"/>
          <w:szCs w:val="72"/>
        </w:rPr>
        <w:drawing>
          <wp:inline distT="0" distB="0" distL="0" distR="0">
            <wp:extent cx="5058867" cy="6545179"/>
            <wp:effectExtent l="0" t="0" r="889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BILE p2 Broadband Label Instructions 3.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9739" cy="6559245"/>
                    </a:xfrm>
                    <a:prstGeom prst="rect">
                      <a:avLst/>
                    </a:prstGeom>
                  </pic:spPr>
                </pic:pic>
              </a:graphicData>
            </a:graphic>
          </wp:inline>
        </w:drawing>
      </w:r>
    </w:p>
    <w:p w:rsidR="00043339" w:rsidRDefault="00043339" w:rsidP="00E1380D">
      <w:pPr>
        <w:spacing w:before="120" w:after="240"/>
        <w:jc w:val="center"/>
        <w:rPr>
          <w:sz w:val="72"/>
          <w:szCs w:val="72"/>
        </w:rPr>
      </w:pPr>
    </w:p>
    <w:p w:rsidR="00043339" w:rsidRDefault="00043339" w:rsidP="00E1380D">
      <w:pPr>
        <w:spacing w:before="120" w:after="240"/>
        <w:jc w:val="center"/>
        <w:rPr>
          <w:sz w:val="72"/>
          <w:szCs w:val="72"/>
        </w:rPr>
      </w:pPr>
      <w:r>
        <w:rPr>
          <w:noProof/>
          <w:sz w:val="72"/>
          <w:szCs w:val="72"/>
        </w:rPr>
        <w:drawing>
          <wp:inline distT="0" distB="0" distL="0" distR="0">
            <wp:extent cx="5072817" cy="2683823"/>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BILE p3 Broadband Label Instructions 3.3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16492" cy="2706930"/>
                    </a:xfrm>
                    <a:prstGeom prst="rect">
                      <a:avLst/>
                    </a:prstGeom>
                  </pic:spPr>
                </pic:pic>
              </a:graphicData>
            </a:graphic>
          </wp:inline>
        </w:drawing>
      </w:r>
    </w:p>
    <w:p w:rsidR="00E1380D" w:rsidRDefault="00E1380D" w:rsidP="00E1380D">
      <w:pPr>
        <w:spacing w:before="120" w:after="240"/>
        <w:jc w:val="center"/>
        <w:rPr>
          <w:sz w:val="72"/>
          <w:szCs w:val="72"/>
        </w:rPr>
      </w:pPr>
    </w:p>
    <w:p w:rsidR="00E1380D" w:rsidRPr="003B43F6" w:rsidRDefault="00E1380D" w:rsidP="00D47505">
      <w:pPr>
        <w:spacing w:before="120" w:after="240"/>
        <w:rPr>
          <w:sz w:val="72"/>
          <w:szCs w:val="72"/>
        </w:rPr>
      </w:pPr>
    </w:p>
    <w:sectPr w:rsidR="00E1380D" w:rsidRPr="003B43F6" w:rsidSect="00DF0810">
      <w:headerReference w:type="even" r:id="rId15"/>
      <w:headerReference w:type="default" r:id="rId16"/>
      <w:footerReference w:type="even" r:id="rId17"/>
      <w:footerReference w:type="default" r:id="rId18"/>
      <w:headerReference w:type="first" r:id="rId19"/>
      <w:footerReference w:type="first" r:id="rId20"/>
      <w:endnotePr>
        <w:numFmt w:val="decimal"/>
      </w:endnotePr>
      <w:pgSz w:w="12240" w:h="15840" w:code="1"/>
      <w:pgMar w:top="1440" w:right="1440" w:bottom="720" w:left="1440" w:header="720" w:footer="720"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F91" w:rsidRDefault="00287F91">
      <w:pPr>
        <w:spacing w:line="20" w:lineRule="exact"/>
      </w:pPr>
    </w:p>
  </w:endnote>
  <w:endnote w:type="continuationSeparator" w:id="0">
    <w:p w:rsidR="00287F91" w:rsidRDefault="00287F91">
      <w:r>
        <w:t xml:space="preserve"> </w:t>
      </w:r>
    </w:p>
  </w:endnote>
  <w:endnote w:type="continuationNotice" w:id="1">
    <w:p w:rsidR="00287F91" w:rsidRDefault="00287F91">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FB5" w:rsidRDefault="00D25FB5" w:rsidP="0055614C">
    <w:pPr>
      <w:pStyle w:val="Footer"/>
      <w:framePr w:wrap="around" w:vAnchor="text" w:hAnchor="margin" w:xAlign="center" w:y="1"/>
    </w:pPr>
    <w:r>
      <w:fldChar w:fldCharType="begin"/>
    </w:r>
    <w:r>
      <w:instrText xml:space="preserve">PAGE  </w:instrText>
    </w:r>
    <w:r>
      <w:fldChar w:fldCharType="end"/>
    </w:r>
  </w:p>
  <w:p w:rsidR="00D25FB5" w:rsidRDefault="00D25FB5">
    <w:pPr>
      <w:pStyle w:val="Footer"/>
    </w:pPr>
  </w:p>
  <w:p w:rsidR="003660ED" w:rsidRDefault="003660E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FB5" w:rsidRDefault="00D25FB5" w:rsidP="0055614C">
    <w:pPr>
      <w:pStyle w:val="Footer"/>
      <w:framePr w:wrap="around" w:vAnchor="text" w:hAnchor="margin" w:xAlign="center" w:y="1"/>
    </w:pPr>
    <w:r>
      <w:fldChar w:fldCharType="begin"/>
    </w:r>
    <w:r>
      <w:instrText xml:space="preserve">PAGE  </w:instrText>
    </w:r>
    <w:r>
      <w:fldChar w:fldCharType="separate"/>
    </w:r>
    <w:r w:rsidR="006957D7">
      <w:rPr>
        <w:noProof/>
      </w:rPr>
      <w:t>5</w:t>
    </w:r>
    <w:r>
      <w:fldChar w:fldCharType="end"/>
    </w:r>
  </w:p>
  <w:p w:rsidR="003660ED" w:rsidRDefault="003660ED" w:rsidP="000E05F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FB5" w:rsidRDefault="00D25FB5" w:rsidP="00B2036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F91" w:rsidRDefault="00287F91">
      <w:r>
        <w:separator/>
      </w:r>
    </w:p>
  </w:footnote>
  <w:footnote w:type="continuationSeparator" w:id="0">
    <w:p w:rsidR="00287F91" w:rsidRDefault="00287F91" w:rsidP="00C721AC">
      <w:pPr>
        <w:spacing w:before="120"/>
        <w:rPr>
          <w:sz w:val="20"/>
        </w:rPr>
      </w:pPr>
      <w:r>
        <w:rPr>
          <w:sz w:val="20"/>
        </w:rPr>
        <w:t xml:space="preserve">(Continued from previous page)  </w:t>
      </w:r>
      <w:r>
        <w:rPr>
          <w:sz w:val="20"/>
        </w:rPr>
        <w:separator/>
      </w:r>
    </w:p>
  </w:footnote>
  <w:footnote w:type="continuationNotice" w:id="1">
    <w:p w:rsidR="00287F91" w:rsidRDefault="00287F91" w:rsidP="00C721AC">
      <w:pPr>
        <w:jc w:val="right"/>
        <w:rPr>
          <w:sz w:val="20"/>
        </w:rPr>
      </w:pPr>
      <w:r>
        <w:rPr>
          <w:sz w:val="20"/>
        </w:rPr>
        <w:t>(continued….)</w:t>
      </w:r>
    </w:p>
  </w:footnote>
  <w:footnote w:id="2">
    <w:p w:rsidR="00D42D44" w:rsidRPr="000D6BF9" w:rsidRDefault="00D42D44" w:rsidP="00D42D44">
      <w:pPr>
        <w:pStyle w:val="FootnoteText"/>
      </w:pPr>
      <w:r>
        <w:rPr>
          <w:rStyle w:val="FootnoteReference"/>
        </w:rPr>
        <w:footnoteRef/>
      </w:r>
      <w:r>
        <w:t xml:space="preserve"> </w:t>
      </w:r>
      <w:r w:rsidRPr="000D6BF9">
        <w:rPr>
          <w:i/>
        </w:rPr>
        <w:t>Protecting and Promoting the Open Internet</w:t>
      </w:r>
      <w:r w:rsidRPr="000D6BF9">
        <w:t>, GN Docket No. 14-28, Report and Order on Remand, Declaratory Ruling, and Order, 30 FCC Rcd 5601</w:t>
      </w:r>
      <w:r>
        <w:t>,</w:t>
      </w:r>
      <w:r w:rsidRPr="000D6BF9">
        <w:t xml:space="preserve"> 5881, para. 585 (2015) (</w:t>
      </w:r>
      <w:r w:rsidRPr="000D6BF9">
        <w:rPr>
          <w:i/>
        </w:rPr>
        <w:t>2015 Open Internet Order</w:t>
      </w:r>
      <w:r w:rsidRPr="000D6BF9">
        <w:t xml:space="preserve">).  The Commission has begun the process of obtaining OMB approval for the enhancements and will publish a notice in the Federal Register announcing that approval and the effective date.  </w:t>
      </w:r>
      <w:r w:rsidRPr="000D6BF9">
        <w:rPr>
          <w:i/>
        </w:rPr>
        <w:t>See id</w:t>
      </w:r>
      <w:r w:rsidRPr="000D6BF9">
        <w:t>.</w:t>
      </w:r>
    </w:p>
  </w:footnote>
  <w:footnote w:id="3">
    <w:p w:rsidR="00D42D44" w:rsidRPr="000D6BF9" w:rsidRDefault="00D42D44" w:rsidP="00D42D44">
      <w:pPr>
        <w:pStyle w:val="FootnoteText"/>
      </w:pPr>
      <w:r w:rsidRPr="000D6BF9">
        <w:rPr>
          <w:rStyle w:val="FootnoteReference"/>
        </w:rPr>
        <w:footnoteRef/>
      </w:r>
      <w:r w:rsidRPr="000D6BF9">
        <w:t xml:space="preserve"> </w:t>
      </w:r>
      <w:r w:rsidRPr="000D6BF9">
        <w:rPr>
          <w:i/>
        </w:rPr>
        <w:t>Id.</w:t>
      </w:r>
      <w:r w:rsidRPr="000D6BF9">
        <w:t xml:space="preserve"> at 5669-81, paras. 154-81.  </w:t>
      </w:r>
    </w:p>
  </w:footnote>
  <w:footnote w:id="4">
    <w:p w:rsidR="00D42D44" w:rsidRPr="000D6BF9" w:rsidRDefault="00D42D44" w:rsidP="00D42D44">
      <w:pPr>
        <w:pStyle w:val="FootnoteText"/>
      </w:pPr>
      <w:r w:rsidRPr="000D6BF9">
        <w:rPr>
          <w:rStyle w:val="FootnoteReference"/>
        </w:rPr>
        <w:footnoteRef/>
      </w:r>
      <w:r w:rsidRPr="000D6BF9">
        <w:t xml:space="preserve"> </w:t>
      </w:r>
      <w:r w:rsidRPr="000D6BF9">
        <w:rPr>
          <w:i/>
        </w:rPr>
        <w:t>See, e.g., id.</w:t>
      </w:r>
      <w:r>
        <w:rPr>
          <w:i/>
        </w:rPr>
        <w:t xml:space="preserve"> </w:t>
      </w:r>
      <w:r>
        <w:t xml:space="preserve">at </w:t>
      </w:r>
      <w:r w:rsidRPr="000D6BF9">
        <w:t>5672</w:t>
      </w:r>
      <w:r>
        <w:t>,</w:t>
      </w:r>
      <w:r w:rsidRPr="000D6BF9">
        <w:t xml:space="preserve"> paras. 162-63.</w:t>
      </w:r>
    </w:p>
  </w:footnote>
  <w:footnote w:id="5">
    <w:p w:rsidR="00D42D44" w:rsidRPr="000D6BF9" w:rsidRDefault="00D42D44" w:rsidP="00D42D44">
      <w:pPr>
        <w:pStyle w:val="FootnoteText"/>
      </w:pPr>
      <w:r w:rsidRPr="000D6BF9">
        <w:rPr>
          <w:rStyle w:val="FootnoteReference"/>
        </w:rPr>
        <w:footnoteRef/>
      </w:r>
      <w:r w:rsidRPr="000D6BF9">
        <w:t xml:space="preserve"> </w:t>
      </w:r>
      <w:r w:rsidRPr="000D6BF9">
        <w:rPr>
          <w:i/>
        </w:rPr>
        <w:t>Id.</w:t>
      </w:r>
      <w:r>
        <w:rPr>
          <w:i/>
        </w:rPr>
        <w:t xml:space="preserve"> </w:t>
      </w:r>
      <w:r w:rsidRPr="000D6BF9">
        <w:t>at 5680-81, paras. 179-80.</w:t>
      </w:r>
      <w:r>
        <w:t xml:space="preserve"> </w:t>
      </w:r>
      <w:r w:rsidRPr="000D6BF9">
        <w:t xml:space="preserve"> As explained in the </w:t>
      </w:r>
      <w:r w:rsidRPr="000D6BF9">
        <w:rPr>
          <w:i/>
        </w:rPr>
        <w:t>2015 Open Internet Order</w:t>
      </w:r>
      <w:r w:rsidRPr="000D6BF9">
        <w:t>, while the use of the broadband labels is a safe harbor with respect to the format of the required disclosure to consumers, a broadband provider meeting the safe harbor could still be found to be in violation of the transparency rules if, for example, the content of a disclosure (</w:t>
      </w:r>
      <w:r w:rsidRPr="00CE77E2">
        <w:t>e.g.</w:t>
      </w:r>
      <w:r w:rsidRPr="006C5990">
        <w:t>,</w:t>
      </w:r>
      <w:r w:rsidRPr="000D6BF9">
        <w:t xml:space="preserve"> prices) is misleading or inaccurate, or the provider makes misleading or inaccurate statements in another context, such as advertisements or other statements to consumers.  </w:t>
      </w:r>
      <w:r w:rsidRPr="000D6BF9">
        <w:rPr>
          <w:i/>
        </w:rPr>
        <w:t>Id</w:t>
      </w:r>
      <w:r w:rsidRPr="000D6BF9">
        <w:t>. at</w:t>
      </w:r>
      <w:r>
        <w:t xml:space="preserve"> </w:t>
      </w:r>
      <w:r w:rsidRPr="000D6BF9">
        <w:t>5681, para</w:t>
      </w:r>
      <w:r>
        <w:t>.</w:t>
      </w:r>
      <w:r w:rsidRPr="000D6BF9">
        <w:t xml:space="preserve"> 181.  We emphasize that to benefit from the safe harbor providers must use the format and terms as they appear in the Attachment.</w:t>
      </w:r>
    </w:p>
  </w:footnote>
  <w:footnote w:id="6">
    <w:p w:rsidR="00D42D44" w:rsidRPr="000D6BF9" w:rsidRDefault="00D42D44" w:rsidP="00D42D44">
      <w:pPr>
        <w:pStyle w:val="FootnoteText"/>
      </w:pPr>
      <w:r w:rsidRPr="000D6BF9">
        <w:rPr>
          <w:rStyle w:val="FootnoteReference"/>
        </w:rPr>
        <w:footnoteRef/>
      </w:r>
      <w:r w:rsidRPr="000D6BF9">
        <w:t xml:space="preserve"> </w:t>
      </w:r>
      <w:r w:rsidRPr="000D6BF9">
        <w:rPr>
          <w:i/>
        </w:rPr>
        <w:t>Id</w:t>
      </w:r>
      <w:r w:rsidRPr="000D6BF9">
        <w:t>. at 5680, para. 179.</w:t>
      </w:r>
    </w:p>
  </w:footnote>
  <w:footnote w:id="7">
    <w:p w:rsidR="00D42D44" w:rsidRPr="000D6BF9" w:rsidRDefault="00D42D44" w:rsidP="00D42D44">
      <w:pPr>
        <w:pStyle w:val="FootnoteText"/>
      </w:pPr>
      <w:r w:rsidRPr="000D6BF9">
        <w:rPr>
          <w:rStyle w:val="FootnoteReference"/>
        </w:rPr>
        <w:footnoteRef/>
      </w:r>
      <w:r w:rsidRPr="000D6BF9">
        <w:t xml:space="preserve"> </w:t>
      </w:r>
      <w:r w:rsidRPr="000D6BF9">
        <w:rPr>
          <w:i/>
        </w:rPr>
        <w:t>Id</w:t>
      </w:r>
      <w:r w:rsidRPr="000D6BF9">
        <w:t>. at 5680-81, para. 180.</w:t>
      </w:r>
    </w:p>
  </w:footnote>
  <w:footnote w:id="8">
    <w:p w:rsidR="00D42D44" w:rsidRPr="000D6BF9" w:rsidRDefault="00D42D44" w:rsidP="00D42D44">
      <w:pPr>
        <w:pStyle w:val="FootnoteText"/>
      </w:pPr>
      <w:r w:rsidRPr="000D6BF9">
        <w:rPr>
          <w:rStyle w:val="FootnoteReference"/>
        </w:rPr>
        <w:footnoteRef/>
      </w:r>
      <w:r w:rsidRPr="000D6BF9">
        <w:t xml:space="preserve"> </w:t>
      </w:r>
      <w:r w:rsidRPr="000D6BF9">
        <w:rPr>
          <w:i/>
        </w:rPr>
        <w:t xml:space="preserve">See </w:t>
      </w:r>
      <w:r w:rsidRPr="000D6BF9">
        <w:t xml:space="preserve">FCC Consumer Advisory Committee Recommendation, Broadband Consumer Disclosures, submitted October 26, 2015, </w:t>
      </w:r>
      <w:r>
        <w:rPr>
          <w:i/>
        </w:rPr>
        <w:t xml:space="preserve">available at </w:t>
      </w:r>
      <w:hyperlink r:id="rId1" w:history="1">
        <w:r w:rsidRPr="000D6BF9">
          <w:rPr>
            <w:rStyle w:val="Hyperlink"/>
          </w:rPr>
          <w:t>https://www.fcc.gov/encyclopedia/consumer-advisory-committee-recommendations-2014-thru-2016</w:t>
        </w:r>
      </w:hyperlink>
      <w:r w:rsidRPr="000D6BF9">
        <w:t>.</w:t>
      </w:r>
    </w:p>
  </w:footnote>
  <w:footnote w:id="9">
    <w:p w:rsidR="00D42D44" w:rsidRPr="000D6BF9" w:rsidRDefault="00D42D44" w:rsidP="00D42D44">
      <w:pPr>
        <w:pStyle w:val="FootnoteText"/>
      </w:pPr>
      <w:r w:rsidRPr="000D6BF9">
        <w:rPr>
          <w:rStyle w:val="FootnoteReference"/>
        </w:rPr>
        <w:footnoteRef/>
      </w:r>
      <w:r w:rsidRPr="000D6BF9">
        <w:t xml:space="preserve"> </w:t>
      </w:r>
      <w:r w:rsidRPr="000D6BF9">
        <w:rPr>
          <w:i/>
        </w:rPr>
        <w:t>See id.</w:t>
      </w:r>
    </w:p>
  </w:footnote>
  <w:footnote w:id="10">
    <w:p w:rsidR="00D42D44" w:rsidRPr="000D6BF9" w:rsidRDefault="00D42D44" w:rsidP="00D42D44">
      <w:pPr>
        <w:pStyle w:val="FootnoteText"/>
      </w:pPr>
      <w:r w:rsidRPr="000D6BF9">
        <w:rPr>
          <w:rStyle w:val="FootnoteReference"/>
        </w:rPr>
        <w:footnoteRef/>
      </w:r>
      <w:r w:rsidRPr="000D6BF9">
        <w:t xml:space="preserve"> </w:t>
      </w:r>
      <w:r w:rsidRPr="00CE77E2">
        <w:rPr>
          <w:i/>
        </w:rPr>
        <w:t>See</w:t>
      </w:r>
      <w:r>
        <w:t xml:space="preserve"> </w:t>
      </w:r>
      <w:r w:rsidRPr="000D6BF9">
        <w:rPr>
          <w:i/>
        </w:rPr>
        <w:t>2015 Open Internet Order</w:t>
      </w:r>
      <w:r w:rsidRPr="000D6BF9">
        <w:t>, 30 FCC Rcd at 5680, para</w:t>
      </w:r>
      <w:r>
        <w:t>.</w:t>
      </w:r>
      <w:r w:rsidRPr="000D6BF9">
        <w:t xml:space="preserve"> 179.</w:t>
      </w:r>
    </w:p>
  </w:footnote>
  <w:footnote w:id="11">
    <w:p w:rsidR="00D42D44" w:rsidRPr="00037418" w:rsidRDefault="00D42D44" w:rsidP="00D42D44">
      <w:pPr>
        <w:pStyle w:val="FootnoteText"/>
      </w:pPr>
      <w:r>
        <w:rPr>
          <w:rStyle w:val="FootnoteReference"/>
        </w:rPr>
        <w:footnoteRef/>
      </w:r>
      <w:r>
        <w:t xml:space="preserve"> </w:t>
      </w:r>
      <w:r w:rsidRPr="000D6BF9">
        <w:rPr>
          <w:i/>
        </w:rPr>
        <w:t>Id</w:t>
      </w:r>
      <w:r w:rsidRPr="000D6BF9">
        <w:t>. at 5680, para. 179.</w:t>
      </w:r>
    </w:p>
  </w:footnote>
  <w:footnote w:id="12">
    <w:p w:rsidR="00D42D44" w:rsidRPr="00037418" w:rsidRDefault="00D42D44" w:rsidP="00D42D44">
      <w:pPr>
        <w:pStyle w:val="FootnoteText"/>
      </w:pPr>
      <w:r w:rsidRPr="00037418">
        <w:rPr>
          <w:rStyle w:val="FootnoteReference"/>
        </w:rPr>
        <w:footnoteRef/>
      </w:r>
      <w:r w:rsidRPr="00037418">
        <w:t xml:space="preserve"> </w:t>
      </w:r>
      <w:r w:rsidRPr="00037418">
        <w:rPr>
          <w:i/>
        </w:rPr>
        <w:t xml:space="preserve">See </w:t>
      </w:r>
      <w:r w:rsidRPr="00037418">
        <w:t xml:space="preserve">CAC Broadband Label Recommendation at 8, </w:t>
      </w:r>
      <w:hyperlink r:id="rId2" w:history="1">
        <w:r w:rsidRPr="00037418">
          <w:rPr>
            <w:rStyle w:val="Hyperlink"/>
          </w:rPr>
          <w:t>https://apps.fcc.gov/edocs_public/attachmatch/DOC-336136A1.pdf</w:t>
        </w:r>
      </w:hyperlink>
      <w:r w:rsidRPr="00037418">
        <w:t>.</w:t>
      </w:r>
    </w:p>
  </w:footnote>
  <w:footnote w:id="13">
    <w:p w:rsidR="00D42D44" w:rsidRPr="000D6BF9" w:rsidRDefault="00D42D44" w:rsidP="00D42D44">
      <w:pPr>
        <w:pStyle w:val="FootnoteText"/>
      </w:pPr>
      <w:r w:rsidRPr="000D6BF9">
        <w:rPr>
          <w:rStyle w:val="FootnoteReference"/>
        </w:rPr>
        <w:footnoteRef/>
      </w:r>
      <w:r w:rsidRPr="000D6BF9">
        <w:t xml:space="preserve"> </w:t>
      </w:r>
      <w:r w:rsidRPr="00CE77E2">
        <w:rPr>
          <w:i/>
        </w:rPr>
        <w:t>See</w:t>
      </w:r>
      <w:r>
        <w:t xml:space="preserve"> </w:t>
      </w:r>
      <w:r w:rsidRPr="000D6BF9">
        <w:rPr>
          <w:i/>
        </w:rPr>
        <w:t>2015 Open Internet Order</w:t>
      </w:r>
      <w:r>
        <w:t xml:space="preserve"> at </w:t>
      </w:r>
      <w:r w:rsidRPr="000D6BF9">
        <w:t xml:space="preserve">5680, para. 180.  As part of its recommendation, the CAC also suggested approaches for accessibility.  </w:t>
      </w:r>
      <w:r w:rsidRPr="000D6BF9">
        <w:rPr>
          <w:i/>
        </w:rPr>
        <w:t xml:space="preserve">See </w:t>
      </w:r>
      <w:r w:rsidRPr="000D6BF9">
        <w:t xml:space="preserve">Consumer Advisory Committee Recommendation, Broadband Consumer Disclosures, Section V, Disability Access </w:t>
      </w:r>
      <w:r>
        <w:rPr>
          <w:i/>
        </w:rPr>
        <w:t xml:space="preserve">available at </w:t>
      </w:r>
      <w:hyperlink r:id="rId3" w:history="1">
        <w:r w:rsidRPr="000D6BF9">
          <w:rPr>
            <w:rStyle w:val="Hyperlink"/>
          </w:rPr>
          <w:t>https://apps.fcc.gov/edocs_public/attachmatch/DOC-336136A1.pdf</w:t>
        </w:r>
      </w:hyperlink>
      <w:r w:rsidRPr="000D6BF9">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5D3" w:rsidRDefault="007C65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5D3" w:rsidRDefault="007C65D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505" w:rsidRPr="00B338A9" w:rsidRDefault="00B20363" w:rsidP="00B338A9">
    <w:pPr>
      <w:pStyle w:val="Header"/>
    </w:pPr>
    <w:r>
      <w:rPr>
        <w:b w:val="0"/>
        <w:noProof/>
      </w:rPr>
      <mc:AlternateContent>
        <mc:Choice Requires="wps">
          <w:drawing>
            <wp:anchor distT="0" distB="0" distL="114300" distR="114300" simplePos="0" relativeHeight="251656192" behindDoc="0" locked="0" layoutInCell="0" allowOverlap="1" wp14:anchorId="3CEC94F5" wp14:editId="5B1B60C1">
              <wp:simplePos x="0" y="0"/>
              <wp:positionH relativeFrom="margin">
                <wp:posOffset>-57150</wp:posOffset>
              </wp:positionH>
              <wp:positionV relativeFrom="paragraph">
                <wp:posOffset>741045</wp:posOffset>
              </wp:positionV>
              <wp:extent cx="3108960" cy="640080"/>
              <wp:effectExtent l="0" t="0" r="0" b="762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505" w:rsidRDefault="00D47505" w:rsidP="00D47505">
                          <w:pPr>
                            <w:rPr>
                              <w:rFonts w:ascii="Arial" w:hAnsi="Arial"/>
                              <w:b/>
                            </w:rPr>
                          </w:pPr>
                          <w:r>
                            <w:rPr>
                              <w:rFonts w:ascii="Arial" w:hAnsi="Arial"/>
                              <w:b/>
                            </w:rPr>
                            <w:t>Federal Communications Commission</w:t>
                          </w:r>
                        </w:p>
                        <w:p w:rsidR="00D47505" w:rsidRDefault="00D47505" w:rsidP="00D47505">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rsidR="00D47505" w:rsidRDefault="00D47505" w:rsidP="00D47505">
                          <w:pPr>
                            <w:rPr>
                              <w:rFonts w:ascii="Arial" w:hAnsi="Arial"/>
                              <w:sz w:val="24"/>
                            </w:rPr>
                          </w:pPr>
                          <w:r>
                            <w:rPr>
                              <w:rFonts w:ascii="Arial" w:hAnsi="Arial"/>
                              <w:b/>
                            </w:rPr>
                            <w:t>Washington, D.C. 20554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CEC94F5" id="_x0000_t202" coordsize="21600,21600" o:spt="202" path="m,l,21600r21600,l21600,xe">
              <v:stroke joinstyle="miter"/>
              <v:path gradientshapeok="t" o:connecttype="rect"/>
            </v:shapetype>
            <v:shape id="Text Box 3" o:spid="_x0000_s1026" type="#_x0000_t202" style="position:absolute;margin-left:-4.5pt;margin-top:58.35pt;width:244.8pt;height:50.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Rh/ggIAAA8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" o:allowincell="f" stroked="f">
              <v:textbox>
                <w:txbxContent>
                  <w:p w:rsidR="00D47505" w:rsidRDefault="00D47505" w:rsidP="00D47505">
                    <w:pPr>
                      <w:rPr>
                        <w:rFonts w:ascii="Arial" w:hAnsi="Arial"/>
                        <w:b/>
                      </w:rPr>
                    </w:pPr>
                    <w:r>
                      <w:rPr>
                        <w:rFonts w:ascii="Arial" w:hAnsi="Arial"/>
                        <w:b/>
                      </w:rPr>
                      <w:t>Federal Communications Commission</w:t>
                    </w:r>
                  </w:p>
                  <w:p w:rsidR="00D47505" w:rsidRDefault="00D47505" w:rsidP="00D47505">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rsidR="00D47505" w:rsidRDefault="00D47505" w:rsidP="00D47505">
                    <w:pPr>
                      <w:rPr>
                        <w:rFonts w:ascii="Arial" w:hAnsi="Arial"/>
                        <w:sz w:val="24"/>
                      </w:rPr>
                    </w:pPr>
                    <w:r>
                      <w:rPr>
                        <w:rFonts w:ascii="Arial" w:hAnsi="Arial"/>
                        <w:b/>
                      </w:rPr>
                      <w:t>Washington, D.C. 20554</w:t>
                    </w:r>
                  </w:p>
                </w:txbxContent>
              </v:textbox>
              <w10:wrap anchorx="margin"/>
            </v:shape>
          </w:pict>
        </mc:Fallback>
      </mc:AlternateContent>
    </w:r>
    <w:r w:rsidR="00AF46DC" w:rsidRPr="00B338A9">
      <w:rPr>
        <w:noProof/>
        <w:sz w:val="24"/>
      </w:rPr>
      <w:drawing>
        <wp:anchor distT="0" distB="0" distL="114300" distR="114300" simplePos="0" relativeHeight="251659264" behindDoc="0" locked="0" layoutInCell="0" allowOverlap="1" wp14:anchorId="0A89EDC2" wp14:editId="6872DA74">
          <wp:simplePos x="0" y="0"/>
          <wp:positionH relativeFrom="column">
            <wp:posOffset>-650875</wp:posOffset>
          </wp:positionH>
          <wp:positionV relativeFrom="paragraph">
            <wp:posOffset>136525</wp:posOffset>
          </wp:positionV>
          <wp:extent cx="530225" cy="530225"/>
          <wp:effectExtent l="0" t="0" r="3175" b="3175"/>
          <wp:wrapTopAndBottom/>
          <wp:docPr id="4" name="Picture 4" descr="f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22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47505" w:rsidRPr="00B338A9">
      <w:t>PUBLIC NOTICE</w:t>
    </w:r>
  </w:p>
  <w:p w:rsidR="00D47505" w:rsidRDefault="00B338A9" w:rsidP="00B338A9">
    <w:pPr>
      <w:pStyle w:val="Header"/>
    </w:pPr>
    <w:r>
      <w:rPr>
        <w:b w:val="0"/>
        <w:noProof/>
      </w:rPr>
      <mc:AlternateContent>
        <mc:Choice Requires="wps">
          <w:drawing>
            <wp:anchor distT="0" distB="0" distL="114300" distR="114300" simplePos="0" relativeHeight="251657216" behindDoc="0" locked="0" layoutInCell="0" allowOverlap="1" wp14:anchorId="19339013" wp14:editId="6A2AED03">
              <wp:simplePos x="0" y="0"/>
              <wp:positionH relativeFrom="margin">
                <wp:align>right</wp:align>
              </wp:positionH>
              <wp:positionV relativeFrom="paragraph">
                <wp:posOffset>720090</wp:posOffset>
              </wp:positionV>
              <wp:extent cx="5943600" cy="0"/>
              <wp:effectExtent l="0" t="0" r="19050" b="1905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374853" id="Line 4" o:spid="_x0000_s1026" style="position:absolute;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16.8pt,56.7pt" to="884.8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46o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" o:allowincell="f">
              <w10:wrap anchorx="margin"/>
            </v:line>
          </w:pict>
        </mc:Fallback>
      </mc:AlternateContent>
    </w:r>
    <w:r>
      <w:rPr>
        <w:b w:val="0"/>
        <w:noProof/>
      </w:rPr>
      <mc:AlternateContent>
        <mc:Choice Requires="wps">
          <w:drawing>
            <wp:anchor distT="0" distB="0" distL="114300" distR="114300" simplePos="0" relativeHeight="251658240" behindDoc="0" locked="0" layoutInCell="0" allowOverlap="1" wp14:anchorId="0BD36A34" wp14:editId="489E05C3">
              <wp:simplePos x="0" y="0"/>
              <wp:positionH relativeFrom="column">
                <wp:posOffset>3343275</wp:posOffset>
              </wp:positionH>
              <wp:positionV relativeFrom="paragraph">
                <wp:posOffset>178435</wp:posOffset>
              </wp:positionV>
              <wp:extent cx="2640965" cy="447675"/>
              <wp:effectExtent l="0" t="0" r="6985" b="952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505" w:rsidRDefault="00D47505" w:rsidP="00D47505">
                          <w:pPr>
                            <w:spacing w:before="40"/>
                            <w:jc w:val="right"/>
                            <w:rPr>
                              <w:rFonts w:ascii="Arial" w:hAnsi="Arial"/>
                              <w:b/>
                              <w:sz w:val="16"/>
                            </w:rPr>
                          </w:pPr>
                          <w:r>
                            <w:rPr>
                              <w:rFonts w:ascii="Arial" w:hAnsi="Arial"/>
                              <w:b/>
                              <w:sz w:val="16"/>
                            </w:rPr>
                            <w:t>News Media Information 202 / 418-0500</w:t>
                          </w:r>
                        </w:p>
                        <w:p w:rsidR="00D47505" w:rsidRDefault="00D47505" w:rsidP="00D47505">
                          <w:pPr>
                            <w:jc w:val="right"/>
                            <w:rPr>
                              <w:rFonts w:ascii="Arial" w:hAnsi="Arial"/>
                              <w:b/>
                              <w:sz w:val="16"/>
                            </w:rPr>
                          </w:pPr>
                          <w:r>
                            <w:rPr>
                              <w:rFonts w:ascii="Arial" w:hAnsi="Arial"/>
                              <w:b/>
                              <w:sz w:val="16"/>
                            </w:rPr>
                            <w:t xml:space="preserve">Internet: </w:t>
                          </w:r>
                          <w:bookmarkStart w:id="1" w:name="_Hlt233824"/>
                          <w:r w:rsidR="007F413A">
                            <w:rPr>
                              <w:rFonts w:ascii="Arial" w:hAnsi="Arial"/>
                              <w:b/>
                              <w:sz w:val="16"/>
                            </w:rPr>
                            <w:fldChar w:fldCharType="begin"/>
                          </w:r>
                          <w:r w:rsidR="006957D7">
                            <w:rPr>
                              <w:rFonts w:ascii="Arial" w:hAnsi="Arial"/>
                              <w:b/>
                              <w:sz w:val="16"/>
                            </w:rPr>
                            <w:instrText>HYPERLINK "https://www.fcc.gov/"</w:instrText>
                          </w:r>
                          <w:r w:rsidR="006957D7">
                            <w:rPr>
                              <w:rFonts w:ascii="Arial" w:hAnsi="Arial"/>
                              <w:b/>
                              <w:sz w:val="16"/>
                            </w:rPr>
                          </w:r>
                          <w:r w:rsidR="007F413A">
                            <w:rPr>
                              <w:rFonts w:ascii="Arial" w:hAnsi="Arial"/>
                              <w:b/>
                              <w:sz w:val="16"/>
                            </w:rPr>
                            <w:fldChar w:fldCharType="separate"/>
                          </w:r>
                          <w:r w:rsidR="007F413A" w:rsidRPr="00D216CD">
                            <w:rPr>
                              <w:rStyle w:val="Hyperlink"/>
                              <w:rFonts w:ascii="Arial" w:hAnsi="Arial"/>
                              <w:b/>
                              <w:sz w:val="16"/>
                            </w:rPr>
                            <w:t>h</w:t>
                          </w:r>
                          <w:bookmarkEnd w:id="1"/>
                          <w:r w:rsidR="007F413A" w:rsidRPr="00D216CD">
                            <w:rPr>
                              <w:rStyle w:val="Hyperlink"/>
                              <w:rFonts w:ascii="Arial" w:hAnsi="Arial"/>
                              <w:b/>
                              <w:sz w:val="16"/>
                            </w:rPr>
                            <w:t>ttps://www.fcc.gov</w:t>
                          </w:r>
                          <w:r w:rsidR="007F413A">
                            <w:rPr>
                              <w:rFonts w:ascii="Arial" w:hAnsi="Arial"/>
                              <w:b/>
                              <w:sz w:val="16"/>
                            </w:rPr>
                            <w:fldChar w:fldCharType="end"/>
                          </w:r>
                        </w:p>
                        <w:p w:rsidR="00D47505" w:rsidRDefault="00D47505" w:rsidP="00B338A9">
                          <w:pPr>
                            <w:jc w:val="right"/>
                          </w:pPr>
                          <w:r>
                            <w:rPr>
                              <w:rFonts w:ascii="Arial" w:hAnsi="Arial"/>
                              <w:b/>
                              <w:sz w:val="16"/>
                            </w:rPr>
                            <w:t>TTY: 1-888-835-5322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263.25pt;margin-top:14.05pt;width:207.95pt;height:3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" o:allowincell="f" stroked="f">
              <v:textbox inset=",0,,0">
                <w:txbxContent>
                  <w:p w:rsidR="00D47505" w:rsidRDefault="00D47505" w:rsidP="00D47505">
                    <w:pPr>
                      <w:spacing w:before="40"/>
                      <w:jc w:val="right"/>
                      <w:rPr>
                        <w:rFonts w:ascii="Arial" w:hAnsi="Arial"/>
                        <w:b/>
                        <w:sz w:val="16"/>
                      </w:rPr>
                    </w:pPr>
                    <w:r>
                      <w:rPr>
                        <w:rFonts w:ascii="Arial" w:hAnsi="Arial"/>
                        <w:b/>
                        <w:sz w:val="16"/>
                      </w:rPr>
                      <w:t>News Media Information 202 / 418-0500</w:t>
                    </w:r>
                  </w:p>
                  <w:p w:rsidR="00D47505" w:rsidRDefault="00D47505" w:rsidP="00D47505">
                    <w:pPr>
                      <w:jc w:val="right"/>
                      <w:rPr>
                        <w:rFonts w:ascii="Arial" w:hAnsi="Arial"/>
                        <w:b/>
                        <w:sz w:val="16"/>
                      </w:rPr>
                    </w:pPr>
                    <w:r>
                      <w:rPr>
                        <w:rFonts w:ascii="Arial" w:hAnsi="Arial"/>
                        <w:b/>
                        <w:sz w:val="16"/>
                      </w:rPr>
                      <w:t xml:space="preserve">Internet: </w:t>
                    </w:r>
                    <w:bookmarkStart w:id="2" w:name="_Hlt233824"/>
                    <w:r w:rsidR="007F413A">
                      <w:rPr>
                        <w:rFonts w:ascii="Arial" w:hAnsi="Arial"/>
                        <w:b/>
                        <w:sz w:val="16"/>
                      </w:rPr>
                      <w:fldChar w:fldCharType="begin"/>
                    </w:r>
                    <w:r w:rsidR="006957D7">
                      <w:rPr>
                        <w:rFonts w:ascii="Arial" w:hAnsi="Arial"/>
                        <w:b/>
                        <w:sz w:val="16"/>
                      </w:rPr>
                      <w:instrText>HYPERLINK "https://www.fcc.gov/"</w:instrText>
                    </w:r>
                    <w:r w:rsidR="006957D7">
                      <w:rPr>
                        <w:rFonts w:ascii="Arial" w:hAnsi="Arial"/>
                        <w:b/>
                        <w:sz w:val="16"/>
                      </w:rPr>
                    </w:r>
                    <w:r w:rsidR="007F413A">
                      <w:rPr>
                        <w:rFonts w:ascii="Arial" w:hAnsi="Arial"/>
                        <w:b/>
                        <w:sz w:val="16"/>
                      </w:rPr>
                      <w:fldChar w:fldCharType="separate"/>
                    </w:r>
                    <w:r w:rsidR="007F413A" w:rsidRPr="00D216CD">
                      <w:rPr>
                        <w:rStyle w:val="Hyperlink"/>
                        <w:rFonts w:ascii="Arial" w:hAnsi="Arial"/>
                        <w:b/>
                        <w:sz w:val="16"/>
                      </w:rPr>
                      <w:t>h</w:t>
                    </w:r>
                    <w:bookmarkEnd w:id="2"/>
                    <w:r w:rsidR="007F413A" w:rsidRPr="00D216CD">
                      <w:rPr>
                        <w:rStyle w:val="Hyperlink"/>
                        <w:rFonts w:ascii="Arial" w:hAnsi="Arial"/>
                        <w:b/>
                        <w:sz w:val="16"/>
                      </w:rPr>
                      <w:t>ttps://www.fcc.gov</w:t>
                    </w:r>
                    <w:r w:rsidR="007F413A">
                      <w:rPr>
                        <w:rFonts w:ascii="Arial" w:hAnsi="Arial"/>
                        <w:b/>
                        <w:sz w:val="16"/>
                      </w:rPr>
                      <w:fldChar w:fldCharType="end"/>
                    </w:r>
                  </w:p>
                  <w:p w:rsidR="00D47505" w:rsidRDefault="00D47505" w:rsidP="00B338A9">
                    <w:pPr>
                      <w:jc w:val="right"/>
                    </w:pPr>
                    <w:r>
                      <w:rPr>
                        <w:rFonts w:ascii="Arial" w:hAnsi="Arial"/>
                        <w:b/>
                        <w:sz w:val="16"/>
                      </w:rPr>
                      <w:t>TTY: 1-888-835-5322</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B453C"/>
    <w:multiLevelType w:val="singleLevel"/>
    <w:tmpl w:val="40A8E97A"/>
    <w:lvl w:ilvl="0">
      <w:start w:val="1"/>
      <w:numFmt w:val="decimal"/>
      <w:lvlText w:val="%1."/>
      <w:lvlJc w:val="left"/>
      <w:pPr>
        <w:tabs>
          <w:tab w:val="num" w:pos="1080"/>
        </w:tabs>
        <w:ind w:left="0" w:firstLine="720"/>
      </w:pPr>
    </w:lvl>
  </w:abstractNum>
  <w:abstractNum w:abstractNumId="1">
    <w:nsid w:val="23F40A0F"/>
    <w:multiLevelType w:val="singleLevel"/>
    <w:tmpl w:val="3244DD0A"/>
    <w:lvl w:ilvl="0">
      <w:start w:val="1"/>
      <w:numFmt w:val="bullet"/>
      <w:lvlText w:val=""/>
      <w:lvlJc w:val="left"/>
      <w:pPr>
        <w:tabs>
          <w:tab w:val="num" w:pos="360"/>
        </w:tabs>
        <w:ind w:left="360" w:hanging="360"/>
      </w:pPr>
      <w:rPr>
        <w:rFonts w:ascii="Symbol" w:hAnsi="Symbol" w:hint="default"/>
      </w:rPr>
    </w:lvl>
  </w:abstractNum>
  <w:abstractNum w:abstractNumId="2">
    <w:nsid w:val="248246F3"/>
    <w:multiLevelType w:val="singleLevel"/>
    <w:tmpl w:val="B1F45678"/>
    <w:lvl w:ilvl="0">
      <w:start w:val="1"/>
      <w:numFmt w:val="decimal"/>
      <w:lvlText w:val="%1."/>
      <w:lvlJc w:val="left"/>
      <w:pPr>
        <w:tabs>
          <w:tab w:val="num" w:pos="1080"/>
        </w:tabs>
        <w:ind w:left="0" w:firstLine="720"/>
      </w:pPr>
    </w:lvl>
  </w:abstractNum>
  <w:abstractNum w:abstractNumId="3">
    <w:nsid w:val="27E06CBB"/>
    <w:multiLevelType w:val="multilevel"/>
    <w:tmpl w:val="F1A86982"/>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4">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
    <w:nsid w:val="541F6B38"/>
    <w:multiLevelType w:val="multilevel"/>
    <w:tmpl w:val="9BCA1692"/>
    <w:lvl w:ilvl="0">
      <w:start w:val="1"/>
      <w:numFmt w:val="upperRoman"/>
      <w:lvlText w:val="%1."/>
      <w:lvlJc w:val="left"/>
      <w:pPr>
        <w:tabs>
          <w:tab w:val="num" w:pos="720"/>
        </w:tabs>
        <w:ind w:left="720" w:hanging="720"/>
      </w:pPr>
      <w:rPr>
        <w:rFonts w:ascii="Times New Roman" w:hAnsi="Times New Roma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960"/>
        </w:tabs>
        <w:ind w:left="3600" w:hanging="720"/>
      </w:pPr>
      <w:rPr>
        <w:rFonts w:ascii="Tahoma" w:hAnsi="Tahoma"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480"/>
        </w:tabs>
        <w:ind w:left="5760" w:firstLine="0"/>
      </w:pPr>
      <w:rPr>
        <w:b/>
        <w:i w:val="0"/>
        <w:sz w:val="22"/>
      </w:rPr>
    </w:lvl>
  </w:abstractNum>
  <w:abstractNum w:abstractNumId="6">
    <w:nsid w:val="61182925"/>
    <w:multiLevelType w:val="singleLevel"/>
    <w:tmpl w:val="A9EE9842"/>
    <w:lvl w:ilvl="0">
      <w:start w:val="1"/>
      <w:numFmt w:val="decimal"/>
      <w:pStyle w:val="ParaNum"/>
      <w:lvlText w:val="%1."/>
      <w:lvlJc w:val="left"/>
      <w:pPr>
        <w:tabs>
          <w:tab w:val="num" w:pos="1080"/>
        </w:tabs>
        <w:ind w:left="0" w:firstLine="720"/>
      </w:pPr>
    </w:lvl>
  </w:abstractNum>
  <w:abstractNum w:abstractNumId="7">
    <w:nsid w:val="75FF1215"/>
    <w:multiLevelType w:val="hybridMultilevel"/>
    <w:tmpl w:val="E4309E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6"/>
  </w:num>
  <w:num w:numId="3">
    <w:abstractNumId w:val="3"/>
  </w:num>
  <w:num w:numId="4">
    <w:abstractNumId w:val="4"/>
  </w:num>
  <w:num w:numId="5">
    <w:abstractNumId w:val="2"/>
  </w:num>
  <w:num w:numId="6">
    <w:abstractNumId w:val="0"/>
  </w:num>
  <w:num w:numId="7">
    <w:abstractNumId w:val="5"/>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024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D44"/>
    <w:rsid w:val="00036039"/>
    <w:rsid w:val="00037F90"/>
    <w:rsid w:val="00043339"/>
    <w:rsid w:val="0006127C"/>
    <w:rsid w:val="000875BF"/>
    <w:rsid w:val="00096D8C"/>
    <w:rsid w:val="000C0B65"/>
    <w:rsid w:val="000E05FE"/>
    <w:rsid w:val="000E3D42"/>
    <w:rsid w:val="00122BD5"/>
    <w:rsid w:val="00133F79"/>
    <w:rsid w:val="00194A66"/>
    <w:rsid w:val="001D6BCF"/>
    <w:rsid w:val="001E01CA"/>
    <w:rsid w:val="00245E15"/>
    <w:rsid w:val="00275CF5"/>
    <w:rsid w:val="0028301F"/>
    <w:rsid w:val="00285017"/>
    <w:rsid w:val="00287F91"/>
    <w:rsid w:val="002A2D2E"/>
    <w:rsid w:val="002C00E8"/>
    <w:rsid w:val="002C2B57"/>
    <w:rsid w:val="00303971"/>
    <w:rsid w:val="00343749"/>
    <w:rsid w:val="003660ED"/>
    <w:rsid w:val="003968B4"/>
    <w:rsid w:val="003B0550"/>
    <w:rsid w:val="003B428A"/>
    <w:rsid w:val="003B43F6"/>
    <w:rsid w:val="003B694F"/>
    <w:rsid w:val="003E05FE"/>
    <w:rsid w:val="003F171C"/>
    <w:rsid w:val="00412FC5"/>
    <w:rsid w:val="00422276"/>
    <w:rsid w:val="004242F1"/>
    <w:rsid w:val="00445A00"/>
    <w:rsid w:val="00451B0F"/>
    <w:rsid w:val="004C2EE3"/>
    <w:rsid w:val="004E4A22"/>
    <w:rsid w:val="00511968"/>
    <w:rsid w:val="0055614C"/>
    <w:rsid w:val="005E14C2"/>
    <w:rsid w:val="00607BA5"/>
    <w:rsid w:val="0061180A"/>
    <w:rsid w:val="0062217E"/>
    <w:rsid w:val="00626EB6"/>
    <w:rsid w:val="00655D03"/>
    <w:rsid w:val="00683388"/>
    <w:rsid w:val="00683F84"/>
    <w:rsid w:val="006957D7"/>
    <w:rsid w:val="006A1F49"/>
    <w:rsid w:val="006A6A81"/>
    <w:rsid w:val="006B1456"/>
    <w:rsid w:val="006F7393"/>
    <w:rsid w:val="0070224F"/>
    <w:rsid w:val="007115F7"/>
    <w:rsid w:val="00785689"/>
    <w:rsid w:val="0079754B"/>
    <w:rsid w:val="007A1E6D"/>
    <w:rsid w:val="007B0EB2"/>
    <w:rsid w:val="007C65D3"/>
    <w:rsid w:val="007F413A"/>
    <w:rsid w:val="00810B6F"/>
    <w:rsid w:val="00822CE0"/>
    <w:rsid w:val="00841AB1"/>
    <w:rsid w:val="008C68F1"/>
    <w:rsid w:val="00921803"/>
    <w:rsid w:val="00926503"/>
    <w:rsid w:val="009726D8"/>
    <w:rsid w:val="009F76DB"/>
    <w:rsid w:val="00A32C3B"/>
    <w:rsid w:val="00A45F4F"/>
    <w:rsid w:val="00A600A9"/>
    <w:rsid w:val="00AA55B7"/>
    <w:rsid w:val="00AA5B9E"/>
    <w:rsid w:val="00AB2407"/>
    <w:rsid w:val="00AB53DF"/>
    <w:rsid w:val="00AC424B"/>
    <w:rsid w:val="00AF46DC"/>
    <w:rsid w:val="00B07E5C"/>
    <w:rsid w:val="00B20363"/>
    <w:rsid w:val="00B338A9"/>
    <w:rsid w:val="00B679AB"/>
    <w:rsid w:val="00B76DB8"/>
    <w:rsid w:val="00B811F7"/>
    <w:rsid w:val="00BA1DC6"/>
    <w:rsid w:val="00BA5DC6"/>
    <w:rsid w:val="00BA6196"/>
    <w:rsid w:val="00BC6D8C"/>
    <w:rsid w:val="00C34006"/>
    <w:rsid w:val="00C426B1"/>
    <w:rsid w:val="00C66160"/>
    <w:rsid w:val="00C721AC"/>
    <w:rsid w:val="00C90D6A"/>
    <w:rsid w:val="00CA247E"/>
    <w:rsid w:val="00CC72B6"/>
    <w:rsid w:val="00CC776F"/>
    <w:rsid w:val="00D0218D"/>
    <w:rsid w:val="00D02768"/>
    <w:rsid w:val="00D25FB5"/>
    <w:rsid w:val="00D361D1"/>
    <w:rsid w:val="00D42D44"/>
    <w:rsid w:val="00D44223"/>
    <w:rsid w:val="00D47505"/>
    <w:rsid w:val="00DA2529"/>
    <w:rsid w:val="00DB130A"/>
    <w:rsid w:val="00DB2EBB"/>
    <w:rsid w:val="00DC10A1"/>
    <w:rsid w:val="00DC655F"/>
    <w:rsid w:val="00DD0B59"/>
    <w:rsid w:val="00DD7EBD"/>
    <w:rsid w:val="00DE4C8D"/>
    <w:rsid w:val="00DF0810"/>
    <w:rsid w:val="00DF62B6"/>
    <w:rsid w:val="00E07225"/>
    <w:rsid w:val="00E1380D"/>
    <w:rsid w:val="00E5409F"/>
    <w:rsid w:val="00EB4ACC"/>
    <w:rsid w:val="00EB59EB"/>
    <w:rsid w:val="00EC1630"/>
    <w:rsid w:val="00EE6488"/>
    <w:rsid w:val="00F021FA"/>
    <w:rsid w:val="00F62E97"/>
    <w:rsid w:val="00F64209"/>
    <w:rsid w:val="00F8591E"/>
    <w:rsid w:val="00F93BF5"/>
    <w:rsid w:val="00FE2C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2D44"/>
    <w:rPr>
      <w:sz w:val="22"/>
    </w:rPr>
  </w:style>
  <w:style w:type="paragraph" w:styleId="Heading1">
    <w:name w:val="heading 1"/>
    <w:basedOn w:val="Normal"/>
    <w:next w:val="ParaNum"/>
    <w:qFormat/>
    <w:rsid w:val="00626EB6"/>
    <w:pPr>
      <w:keepNext/>
      <w:widowControl w:val="0"/>
      <w:numPr>
        <w:numId w:val="3"/>
      </w:numPr>
      <w:tabs>
        <w:tab w:val="left" w:pos="720"/>
      </w:tabs>
      <w:suppressAutoHyphens/>
      <w:spacing w:after="120"/>
      <w:outlineLvl w:val="0"/>
    </w:pPr>
    <w:rPr>
      <w:rFonts w:ascii="Times New Roman Bold" w:hAnsi="Times New Roman Bold"/>
      <w:b/>
      <w:caps/>
      <w:snapToGrid w:val="0"/>
      <w:kern w:val="28"/>
    </w:rPr>
  </w:style>
  <w:style w:type="paragraph" w:styleId="Heading2">
    <w:name w:val="heading 2"/>
    <w:basedOn w:val="Normal"/>
    <w:next w:val="ParaNum"/>
    <w:autoRedefine/>
    <w:qFormat/>
    <w:rsid w:val="007A1E6D"/>
    <w:pPr>
      <w:keepNext/>
      <w:widowControl w:val="0"/>
      <w:numPr>
        <w:ilvl w:val="1"/>
        <w:numId w:val="3"/>
      </w:numPr>
      <w:spacing w:after="120"/>
      <w:outlineLvl w:val="1"/>
    </w:pPr>
    <w:rPr>
      <w:b/>
      <w:snapToGrid w:val="0"/>
      <w:kern w:val="28"/>
    </w:rPr>
  </w:style>
  <w:style w:type="paragraph" w:styleId="Heading3">
    <w:name w:val="heading 3"/>
    <w:basedOn w:val="Normal"/>
    <w:next w:val="ParaNum"/>
    <w:qFormat/>
    <w:rsid w:val="00BA6196"/>
    <w:pPr>
      <w:keepNext/>
      <w:widowControl w:val="0"/>
      <w:numPr>
        <w:ilvl w:val="2"/>
        <w:numId w:val="3"/>
      </w:numPr>
      <w:tabs>
        <w:tab w:val="left" w:pos="2160"/>
      </w:tabs>
      <w:spacing w:after="120"/>
      <w:outlineLvl w:val="2"/>
    </w:pPr>
    <w:rPr>
      <w:b/>
      <w:snapToGrid w:val="0"/>
      <w:kern w:val="28"/>
    </w:rPr>
  </w:style>
  <w:style w:type="paragraph" w:styleId="Heading4">
    <w:name w:val="heading 4"/>
    <w:basedOn w:val="Normal"/>
    <w:next w:val="ParaNum"/>
    <w:qFormat/>
    <w:rsid w:val="00C426B1"/>
    <w:pPr>
      <w:keepNext/>
      <w:widowControl w:val="0"/>
      <w:numPr>
        <w:ilvl w:val="3"/>
        <w:numId w:val="3"/>
      </w:numPr>
      <w:tabs>
        <w:tab w:val="left" w:pos="2880"/>
      </w:tabs>
      <w:spacing w:after="120"/>
      <w:outlineLvl w:val="3"/>
    </w:pPr>
    <w:rPr>
      <w:b/>
      <w:snapToGrid w:val="0"/>
      <w:kern w:val="28"/>
    </w:rPr>
  </w:style>
  <w:style w:type="paragraph" w:styleId="Heading5">
    <w:name w:val="heading 5"/>
    <w:basedOn w:val="Normal"/>
    <w:next w:val="ParaNum"/>
    <w:qFormat/>
    <w:rsid w:val="00511968"/>
    <w:pPr>
      <w:keepNext/>
      <w:widowControl w:val="0"/>
      <w:numPr>
        <w:ilvl w:val="4"/>
        <w:numId w:val="3"/>
      </w:numPr>
      <w:tabs>
        <w:tab w:val="left" w:pos="3600"/>
      </w:tabs>
      <w:suppressAutoHyphens/>
      <w:spacing w:after="120"/>
      <w:outlineLvl w:val="4"/>
    </w:pPr>
    <w:rPr>
      <w:b/>
      <w:snapToGrid w:val="0"/>
      <w:kern w:val="28"/>
    </w:rPr>
  </w:style>
  <w:style w:type="paragraph" w:styleId="Heading6">
    <w:name w:val="heading 6"/>
    <w:basedOn w:val="Normal"/>
    <w:next w:val="ParaNum"/>
    <w:qFormat/>
    <w:rsid w:val="00036039"/>
    <w:pPr>
      <w:widowControl w:val="0"/>
      <w:numPr>
        <w:ilvl w:val="5"/>
        <w:numId w:val="3"/>
      </w:numPr>
      <w:tabs>
        <w:tab w:val="left" w:pos="4320"/>
      </w:tabs>
      <w:spacing w:after="120"/>
      <w:outlineLvl w:val="5"/>
    </w:pPr>
    <w:rPr>
      <w:b/>
      <w:snapToGrid w:val="0"/>
      <w:kern w:val="28"/>
    </w:rPr>
  </w:style>
  <w:style w:type="paragraph" w:styleId="Heading7">
    <w:name w:val="heading 7"/>
    <w:basedOn w:val="Normal"/>
    <w:next w:val="ParaNum"/>
    <w:qFormat/>
    <w:rsid w:val="00036039"/>
    <w:pPr>
      <w:widowControl w:val="0"/>
      <w:numPr>
        <w:ilvl w:val="6"/>
        <w:numId w:val="3"/>
      </w:numPr>
      <w:tabs>
        <w:tab w:val="left" w:pos="5040"/>
      </w:tabs>
      <w:spacing w:after="120"/>
      <w:ind w:left="5040" w:hanging="720"/>
      <w:outlineLvl w:val="6"/>
    </w:pPr>
    <w:rPr>
      <w:b/>
      <w:snapToGrid w:val="0"/>
      <w:kern w:val="28"/>
    </w:rPr>
  </w:style>
  <w:style w:type="paragraph" w:styleId="Heading8">
    <w:name w:val="heading 8"/>
    <w:basedOn w:val="Normal"/>
    <w:next w:val="ParaNum"/>
    <w:qFormat/>
    <w:rsid w:val="001E01CA"/>
    <w:pPr>
      <w:widowControl w:val="0"/>
      <w:numPr>
        <w:ilvl w:val="7"/>
        <w:numId w:val="3"/>
      </w:numPr>
      <w:tabs>
        <w:tab w:val="clear" w:pos="5400"/>
        <w:tab w:val="left" w:pos="5760"/>
      </w:tabs>
      <w:spacing w:after="120"/>
      <w:ind w:left="5760" w:hanging="720"/>
      <w:outlineLvl w:val="7"/>
    </w:pPr>
    <w:rPr>
      <w:b/>
      <w:snapToGrid w:val="0"/>
      <w:kern w:val="28"/>
    </w:rPr>
  </w:style>
  <w:style w:type="paragraph" w:styleId="Heading9">
    <w:name w:val="heading 9"/>
    <w:basedOn w:val="Normal"/>
    <w:next w:val="ParaNum"/>
    <w:qFormat/>
    <w:rsid w:val="001E01CA"/>
    <w:pPr>
      <w:widowControl w:val="0"/>
      <w:numPr>
        <w:ilvl w:val="8"/>
        <w:numId w:val="3"/>
      </w:numPr>
      <w:tabs>
        <w:tab w:val="clear" w:pos="6120"/>
        <w:tab w:val="left" w:pos="6480"/>
      </w:tabs>
      <w:spacing w:after="120"/>
      <w:ind w:left="6480" w:hanging="720"/>
      <w:outlineLvl w:val="8"/>
    </w:pPr>
    <w:rPr>
      <w:b/>
      <w:snapToGrid w:val="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Num">
    <w:name w:val="ParaNum"/>
    <w:basedOn w:val="Normal"/>
    <w:rsid w:val="00E07225"/>
    <w:pPr>
      <w:widowControl w:val="0"/>
      <w:numPr>
        <w:numId w:val="2"/>
      </w:numPr>
      <w:tabs>
        <w:tab w:val="clear" w:pos="1080"/>
        <w:tab w:val="num" w:pos="1440"/>
      </w:tabs>
      <w:spacing w:after="120"/>
    </w:pPr>
    <w:rPr>
      <w:snapToGrid w:val="0"/>
      <w:kern w:val="28"/>
    </w:rPr>
  </w:style>
  <w:style w:type="paragraph" w:styleId="EndnoteText">
    <w:name w:val="endnote text"/>
    <w:basedOn w:val="Normal"/>
    <w:semiHidden/>
    <w:pPr>
      <w:widowControl w:val="0"/>
    </w:pPr>
    <w:rPr>
      <w:snapToGrid w:val="0"/>
      <w:kern w:val="28"/>
      <w:sz w:val="20"/>
    </w:rPr>
  </w:style>
  <w:style w:type="character" w:styleId="EndnoteReference">
    <w:name w:val="endnote reference"/>
    <w:semiHidden/>
    <w:rPr>
      <w:vertAlign w:val="superscript"/>
    </w:rPr>
  </w:style>
  <w:style w:type="paragraph" w:styleId="FootnoteText">
    <w:name w:val="footnote text"/>
    <w:aliases w:val="ALTS FOOTNOTE,fn,Footnote Text Char1,Footnote Text Char Char,ALTS FOOTNOTE Char Char,fn Char Char,Footnote Text Char1 Char Char,Footnote Text Char Char Char Char,ALTS FOOTNOTE Char Char Char Char,fn Char Char Char Char,fn Char1,fn Char"/>
    <w:link w:val="FootnoteTextChar"/>
    <w:uiPriority w:val="99"/>
    <w:rsid w:val="000E3D42"/>
    <w:pPr>
      <w:spacing w:after="120"/>
    </w:pPr>
  </w:style>
  <w:style w:type="character" w:styleId="FootnoteReference">
    <w:name w:val="footnote reference"/>
    <w:aliases w:val="Appel note de bas de p,Style 12,(NECG) Footnote Reference,Style 124,o,fr,Style 3,Style 13,FR,Style 17,Style 6,Footnote Reference/"/>
    <w:uiPriority w:val="99"/>
    <w:rsid w:val="00A32C3B"/>
    <w:rPr>
      <w:rFonts w:ascii="Times New Roman" w:hAnsi="Times New Roman"/>
      <w:dstrike w:val="0"/>
      <w:color w:val="auto"/>
      <w:sz w:val="20"/>
      <w:vertAlign w:val="superscript"/>
    </w:rPr>
  </w:style>
  <w:style w:type="paragraph" w:styleId="TOC1">
    <w:name w:val="toc 1"/>
    <w:basedOn w:val="Normal"/>
    <w:next w:val="Normal"/>
    <w:semiHidden/>
    <w:pPr>
      <w:widowControl w:val="0"/>
      <w:tabs>
        <w:tab w:val="left" w:pos="360"/>
        <w:tab w:val="right" w:leader="dot" w:pos="9360"/>
      </w:tabs>
      <w:suppressAutoHyphens/>
      <w:ind w:left="360" w:right="720" w:hanging="360"/>
    </w:pPr>
    <w:rPr>
      <w:caps/>
      <w:noProof/>
      <w:snapToGrid w:val="0"/>
      <w:kern w:val="28"/>
    </w:rPr>
  </w:style>
  <w:style w:type="paragraph" w:styleId="TOC2">
    <w:name w:val="toc 2"/>
    <w:basedOn w:val="Normal"/>
    <w:next w:val="Normal"/>
    <w:semiHidden/>
    <w:pPr>
      <w:widowControl w:val="0"/>
      <w:tabs>
        <w:tab w:val="left" w:pos="720"/>
        <w:tab w:val="right" w:leader="dot" w:pos="9360"/>
      </w:tabs>
      <w:suppressAutoHyphens/>
      <w:ind w:left="720" w:right="720" w:hanging="360"/>
    </w:pPr>
    <w:rPr>
      <w:noProof/>
      <w:snapToGrid w:val="0"/>
      <w:kern w:val="28"/>
    </w:rPr>
  </w:style>
  <w:style w:type="paragraph" w:styleId="TOC3">
    <w:name w:val="toc 3"/>
    <w:basedOn w:val="Normal"/>
    <w:next w:val="Normal"/>
    <w:semiHidden/>
    <w:pPr>
      <w:widowControl w:val="0"/>
      <w:tabs>
        <w:tab w:val="left" w:pos="1080"/>
        <w:tab w:val="right" w:leader="dot" w:pos="9360"/>
      </w:tabs>
      <w:suppressAutoHyphens/>
      <w:ind w:left="1080" w:right="720" w:hanging="360"/>
    </w:pPr>
    <w:rPr>
      <w:noProof/>
      <w:snapToGrid w:val="0"/>
      <w:kern w:val="28"/>
    </w:rPr>
  </w:style>
  <w:style w:type="paragraph" w:styleId="TOC4">
    <w:name w:val="toc 4"/>
    <w:basedOn w:val="Normal"/>
    <w:next w:val="Normal"/>
    <w:autoRedefine/>
    <w:semiHidden/>
    <w:pPr>
      <w:widowControl w:val="0"/>
      <w:tabs>
        <w:tab w:val="left" w:pos="1440"/>
        <w:tab w:val="right" w:leader="dot" w:pos="9360"/>
      </w:tabs>
      <w:suppressAutoHyphens/>
      <w:ind w:left="1440" w:right="720" w:hanging="360"/>
    </w:pPr>
    <w:rPr>
      <w:noProof/>
      <w:snapToGrid w:val="0"/>
      <w:kern w:val="28"/>
    </w:rPr>
  </w:style>
  <w:style w:type="paragraph" w:styleId="TOC5">
    <w:name w:val="toc 5"/>
    <w:basedOn w:val="Normal"/>
    <w:next w:val="Normal"/>
    <w:autoRedefine/>
    <w:semiHidden/>
    <w:pPr>
      <w:widowControl w:val="0"/>
      <w:tabs>
        <w:tab w:val="left" w:pos="1800"/>
        <w:tab w:val="right" w:leader="dot" w:pos="9360"/>
      </w:tabs>
      <w:suppressAutoHyphens/>
      <w:ind w:left="1800" w:right="720" w:hanging="360"/>
    </w:pPr>
    <w:rPr>
      <w:noProof/>
      <w:snapToGrid w:val="0"/>
      <w:kern w:val="28"/>
    </w:rPr>
  </w:style>
  <w:style w:type="paragraph" w:styleId="TOC6">
    <w:name w:val="toc 6"/>
    <w:basedOn w:val="Normal"/>
    <w:next w:val="Normal"/>
    <w:autoRedefine/>
    <w:semiHidden/>
    <w:pPr>
      <w:widowControl w:val="0"/>
      <w:tabs>
        <w:tab w:val="left" w:pos="2160"/>
        <w:tab w:val="right" w:leader="dot" w:pos="9360"/>
      </w:tabs>
      <w:suppressAutoHyphens/>
      <w:ind w:left="2160" w:hanging="360"/>
    </w:pPr>
    <w:rPr>
      <w:noProof/>
      <w:snapToGrid w:val="0"/>
      <w:kern w:val="28"/>
    </w:rPr>
  </w:style>
  <w:style w:type="paragraph" w:styleId="TOC7">
    <w:name w:val="toc 7"/>
    <w:basedOn w:val="Normal"/>
    <w:next w:val="Normal"/>
    <w:autoRedefine/>
    <w:semiHidden/>
    <w:pPr>
      <w:widowControl w:val="0"/>
      <w:tabs>
        <w:tab w:val="left" w:pos="2520"/>
        <w:tab w:val="right" w:leader="dot" w:pos="9360"/>
      </w:tabs>
      <w:suppressAutoHyphens/>
      <w:ind w:left="2520" w:hanging="360"/>
    </w:pPr>
    <w:rPr>
      <w:noProof/>
      <w:snapToGrid w:val="0"/>
      <w:kern w:val="28"/>
    </w:rPr>
  </w:style>
  <w:style w:type="paragraph" w:styleId="TOC8">
    <w:name w:val="toc 8"/>
    <w:basedOn w:val="Normal"/>
    <w:next w:val="Normal"/>
    <w:autoRedefine/>
    <w:semiHidden/>
    <w:pPr>
      <w:widowControl w:val="0"/>
      <w:tabs>
        <w:tab w:val="left" w:pos="2880"/>
        <w:tab w:val="right" w:leader="dot" w:pos="9360"/>
      </w:tabs>
      <w:suppressAutoHyphens/>
      <w:ind w:left="2880" w:hanging="360"/>
    </w:pPr>
    <w:rPr>
      <w:noProof/>
      <w:snapToGrid w:val="0"/>
      <w:kern w:val="28"/>
    </w:rPr>
  </w:style>
  <w:style w:type="paragraph" w:styleId="TOC9">
    <w:name w:val="toc 9"/>
    <w:basedOn w:val="Normal"/>
    <w:next w:val="Normal"/>
    <w:autoRedefine/>
    <w:semiHidden/>
    <w:pPr>
      <w:widowControl w:val="0"/>
      <w:tabs>
        <w:tab w:val="left" w:pos="3240"/>
        <w:tab w:val="right" w:leader="dot" w:pos="9360"/>
      </w:tabs>
      <w:suppressAutoHyphens/>
      <w:ind w:left="3240" w:hanging="360"/>
    </w:pPr>
    <w:rPr>
      <w:noProof/>
      <w:snapToGrid w:val="0"/>
      <w:kern w:val="28"/>
    </w:rPr>
  </w:style>
  <w:style w:type="paragraph" w:styleId="TOAHeading">
    <w:name w:val="toa heading"/>
    <w:basedOn w:val="Normal"/>
    <w:next w:val="Normal"/>
    <w:semiHidden/>
    <w:pPr>
      <w:widowControl w:val="0"/>
      <w:tabs>
        <w:tab w:val="right" w:pos="9360"/>
      </w:tabs>
      <w:suppressAutoHyphens/>
    </w:pPr>
    <w:rPr>
      <w:snapToGrid w:val="0"/>
      <w:kern w:val="28"/>
    </w:rPr>
  </w:style>
  <w:style w:type="character" w:customStyle="1" w:styleId="EquationCaption">
    <w:name w:val="_Equation Caption"/>
  </w:style>
  <w:style w:type="paragraph" w:styleId="Header">
    <w:name w:val="header"/>
    <w:basedOn w:val="Normal"/>
    <w:autoRedefine/>
    <w:rsid w:val="00B338A9"/>
    <w:pPr>
      <w:widowControl w:val="0"/>
      <w:spacing w:before="40"/>
    </w:pPr>
    <w:rPr>
      <w:rFonts w:ascii="Arial" w:hAnsi="Arial" w:cs="Arial"/>
      <w:b/>
      <w:snapToGrid w:val="0"/>
      <w:kern w:val="28"/>
      <w:sz w:val="96"/>
    </w:rPr>
  </w:style>
  <w:style w:type="paragraph" w:styleId="Footer">
    <w:name w:val="footer"/>
    <w:basedOn w:val="Normal"/>
    <w:link w:val="FooterChar"/>
    <w:uiPriority w:val="99"/>
    <w:pPr>
      <w:widowControl w:val="0"/>
      <w:tabs>
        <w:tab w:val="center" w:pos="4320"/>
        <w:tab w:val="right" w:pos="8640"/>
      </w:tabs>
    </w:pPr>
    <w:rPr>
      <w:snapToGrid w:val="0"/>
      <w:kern w:val="28"/>
    </w:rPr>
  </w:style>
  <w:style w:type="character" w:styleId="PageNumber">
    <w:name w:val="page number"/>
    <w:basedOn w:val="DefaultParagraphFont"/>
  </w:style>
  <w:style w:type="paragraph" w:styleId="BlockText">
    <w:name w:val="Block Text"/>
    <w:basedOn w:val="Normal"/>
    <w:pPr>
      <w:widowControl w:val="0"/>
      <w:spacing w:after="240"/>
      <w:ind w:left="1440" w:right="1440"/>
    </w:pPr>
    <w:rPr>
      <w:snapToGrid w:val="0"/>
      <w:kern w:val="28"/>
    </w:rPr>
  </w:style>
  <w:style w:type="paragraph" w:customStyle="1" w:styleId="Paratitle">
    <w:name w:val="Para title"/>
    <w:basedOn w:val="Normal"/>
    <w:pPr>
      <w:widowControl w:val="0"/>
      <w:tabs>
        <w:tab w:val="center" w:pos="9270"/>
      </w:tabs>
      <w:spacing w:after="240"/>
    </w:pPr>
    <w:rPr>
      <w:snapToGrid w:val="0"/>
      <w:spacing w:val="-2"/>
      <w:kern w:val="28"/>
    </w:rPr>
  </w:style>
  <w:style w:type="paragraph" w:customStyle="1" w:styleId="Bullet">
    <w:name w:val="Bullet"/>
    <w:basedOn w:val="Normal"/>
    <w:pPr>
      <w:widowControl w:val="0"/>
      <w:tabs>
        <w:tab w:val="left" w:pos="2160"/>
      </w:tabs>
      <w:spacing w:after="220"/>
      <w:ind w:left="2160" w:hanging="720"/>
    </w:pPr>
    <w:rPr>
      <w:snapToGrid w:val="0"/>
      <w:kern w:val="28"/>
    </w:rPr>
  </w:style>
  <w:style w:type="paragraph" w:customStyle="1" w:styleId="TableFormat">
    <w:name w:val="TableFormat"/>
    <w:basedOn w:val="Bullet"/>
    <w:pPr>
      <w:tabs>
        <w:tab w:val="clear" w:pos="2160"/>
        <w:tab w:val="left" w:pos="5040"/>
      </w:tabs>
      <w:ind w:left="5040" w:hanging="3600"/>
    </w:pPr>
  </w:style>
  <w:style w:type="paragraph" w:customStyle="1" w:styleId="TOCTitle">
    <w:name w:val="TOC Title"/>
    <w:basedOn w:val="Normal"/>
    <w:pPr>
      <w:widowControl w:val="0"/>
      <w:spacing w:before="240" w:after="240"/>
      <w:jc w:val="center"/>
    </w:pPr>
    <w:rPr>
      <w:rFonts w:ascii="Times New Roman Bold" w:hAnsi="Times New Roman Bold"/>
      <w:b/>
      <w:caps/>
      <w:snapToGrid w:val="0"/>
      <w:spacing w:val="-2"/>
      <w:kern w:val="28"/>
    </w:rPr>
  </w:style>
  <w:style w:type="paragraph" w:customStyle="1" w:styleId="StyleBoldCentered">
    <w:name w:val="Style Bold Centered"/>
    <w:basedOn w:val="Normal"/>
    <w:rsid w:val="00096D8C"/>
    <w:pPr>
      <w:widowControl w:val="0"/>
      <w:jc w:val="center"/>
    </w:pPr>
    <w:rPr>
      <w:rFonts w:ascii="Times New Roman Bold" w:hAnsi="Times New Roman Bold"/>
      <w:b/>
      <w:bCs/>
      <w:caps/>
      <w:snapToGrid w:val="0"/>
      <w:kern w:val="28"/>
      <w:szCs w:val="22"/>
    </w:rPr>
  </w:style>
  <w:style w:type="character" w:styleId="Hyperlink">
    <w:name w:val="Hyperlink"/>
    <w:rsid w:val="002A2D2E"/>
    <w:rPr>
      <w:color w:val="0000FF"/>
      <w:u w:val="single"/>
    </w:rPr>
  </w:style>
  <w:style w:type="paragraph" w:styleId="BalloonText">
    <w:name w:val="Balloon Text"/>
    <w:basedOn w:val="Normal"/>
    <w:link w:val="BalloonTextChar"/>
    <w:rsid w:val="00B338A9"/>
    <w:pPr>
      <w:widowControl w:val="0"/>
    </w:pPr>
    <w:rPr>
      <w:rFonts w:ascii="Segoe UI" w:hAnsi="Segoe UI" w:cs="Segoe UI"/>
      <w:snapToGrid w:val="0"/>
      <w:kern w:val="28"/>
      <w:sz w:val="18"/>
      <w:szCs w:val="18"/>
    </w:rPr>
  </w:style>
  <w:style w:type="character" w:customStyle="1" w:styleId="BalloonTextChar">
    <w:name w:val="Balloon Text Char"/>
    <w:basedOn w:val="DefaultParagraphFont"/>
    <w:link w:val="BalloonText"/>
    <w:rsid w:val="00B338A9"/>
    <w:rPr>
      <w:rFonts w:ascii="Segoe UI" w:hAnsi="Segoe UI" w:cs="Segoe UI"/>
      <w:snapToGrid w:val="0"/>
      <w:kern w:val="28"/>
      <w:sz w:val="18"/>
      <w:szCs w:val="18"/>
    </w:rPr>
  </w:style>
  <w:style w:type="character" w:customStyle="1" w:styleId="FooterChar">
    <w:name w:val="Footer Char"/>
    <w:basedOn w:val="DefaultParagraphFont"/>
    <w:link w:val="Footer"/>
    <w:uiPriority w:val="99"/>
    <w:rsid w:val="00B338A9"/>
    <w:rPr>
      <w:snapToGrid w:val="0"/>
      <w:kern w:val="28"/>
      <w:sz w:val="22"/>
    </w:rPr>
  </w:style>
  <w:style w:type="character" w:customStyle="1" w:styleId="FootnoteTextChar">
    <w:name w:val="Footnote Text Char"/>
    <w:aliases w:val="ALTS FOOTNOTE Char,fn Char2,Footnote Text Char1 Char,Footnote Text Char Char Char,ALTS FOOTNOTE Char Char Char,fn Char Char Char,Footnote Text Char1 Char Char Char,Footnote Text Char Char Char Char Char,fn Char Char Char Char Char"/>
    <w:link w:val="FootnoteText"/>
    <w:uiPriority w:val="99"/>
    <w:locked/>
    <w:rsid w:val="00D42D44"/>
  </w:style>
  <w:style w:type="paragraph" w:styleId="ListParagraph">
    <w:name w:val="List Paragraph"/>
    <w:basedOn w:val="Normal"/>
    <w:uiPriority w:val="34"/>
    <w:qFormat/>
    <w:rsid w:val="00D42D4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2D44"/>
    <w:rPr>
      <w:sz w:val="22"/>
    </w:rPr>
  </w:style>
  <w:style w:type="paragraph" w:styleId="Heading1">
    <w:name w:val="heading 1"/>
    <w:basedOn w:val="Normal"/>
    <w:next w:val="ParaNum"/>
    <w:qFormat/>
    <w:rsid w:val="00626EB6"/>
    <w:pPr>
      <w:keepNext/>
      <w:widowControl w:val="0"/>
      <w:numPr>
        <w:numId w:val="3"/>
      </w:numPr>
      <w:tabs>
        <w:tab w:val="left" w:pos="720"/>
      </w:tabs>
      <w:suppressAutoHyphens/>
      <w:spacing w:after="120"/>
      <w:outlineLvl w:val="0"/>
    </w:pPr>
    <w:rPr>
      <w:rFonts w:ascii="Times New Roman Bold" w:hAnsi="Times New Roman Bold"/>
      <w:b/>
      <w:caps/>
      <w:snapToGrid w:val="0"/>
      <w:kern w:val="28"/>
    </w:rPr>
  </w:style>
  <w:style w:type="paragraph" w:styleId="Heading2">
    <w:name w:val="heading 2"/>
    <w:basedOn w:val="Normal"/>
    <w:next w:val="ParaNum"/>
    <w:autoRedefine/>
    <w:qFormat/>
    <w:rsid w:val="007A1E6D"/>
    <w:pPr>
      <w:keepNext/>
      <w:widowControl w:val="0"/>
      <w:numPr>
        <w:ilvl w:val="1"/>
        <w:numId w:val="3"/>
      </w:numPr>
      <w:spacing w:after="120"/>
      <w:outlineLvl w:val="1"/>
    </w:pPr>
    <w:rPr>
      <w:b/>
      <w:snapToGrid w:val="0"/>
      <w:kern w:val="28"/>
    </w:rPr>
  </w:style>
  <w:style w:type="paragraph" w:styleId="Heading3">
    <w:name w:val="heading 3"/>
    <w:basedOn w:val="Normal"/>
    <w:next w:val="ParaNum"/>
    <w:qFormat/>
    <w:rsid w:val="00BA6196"/>
    <w:pPr>
      <w:keepNext/>
      <w:widowControl w:val="0"/>
      <w:numPr>
        <w:ilvl w:val="2"/>
        <w:numId w:val="3"/>
      </w:numPr>
      <w:tabs>
        <w:tab w:val="left" w:pos="2160"/>
      </w:tabs>
      <w:spacing w:after="120"/>
      <w:outlineLvl w:val="2"/>
    </w:pPr>
    <w:rPr>
      <w:b/>
      <w:snapToGrid w:val="0"/>
      <w:kern w:val="28"/>
    </w:rPr>
  </w:style>
  <w:style w:type="paragraph" w:styleId="Heading4">
    <w:name w:val="heading 4"/>
    <w:basedOn w:val="Normal"/>
    <w:next w:val="ParaNum"/>
    <w:qFormat/>
    <w:rsid w:val="00C426B1"/>
    <w:pPr>
      <w:keepNext/>
      <w:widowControl w:val="0"/>
      <w:numPr>
        <w:ilvl w:val="3"/>
        <w:numId w:val="3"/>
      </w:numPr>
      <w:tabs>
        <w:tab w:val="left" w:pos="2880"/>
      </w:tabs>
      <w:spacing w:after="120"/>
      <w:outlineLvl w:val="3"/>
    </w:pPr>
    <w:rPr>
      <w:b/>
      <w:snapToGrid w:val="0"/>
      <w:kern w:val="28"/>
    </w:rPr>
  </w:style>
  <w:style w:type="paragraph" w:styleId="Heading5">
    <w:name w:val="heading 5"/>
    <w:basedOn w:val="Normal"/>
    <w:next w:val="ParaNum"/>
    <w:qFormat/>
    <w:rsid w:val="00511968"/>
    <w:pPr>
      <w:keepNext/>
      <w:widowControl w:val="0"/>
      <w:numPr>
        <w:ilvl w:val="4"/>
        <w:numId w:val="3"/>
      </w:numPr>
      <w:tabs>
        <w:tab w:val="left" w:pos="3600"/>
      </w:tabs>
      <w:suppressAutoHyphens/>
      <w:spacing w:after="120"/>
      <w:outlineLvl w:val="4"/>
    </w:pPr>
    <w:rPr>
      <w:b/>
      <w:snapToGrid w:val="0"/>
      <w:kern w:val="28"/>
    </w:rPr>
  </w:style>
  <w:style w:type="paragraph" w:styleId="Heading6">
    <w:name w:val="heading 6"/>
    <w:basedOn w:val="Normal"/>
    <w:next w:val="ParaNum"/>
    <w:qFormat/>
    <w:rsid w:val="00036039"/>
    <w:pPr>
      <w:widowControl w:val="0"/>
      <w:numPr>
        <w:ilvl w:val="5"/>
        <w:numId w:val="3"/>
      </w:numPr>
      <w:tabs>
        <w:tab w:val="left" w:pos="4320"/>
      </w:tabs>
      <w:spacing w:after="120"/>
      <w:outlineLvl w:val="5"/>
    </w:pPr>
    <w:rPr>
      <w:b/>
      <w:snapToGrid w:val="0"/>
      <w:kern w:val="28"/>
    </w:rPr>
  </w:style>
  <w:style w:type="paragraph" w:styleId="Heading7">
    <w:name w:val="heading 7"/>
    <w:basedOn w:val="Normal"/>
    <w:next w:val="ParaNum"/>
    <w:qFormat/>
    <w:rsid w:val="00036039"/>
    <w:pPr>
      <w:widowControl w:val="0"/>
      <w:numPr>
        <w:ilvl w:val="6"/>
        <w:numId w:val="3"/>
      </w:numPr>
      <w:tabs>
        <w:tab w:val="left" w:pos="5040"/>
      </w:tabs>
      <w:spacing w:after="120"/>
      <w:ind w:left="5040" w:hanging="720"/>
      <w:outlineLvl w:val="6"/>
    </w:pPr>
    <w:rPr>
      <w:b/>
      <w:snapToGrid w:val="0"/>
      <w:kern w:val="28"/>
    </w:rPr>
  </w:style>
  <w:style w:type="paragraph" w:styleId="Heading8">
    <w:name w:val="heading 8"/>
    <w:basedOn w:val="Normal"/>
    <w:next w:val="ParaNum"/>
    <w:qFormat/>
    <w:rsid w:val="001E01CA"/>
    <w:pPr>
      <w:widowControl w:val="0"/>
      <w:numPr>
        <w:ilvl w:val="7"/>
        <w:numId w:val="3"/>
      </w:numPr>
      <w:tabs>
        <w:tab w:val="clear" w:pos="5400"/>
        <w:tab w:val="left" w:pos="5760"/>
      </w:tabs>
      <w:spacing w:after="120"/>
      <w:ind w:left="5760" w:hanging="720"/>
      <w:outlineLvl w:val="7"/>
    </w:pPr>
    <w:rPr>
      <w:b/>
      <w:snapToGrid w:val="0"/>
      <w:kern w:val="28"/>
    </w:rPr>
  </w:style>
  <w:style w:type="paragraph" w:styleId="Heading9">
    <w:name w:val="heading 9"/>
    <w:basedOn w:val="Normal"/>
    <w:next w:val="ParaNum"/>
    <w:qFormat/>
    <w:rsid w:val="001E01CA"/>
    <w:pPr>
      <w:widowControl w:val="0"/>
      <w:numPr>
        <w:ilvl w:val="8"/>
        <w:numId w:val="3"/>
      </w:numPr>
      <w:tabs>
        <w:tab w:val="clear" w:pos="6120"/>
        <w:tab w:val="left" w:pos="6480"/>
      </w:tabs>
      <w:spacing w:after="120"/>
      <w:ind w:left="6480" w:hanging="720"/>
      <w:outlineLvl w:val="8"/>
    </w:pPr>
    <w:rPr>
      <w:b/>
      <w:snapToGrid w:val="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Num">
    <w:name w:val="ParaNum"/>
    <w:basedOn w:val="Normal"/>
    <w:rsid w:val="00E07225"/>
    <w:pPr>
      <w:widowControl w:val="0"/>
      <w:numPr>
        <w:numId w:val="2"/>
      </w:numPr>
      <w:tabs>
        <w:tab w:val="clear" w:pos="1080"/>
        <w:tab w:val="num" w:pos="1440"/>
      </w:tabs>
      <w:spacing w:after="120"/>
    </w:pPr>
    <w:rPr>
      <w:snapToGrid w:val="0"/>
      <w:kern w:val="28"/>
    </w:rPr>
  </w:style>
  <w:style w:type="paragraph" w:styleId="EndnoteText">
    <w:name w:val="endnote text"/>
    <w:basedOn w:val="Normal"/>
    <w:semiHidden/>
    <w:pPr>
      <w:widowControl w:val="0"/>
    </w:pPr>
    <w:rPr>
      <w:snapToGrid w:val="0"/>
      <w:kern w:val="28"/>
      <w:sz w:val="20"/>
    </w:rPr>
  </w:style>
  <w:style w:type="character" w:styleId="EndnoteReference">
    <w:name w:val="endnote reference"/>
    <w:semiHidden/>
    <w:rPr>
      <w:vertAlign w:val="superscript"/>
    </w:rPr>
  </w:style>
  <w:style w:type="paragraph" w:styleId="FootnoteText">
    <w:name w:val="footnote text"/>
    <w:aliases w:val="ALTS FOOTNOTE,fn,Footnote Text Char1,Footnote Text Char Char,ALTS FOOTNOTE Char Char,fn Char Char,Footnote Text Char1 Char Char,Footnote Text Char Char Char Char,ALTS FOOTNOTE Char Char Char Char,fn Char Char Char Char,fn Char1,fn Char"/>
    <w:link w:val="FootnoteTextChar"/>
    <w:uiPriority w:val="99"/>
    <w:rsid w:val="000E3D42"/>
    <w:pPr>
      <w:spacing w:after="120"/>
    </w:pPr>
  </w:style>
  <w:style w:type="character" w:styleId="FootnoteReference">
    <w:name w:val="footnote reference"/>
    <w:aliases w:val="Appel note de bas de p,Style 12,(NECG) Footnote Reference,Style 124,o,fr,Style 3,Style 13,FR,Style 17,Style 6,Footnote Reference/"/>
    <w:uiPriority w:val="99"/>
    <w:rsid w:val="00A32C3B"/>
    <w:rPr>
      <w:rFonts w:ascii="Times New Roman" w:hAnsi="Times New Roman"/>
      <w:dstrike w:val="0"/>
      <w:color w:val="auto"/>
      <w:sz w:val="20"/>
      <w:vertAlign w:val="superscript"/>
    </w:rPr>
  </w:style>
  <w:style w:type="paragraph" w:styleId="TOC1">
    <w:name w:val="toc 1"/>
    <w:basedOn w:val="Normal"/>
    <w:next w:val="Normal"/>
    <w:semiHidden/>
    <w:pPr>
      <w:widowControl w:val="0"/>
      <w:tabs>
        <w:tab w:val="left" w:pos="360"/>
        <w:tab w:val="right" w:leader="dot" w:pos="9360"/>
      </w:tabs>
      <w:suppressAutoHyphens/>
      <w:ind w:left="360" w:right="720" w:hanging="360"/>
    </w:pPr>
    <w:rPr>
      <w:caps/>
      <w:noProof/>
      <w:snapToGrid w:val="0"/>
      <w:kern w:val="28"/>
    </w:rPr>
  </w:style>
  <w:style w:type="paragraph" w:styleId="TOC2">
    <w:name w:val="toc 2"/>
    <w:basedOn w:val="Normal"/>
    <w:next w:val="Normal"/>
    <w:semiHidden/>
    <w:pPr>
      <w:widowControl w:val="0"/>
      <w:tabs>
        <w:tab w:val="left" w:pos="720"/>
        <w:tab w:val="right" w:leader="dot" w:pos="9360"/>
      </w:tabs>
      <w:suppressAutoHyphens/>
      <w:ind w:left="720" w:right="720" w:hanging="360"/>
    </w:pPr>
    <w:rPr>
      <w:noProof/>
      <w:snapToGrid w:val="0"/>
      <w:kern w:val="28"/>
    </w:rPr>
  </w:style>
  <w:style w:type="paragraph" w:styleId="TOC3">
    <w:name w:val="toc 3"/>
    <w:basedOn w:val="Normal"/>
    <w:next w:val="Normal"/>
    <w:semiHidden/>
    <w:pPr>
      <w:widowControl w:val="0"/>
      <w:tabs>
        <w:tab w:val="left" w:pos="1080"/>
        <w:tab w:val="right" w:leader="dot" w:pos="9360"/>
      </w:tabs>
      <w:suppressAutoHyphens/>
      <w:ind w:left="1080" w:right="720" w:hanging="360"/>
    </w:pPr>
    <w:rPr>
      <w:noProof/>
      <w:snapToGrid w:val="0"/>
      <w:kern w:val="28"/>
    </w:rPr>
  </w:style>
  <w:style w:type="paragraph" w:styleId="TOC4">
    <w:name w:val="toc 4"/>
    <w:basedOn w:val="Normal"/>
    <w:next w:val="Normal"/>
    <w:autoRedefine/>
    <w:semiHidden/>
    <w:pPr>
      <w:widowControl w:val="0"/>
      <w:tabs>
        <w:tab w:val="left" w:pos="1440"/>
        <w:tab w:val="right" w:leader="dot" w:pos="9360"/>
      </w:tabs>
      <w:suppressAutoHyphens/>
      <w:ind w:left="1440" w:right="720" w:hanging="360"/>
    </w:pPr>
    <w:rPr>
      <w:noProof/>
      <w:snapToGrid w:val="0"/>
      <w:kern w:val="28"/>
    </w:rPr>
  </w:style>
  <w:style w:type="paragraph" w:styleId="TOC5">
    <w:name w:val="toc 5"/>
    <w:basedOn w:val="Normal"/>
    <w:next w:val="Normal"/>
    <w:autoRedefine/>
    <w:semiHidden/>
    <w:pPr>
      <w:widowControl w:val="0"/>
      <w:tabs>
        <w:tab w:val="left" w:pos="1800"/>
        <w:tab w:val="right" w:leader="dot" w:pos="9360"/>
      </w:tabs>
      <w:suppressAutoHyphens/>
      <w:ind w:left="1800" w:right="720" w:hanging="360"/>
    </w:pPr>
    <w:rPr>
      <w:noProof/>
      <w:snapToGrid w:val="0"/>
      <w:kern w:val="28"/>
    </w:rPr>
  </w:style>
  <w:style w:type="paragraph" w:styleId="TOC6">
    <w:name w:val="toc 6"/>
    <w:basedOn w:val="Normal"/>
    <w:next w:val="Normal"/>
    <w:autoRedefine/>
    <w:semiHidden/>
    <w:pPr>
      <w:widowControl w:val="0"/>
      <w:tabs>
        <w:tab w:val="left" w:pos="2160"/>
        <w:tab w:val="right" w:leader="dot" w:pos="9360"/>
      </w:tabs>
      <w:suppressAutoHyphens/>
      <w:ind w:left="2160" w:hanging="360"/>
    </w:pPr>
    <w:rPr>
      <w:noProof/>
      <w:snapToGrid w:val="0"/>
      <w:kern w:val="28"/>
    </w:rPr>
  </w:style>
  <w:style w:type="paragraph" w:styleId="TOC7">
    <w:name w:val="toc 7"/>
    <w:basedOn w:val="Normal"/>
    <w:next w:val="Normal"/>
    <w:autoRedefine/>
    <w:semiHidden/>
    <w:pPr>
      <w:widowControl w:val="0"/>
      <w:tabs>
        <w:tab w:val="left" w:pos="2520"/>
        <w:tab w:val="right" w:leader="dot" w:pos="9360"/>
      </w:tabs>
      <w:suppressAutoHyphens/>
      <w:ind w:left="2520" w:hanging="360"/>
    </w:pPr>
    <w:rPr>
      <w:noProof/>
      <w:snapToGrid w:val="0"/>
      <w:kern w:val="28"/>
    </w:rPr>
  </w:style>
  <w:style w:type="paragraph" w:styleId="TOC8">
    <w:name w:val="toc 8"/>
    <w:basedOn w:val="Normal"/>
    <w:next w:val="Normal"/>
    <w:autoRedefine/>
    <w:semiHidden/>
    <w:pPr>
      <w:widowControl w:val="0"/>
      <w:tabs>
        <w:tab w:val="left" w:pos="2880"/>
        <w:tab w:val="right" w:leader="dot" w:pos="9360"/>
      </w:tabs>
      <w:suppressAutoHyphens/>
      <w:ind w:left="2880" w:hanging="360"/>
    </w:pPr>
    <w:rPr>
      <w:noProof/>
      <w:snapToGrid w:val="0"/>
      <w:kern w:val="28"/>
    </w:rPr>
  </w:style>
  <w:style w:type="paragraph" w:styleId="TOC9">
    <w:name w:val="toc 9"/>
    <w:basedOn w:val="Normal"/>
    <w:next w:val="Normal"/>
    <w:autoRedefine/>
    <w:semiHidden/>
    <w:pPr>
      <w:widowControl w:val="0"/>
      <w:tabs>
        <w:tab w:val="left" w:pos="3240"/>
        <w:tab w:val="right" w:leader="dot" w:pos="9360"/>
      </w:tabs>
      <w:suppressAutoHyphens/>
      <w:ind w:left="3240" w:hanging="360"/>
    </w:pPr>
    <w:rPr>
      <w:noProof/>
      <w:snapToGrid w:val="0"/>
      <w:kern w:val="28"/>
    </w:rPr>
  </w:style>
  <w:style w:type="paragraph" w:styleId="TOAHeading">
    <w:name w:val="toa heading"/>
    <w:basedOn w:val="Normal"/>
    <w:next w:val="Normal"/>
    <w:semiHidden/>
    <w:pPr>
      <w:widowControl w:val="0"/>
      <w:tabs>
        <w:tab w:val="right" w:pos="9360"/>
      </w:tabs>
      <w:suppressAutoHyphens/>
    </w:pPr>
    <w:rPr>
      <w:snapToGrid w:val="0"/>
      <w:kern w:val="28"/>
    </w:rPr>
  </w:style>
  <w:style w:type="character" w:customStyle="1" w:styleId="EquationCaption">
    <w:name w:val="_Equation Caption"/>
  </w:style>
  <w:style w:type="paragraph" w:styleId="Header">
    <w:name w:val="header"/>
    <w:basedOn w:val="Normal"/>
    <w:autoRedefine/>
    <w:rsid w:val="00B338A9"/>
    <w:pPr>
      <w:widowControl w:val="0"/>
      <w:spacing w:before="40"/>
    </w:pPr>
    <w:rPr>
      <w:rFonts w:ascii="Arial" w:hAnsi="Arial" w:cs="Arial"/>
      <w:b/>
      <w:snapToGrid w:val="0"/>
      <w:kern w:val="28"/>
      <w:sz w:val="96"/>
    </w:rPr>
  </w:style>
  <w:style w:type="paragraph" w:styleId="Footer">
    <w:name w:val="footer"/>
    <w:basedOn w:val="Normal"/>
    <w:link w:val="FooterChar"/>
    <w:uiPriority w:val="99"/>
    <w:pPr>
      <w:widowControl w:val="0"/>
      <w:tabs>
        <w:tab w:val="center" w:pos="4320"/>
        <w:tab w:val="right" w:pos="8640"/>
      </w:tabs>
    </w:pPr>
    <w:rPr>
      <w:snapToGrid w:val="0"/>
      <w:kern w:val="28"/>
    </w:rPr>
  </w:style>
  <w:style w:type="character" w:styleId="PageNumber">
    <w:name w:val="page number"/>
    <w:basedOn w:val="DefaultParagraphFont"/>
  </w:style>
  <w:style w:type="paragraph" w:styleId="BlockText">
    <w:name w:val="Block Text"/>
    <w:basedOn w:val="Normal"/>
    <w:pPr>
      <w:widowControl w:val="0"/>
      <w:spacing w:after="240"/>
      <w:ind w:left="1440" w:right="1440"/>
    </w:pPr>
    <w:rPr>
      <w:snapToGrid w:val="0"/>
      <w:kern w:val="28"/>
    </w:rPr>
  </w:style>
  <w:style w:type="paragraph" w:customStyle="1" w:styleId="Paratitle">
    <w:name w:val="Para title"/>
    <w:basedOn w:val="Normal"/>
    <w:pPr>
      <w:widowControl w:val="0"/>
      <w:tabs>
        <w:tab w:val="center" w:pos="9270"/>
      </w:tabs>
      <w:spacing w:after="240"/>
    </w:pPr>
    <w:rPr>
      <w:snapToGrid w:val="0"/>
      <w:spacing w:val="-2"/>
      <w:kern w:val="28"/>
    </w:rPr>
  </w:style>
  <w:style w:type="paragraph" w:customStyle="1" w:styleId="Bullet">
    <w:name w:val="Bullet"/>
    <w:basedOn w:val="Normal"/>
    <w:pPr>
      <w:widowControl w:val="0"/>
      <w:tabs>
        <w:tab w:val="left" w:pos="2160"/>
      </w:tabs>
      <w:spacing w:after="220"/>
      <w:ind w:left="2160" w:hanging="720"/>
    </w:pPr>
    <w:rPr>
      <w:snapToGrid w:val="0"/>
      <w:kern w:val="28"/>
    </w:rPr>
  </w:style>
  <w:style w:type="paragraph" w:customStyle="1" w:styleId="TableFormat">
    <w:name w:val="TableFormat"/>
    <w:basedOn w:val="Bullet"/>
    <w:pPr>
      <w:tabs>
        <w:tab w:val="clear" w:pos="2160"/>
        <w:tab w:val="left" w:pos="5040"/>
      </w:tabs>
      <w:ind w:left="5040" w:hanging="3600"/>
    </w:pPr>
  </w:style>
  <w:style w:type="paragraph" w:customStyle="1" w:styleId="TOCTitle">
    <w:name w:val="TOC Title"/>
    <w:basedOn w:val="Normal"/>
    <w:pPr>
      <w:widowControl w:val="0"/>
      <w:spacing w:before="240" w:after="240"/>
      <w:jc w:val="center"/>
    </w:pPr>
    <w:rPr>
      <w:rFonts w:ascii="Times New Roman Bold" w:hAnsi="Times New Roman Bold"/>
      <w:b/>
      <w:caps/>
      <w:snapToGrid w:val="0"/>
      <w:spacing w:val="-2"/>
      <w:kern w:val="28"/>
    </w:rPr>
  </w:style>
  <w:style w:type="paragraph" w:customStyle="1" w:styleId="StyleBoldCentered">
    <w:name w:val="Style Bold Centered"/>
    <w:basedOn w:val="Normal"/>
    <w:rsid w:val="00096D8C"/>
    <w:pPr>
      <w:widowControl w:val="0"/>
      <w:jc w:val="center"/>
    </w:pPr>
    <w:rPr>
      <w:rFonts w:ascii="Times New Roman Bold" w:hAnsi="Times New Roman Bold"/>
      <w:b/>
      <w:bCs/>
      <w:caps/>
      <w:snapToGrid w:val="0"/>
      <w:kern w:val="28"/>
      <w:szCs w:val="22"/>
    </w:rPr>
  </w:style>
  <w:style w:type="character" w:styleId="Hyperlink">
    <w:name w:val="Hyperlink"/>
    <w:rsid w:val="002A2D2E"/>
    <w:rPr>
      <w:color w:val="0000FF"/>
      <w:u w:val="single"/>
    </w:rPr>
  </w:style>
  <w:style w:type="paragraph" w:styleId="BalloonText">
    <w:name w:val="Balloon Text"/>
    <w:basedOn w:val="Normal"/>
    <w:link w:val="BalloonTextChar"/>
    <w:rsid w:val="00B338A9"/>
    <w:pPr>
      <w:widowControl w:val="0"/>
    </w:pPr>
    <w:rPr>
      <w:rFonts w:ascii="Segoe UI" w:hAnsi="Segoe UI" w:cs="Segoe UI"/>
      <w:snapToGrid w:val="0"/>
      <w:kern w:val="28"/>
      <w:sz w:val="18"/>
      <w:szCs w:val="18"/>
    </w:rPr>
  </w:style>
  <w:style w:type="character" w:customStyle="1" w:styleId="BalloonTextChar">
    <w:name w:val="Balloon Text Char"/>
    <w:basedOn w:val="DefaultParagraphFont"/>
    <w:link w:val="BalloonText"/>
    <w:rsid w:val="00B338A9"/>
    <w:rPr>
      <w:rFonts w:ascii="Segoe UI" w:hAnsi="Segoe UI" w:cs="Segoe UI"/>
      <w:snapToGrid w:val="0"/>
      <w:kern w:val="28"/>
      <w:sz w:val="18"/>
      <w:szCs w:val="18"/>
    </w:rPr>
  </w:style>
  <w:style w:type="character" w:customStyle="1" w:styleId="FooterChar">
    <w:name w:val="Footer Char"/>
    <w:basedOn w:val="DefaultParagraphFont"/>
    <w:link w:val="Footer"/>
    <w:uiPriority w:val="99"/>
    <w:rsid w:val="00B338A9"/>
    <w:rPr>
      <w:snapToGrid w:val="0"/>
      <w:kern w:val="28"/>
      <w:sz w:val="22"/>
    </w:rPr>
  </w:style>
  <w:style w:type="character" w:customStyle="1" w:styleId="FootnoteTextChar">
    <w:name w:val="Footnote Text Char"/>
    <w:aliases w:val="ALTS FOOTNOTE Char,fn Char2,Footnote Text Char1 Char,Footnote Text Char Char Char,ALTS FOOTNOTE Char Char Char,fn Char Char Char,Footnote Text Char1 Char Char Char,Footnote Text Char Char Char Char Char,fn Char Char Char Char Char"/>
    <w:link w:val="FootnoteText"/>
    <w:uiPriority w:val="99"/>
    <w:locked/>
    <w:rsid w:val="00D42D44"/>
  </w:style>
  <w:style w:type="paragraph" w:styleId="ListParagraph">
    <w:name w:val="List Paragraph"/>
    <w:basedOn w:val="Normal"/>
    <w:uiPriority w:val="34"/>
    <w:qFormat/>
    <w:rsid w:val="00D42D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731373">
      <w:bodyDiv w:val="1"/>
      <w:marLeft w:val="0"/>
      <w:marRight w:val="0"/>
      <w:marTop w:val="0"/>
      <w:marBottom w:val="0"/>
      <w:divBdr>
        <w:top w:val="none" w:sz="0" w:space="0" w:color="auto"/>
        <w:left w:val="none" w:sz="0" w:space="0" w:color="auto"/>
        <w:bottom w:val="none" w:sz="0" w:space="0" w:color="auto"/>
        <w:right w:val="none" w:sz="0" w:space="0" w:color="auto"/>
      </w:divBdr>
    </w:div>
    <w:div w:id="1922912114">
      <w:bodyDiv w:val="1"/>
      <w:marLeft w:val="0"/>
      <w:marRight w:val="0"/>
      <w:marTop w:val="0"/>
      <w:marBottom w:val="0"/>
      <w:divBdr>
        <w:top w:val="none" w:sz="0" w:space="0" w:color="auto"/>
        <w:left w:val="none" w:sz="0" w:space="0" w:color="auto"/>
        <w:bottom w:val="none" w:sz="0" w:space="0" w:color="auto"/>
        <w:right w:val="none" w:sz="0" w:space="0" w:color="auto"/>
      </w:divBdr>
    </w:div>
    <w:div w:id="1931549465">
      <w:bodyDiv w:val="1"/>
      <w:marLeft w:val="0"/>
      <w:marRight w:val="0"/>
      <w:marTop w:val="0"/>
      <w:marBottom w:val="0"/>
      <w:divBdr>
        <w:top w:val="none" w:sz="0" w:space="0" w:color="auto"/>
        <w:left w:val="none" w:sz="0" w:space="0" w:color="auto"/>
        <w:bottom w:val="none" w:sz="0" w:space="0" w:color="auto"/>
        <w:right w:val="none" w:sz="0" w:space="0" w:color="auto"/>
      </w:divBdr>
    </w:div>
    <w:div w:id="1964846864">
      <w:bodyDiv w:val="1"/>
      <w:marLeft w:val="0"/>
      <w:marRight w:val="0"/>
      <w:marTop w:val="0"/>
      <w:marBottom w:val="0"/>
      <w:divBdr>
        <w:top w:val="none" w:sz="0" w:space="0" w:color="auto"/>
        <w:left w:val="none" w:sz="0" w:space="0" w:color="auto"/>
        <w:bottom w:val="none" w:sz="0" w:space="0" w:color="auto"/>
        <w:right w:val="none" w:sz="0" w:space="0" w:color="auto"/>
      </w:divBdr>
    </w:div>
    <w:div w:id="209284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apps.fcc.gov/edocs_public/attachmatch/DOC-336136A1.pdf" TargetMode="External"/><Relationship Id="rId2" Type="http://schemas.openxmlformats.org/officeDocument/2006/relationships/hyperlink" Target="https://apps.fcc.gov/edocs_public/attachmatch/DOC-336136A1.pdf" TargetMode="External"/><Relationship Id="rId1" Type="http://schemas.openxmlformats.org/officeDocument/2006/relationships/hyperlink" Target="https://www.fcc.gov/encyclopedia/consumer-advisory-committee-recommendations-2014-thru-2016"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M:\forms\OS%20Process\Public%20Notice%20Paragraph%20T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Public Notice Paragraph TOC</Template>
  <TotalTime>0</TotalTime>
  <Pages>6</Pages>
  <Words>567</Words>
  <Characters>3327</Characters>
  <Application>Microsoft Office Word</Application>
  <DocSecurity>0</DocSecurity>
  <Lines>138</Lines>
  <Paragraphs>19</Paragraphs>
  <ScaleCrop>false</ScaleCrop>
  <HeadingPairs>
    <vt:vector size="2" baseType="variant">
      <vt:variant>
        <vt:lpstr>Title</vt:lpstr>
      </vt:variant>
      <vt:variant>
        <vt:i4>1</vt:i4>
      </vt:variant>
    </vt:vector>
  </HeadingPairs>
  <TitlesOfParts>
    <vt:vector size="1" baseType="lpstr">
      <vt:lpstr>Orders TOC by Paragraph.dot</vt:lpstr>
    </vt:vector>
  </TitlesOfParts>
  <Manager/>
  <Company/>
  <LinksUpToDate>false</LinksUpToDate>
  <CharactersWithSpaces>3904</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2016-03-31T14:21:00Z</cp:lastPrinted>
  <dcterms:created xsi:type="dcterms:W3CDTF">2016-04-04T18:54:00Z</dcterms:created>
  <dcterms:modified xsi:type="dcterms:W3CDTF">2016-04-04T18:54:00Z</dcterms:modified>
  <cp:category> </cp:category>
  <cp:contentStatus> </cp:contentStatus>
</cp:coreProperties>
</file>