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14" w:rsidRDefault="006B7714">
      <w:pPr>
        <w:pStyle w:val="Header"/>
        <w:tabs>
          <w:tab w:val="clear" w:pos="4320"/>
          <w:tab w:val="clear" w:pos="8640"/>
        </w:tabs>
        <w:sectPr w:rsidR="006B771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A4142F" w:rsidRDefault="00A4142F" w:rsidP="00A4142F">
      <w:pPr>
        <w:spacing w:before="60"/>
        <w:jc w:val="right"/>
        <w:rPr>
          <w:b/>
          <w:szCs w:val="22"/>
        </w:rPr>
      </w:pPr>
      <w:r>
        <w:rPr>
          <w:b/>
          <w:szCs w:val="22"/>
        </w:rPr>
        <w:lastRenderedPageBreak/>
        <w:t xml:space="preserve">DA </w:t>
      </w:r>
      <w:r w:rsidR="00E95D55" w:rsidRPr="00E95D55">
        <w:rPr>
          <w:b/>
          <w:szCs w:val="22"/>
        </w:rPr>
        <w:t>16-368</w:t>
      </w:r>
    </w:p>
    <w:p w:rsidR="00A4142F" w:rsidRDefault="00A4142F" w:rsidP="00A4142F">
      <w:pPr>
        <w:spacing w:before="60"/>
        <w:jc w:val="right"/>
        <w:rPr>
          <w:b/>
          <w:szCs w:val="22"/>
        </w:rPr>
      </w:pPr>
      <w:r>
        <w:rPr>
          <w:b/>
          <w:szCs w:val="22"/>
        </w:rPr>
        <w:t xml:space="preserve">Released:  </w:t>
      </w:r>
      <w:r w:rsidR="004F7D5F">
        <w:rPr>
          <w:b/>
          <w:szCs w:val="22"/>
        </w:rPr>
        <w:t xml:space="preserve">April </w:t>
      </w:r>
      <w:r w:rsidR="00D60B51">
        <w:rPr>
          <w:b/>
          <w:szCs w:val="22"/>
        </w:rPr>
        <w:t>6</w:t>
      </w:r>
      <w:r>
        <w:rPr>
          <w:b/>
          <w:szCs w:val="22"/>
        </w:rPr>
        <w:t>, 2016</w:t>
      </w:r>
    </w:p>
    <w:p w:rsidR="00A4142F" w:rsidRDefault="00A4142F" w:rsidP="00A4142F">
      <w:pPr>
        <w:jc w:val="right"/>
        <w:rPr>
          <w:szCs w:val="22"/>
        </w:rPr>
      </w:pPr>
    </w:p>
    <w:p w:rsidR="00A4142F" w:rsidRDefault="004F7D5F" w:rsidP="00A4142F">
      <w:pPr>
        <w:spacing w:after="120"/>
        <w:jc w:val="center"/>
        <w:rPr>
          <w:b/>
          <w:szCs w:val="22"/>
        </w:rPr>
      </w:pPr>
      <w:r>
        <w:rPr>
          <w:b/>
          <w:szCs w:val="22"/>
        </w:rPr>
        <w:t>PUBLIC STATEMENTS DERI</w:t>
      </w:r>
      <w:r w:rsidR="00B37C3B">
        <w:rPr>
          <w:b/>
          <w:szCs w:val="22"/>
        </w:rPr>
        <w:t>V</w:t>
      </w:r>
      <w:r>
        <w:rPr>
          <w:b/>
          <w:szCs w:val="22"/>
        </w:rPr>
        <w:t xml:space="preserve">ED FROM </w:t>
      </w:r>
      <w:r w:rsidR="00A4142F">
        <w:rPr>
          <w:b/>
          <w:szCs w:val="22"/>
        </w:rPr>
        <w:t xml:space="preserve">HIGHLY CONFIDENTIAL DATA FILED IN RESPONSE TO THE BUSINESS DATA SERVICES (SPECIAL ACCESS) DATA COLLECTION </w:t>
      </w:r>
    </w:p>
    <w:p w:rsidR="00A4142F" w:rsidRDefault="00A4142F" w:rsidP="00A4142F">
      <w:pPr>
        <w:spacing w:after="240"/>
        <w:jc w:val="center"/>
        <w:rPr>
          <w:b/>
          <w:szCs w:val="22"/>
        </w:rPr>
      </w:pPr>
      <w:r>
        <w:rPr>
          <w:b/>
          <w:szCs w:val="22"/>
        </w:rPr>
        <w:t>WC Docket No. 05-25; RM-10593</w:t>
      </w:r>
    </w:p>
    <w:p w:rsidR="00A4142F" w:rsidRDefault="00814338" w:rsidP="00A4142F">
      <w:pPr>
        <w:spacing w:after="120"/>
        <w:ind w:firstLine="720"/>
        <w:rPr>
          <w:szCs w:val="22"/>
        </w:rPr>
      </w:pPr>
      <w:r>
        <w:rPr>
          <w:szCs w:val="22"/>
        </w:rPr>
        <w:t>On January 21, 2016, we released a Public Notice</w:t>
      </w:r>
      <w:r w:rsidR="000B37BF">
        <w:rPr>
          <w:szCs w:val="22"/>
        </w:rPr>
        <w:t xml:space="preserve"> </w:t>
      </w:r>
      <w:r>
        <w:rPr>
          <w:szCs w:val="22"/>
        </w:rPr>
        <w:t xml:space="preserve">reminding participants in this </w:t>
      </w:r>
      <w:r w:rsidR="00A4142F">
        <w:rPr>
          <w:szCs w:val="22"/>
        </w:rPr>
        <w:t>proceeding</w:t>
      </w:r>
      <w:r>
        <w:rPr>
          <w:szCs w:val="22"/>
        </w:rPr>
        <w:t xml:space="preserve"> that </w:t>
      </w:r>
      <w:r w:rsidR="00A4142F">
        <w:rPr>
          <w:szCs w:val="22"/>
        </w:rPr>
        <w:t>the results of any analyses (including statistical descriptions) performed on the Confidential and Highly Confidential data submitted in response to the Commission’s business data services data collection</w:t>
      </w:r>
      <w:r w:rsidR="00A4142F">
        <w:rPr>
          <w:rStyle w:val="FootnoteReference"/>
        </w:rPr>
        <w:footnoteReference w:id="1"/>
      </w:r>
      <w:r w:rsidR="00A4142F">
        <w:rPr>
          <w:szCs w:val="22"/>
        </w:rPr>
        <w:t xml:space="preserve"> are themselves </w:t>
      </w:r>
      <w:r w:rsidR="00EE1818">
        <w:rPr>
          <w:szCs w:val="22"/>
        </w:rPr>
        <w:t xml:space="preserve">respectively considered </w:t>
      </w:r>
      <w:r w:rsidR="00A4142F">
        <w:rPr>
          <w:szCs w:val="22"/>
        </w:rPr>
        <w:t>Confidential or Highly Confidential</w:t>
      </w:r>
      <w:r w:rsidR="00EE1818">
        <w:rPr>
          <w:szCs w:val="22"/>
        </w:rPr>
        <w:t xml:space="preserve"> under the </w:t>
      </w:r>
      <w:r w:rsidR="00EE1818">
        <w:rPr>
          <w:i/>
          <w:szCs w:val="22"/>
        </w:rPr>
        <w:t>Data Collection Protective Order</w:t>
      </w:r>
      <w:r w:rsidR="00A4142F">
        <w:rPr>
          <w:szCs w:val="22"/>
        </w:rPr>
        <w:t>.</w:t>
      </w:r>
      <w:r w:rsidR="000B37BF">
        <w:rPr>
          <w:rStyle w:val="FootnoteReference"/>
          <w:szCs w:val="22"/>
        </w:rPr>
        <w:footnoteReference w:id="2"/>
      </w:r>
      <w:r w:rsidR="000B37BF">
        <w:rPr>
          <w:szCs w:val="22"/>
        </w:rPr>
        <w:t xml:space="preserve"> </w:t>
      </w:r>
      <w:r w:rsidR="00A4142F">
        <w:rPr>
          <w:szCs w:val="22"/>
        </w:rPr>
        <w:t xml:space="preserve">  A</w:t>
      </w:r>
      <w:r>
        <w:rPr>
          <w:szCs w:val="22"/>
        </w:rPr>
        <w:t xml:space="preserve">ccordingly, those results </w:t>
      </w:r>
      <w:r w:rsidR="00A4142F">
        <w:rPr>
          <w:szCs w:val="22"/>
        </w:rPr>
        <w:t>may not be publicly disclosed</w:t>
      </w:r>
      <w:r w:rsidR="00EE1818">
        <w:rPr>
          <w:szCs w:val="22"/>
        </w:rPr>
        <w:t xml:space="preserve"> absent a Commission determination that the results would not reveal competitively sensitive or other confidential information</w:t>
      </w:r>
      <w:r>
        <w:rPr>
          <w:szCs w:val="22"/>
        </w:rPr>
        <w:t>.</w:t>
      </w:r>
      <w:r w:rsidR="00A4142F">
        <w:rPr>
          <w:szCs w:val="22"/>
        </w:rPr>
        <w:t xml:space="preserve"> </w:t>
      </w:r>
    </w:p>
    <w:p w:rsidR="00814338" w:rsidRDefault="002A6EAC" w:rsidP="00A4142F">
      <w:pPr>
        <w:spacing w:after="120"/>
        <w:ind w:firstLine="720"/>
        <w:rPr>
          <w:szCs w:val="22"/>
        </w:rPr>
      </w:pPr>
      <w:r>
        <w:rPr>
          <w:szCs w:val="22"/>
        </w:rPr>
        <w:t xml:space="preserve">Two trade associations representing a large majority of the </w:t>
      </w:r>
      <w:r w:rsidR="000B37BF">
        <w:rPr>
          <w:szCs w:val="22"/>
        </w:rPr>
        <w:t xml:space="preserve">business data service </w:t>
      </w:r>
      <w:r>
        <w:rPr>
          <w:szCs w:val="22"/>
        </w:rPr>
        <w:t xml:space="preserve">providers that submitted their </w:t>
      </w:r>
      <w:r w:rsidR="000B37BF">
        <w:rPr>
          <w:szCs w:val="22"/>
        </w:rPr>
        <w:t xml:space="preserve">confidential </w:t>
      </w:r>
      <w:r>
        <w:rPr>
          <w:szCs w:val="22"/>
        </w:rPr>
        <w:t>information</w:t>
      </w:r>
      <w:r w:rsidR="000B37BF">
        <w:rPr>
          <w:szCs w:val="22"/>
        </w:rPr>
        <w:t xml:space="preserve"> in this proceeding</w:t>
      </w:r>
      <w:r>
        <w:rPr>
          <w:szCs w:val="22"/>
        </w:rPr>
        <w:t xml:space="preserve">, </w:t>
      </w:r>
      <w:r w:rsidR="00814338">
        <w:rPr>
          <w:szCs w:val="22"/>
        </w:rPr>
        <w:t xml:space="preserve">The United States Telecom Association, </w:t>
      </w:r>
      <w:r w:rsidR="00131EC7">
        <w:rPr>
          <w:szCs w:val="22"/>
        </w:rPr>
        <w:t xml:space="preserve">generally </w:t>
      </w:r>
      <w:r w:rsidR="00814338">
        <w:rPr>
          <w:szCs w:val="22"/>
        </w:rPr>
        <w:t xml:space="preserve">representing </w:t>
      </w:r>
      <w:r>
        <w:rPr>
          <w:szCs w:val="22"/>
        </w:rPr>
        <w:t>ILECs</w:t>
      </w:r>
      <w:r w:rsidR="00131EC7">
        <w:rPr>
          <w:szCs w:val="22"/>
        </w:rPr>
        <w:t xml:space="preserve">, </w:t>
      </w:r>
      <w:r w:rsidR="00814338">
        <w:rPr>
          <w:szCs w:val="22"/>
        </w:rPr>
        <w:t xml:space="preserve">and INCOMPAS, </w:t>
      </w:r>
      <w:r w:rsidR="00131EC7">
        <w:rPr>
          <w:szCs w:val="22"/>
        </w:rPr>
        <w:t xml:space="preserve">generally </w:t>
      </w:r>
      <w:r w:rsidR="00814338">
        <w:rPr>
          <w:szCs w:val="22"/>
        </w:rPr>
        <w:t xml:space="preserve">representing </w:t>
      </w:r>
      <w:r w:rsidR="00131EC7">
        <w:rPr>
          <w:szCs w:val="22"/>
        </w:rPr>
        <w:t>CLECs,</w:t>
      </w:r>
      <w:r w:rsidR="00814338">
        <w:rPr>
          <w:szCs w:val="22"/>
        </w:rPr>
        <w:t xml:space="preserve"> filed a joint letter </w:t>
      </w:r>
      <w:r>
        <w:rPr>
          <w:szCs w:val="22"/>
        </w:rPr>
        <w:t>asking that participants in the proce</w:t>
      </w:r>
      <w:r w:rsidR="00EE1818">
        <w:rPr>
          <w:szCs w:val="22"/>
        </w:rPr>
        <w:t xml:space="preserve">eding be allowed to publicly disclose </w:t>
      </w:r>
      <w:r>
        <w:rPr>
          <w:szCs w:val="22"/>
        </w:rPr>
        <w:t xml:space="preserve">certain information derived from the confidential </w:t>
      </w:r>
      <w:r w:rsidR="00EE1818">
        <w:rPr>
          <w:szCs w:val="22"/>
        </w:rPr>
        <w:t xml:space="preserve">business </w:t>
      </w:r>
      <w:r w:rsidR="000B37BF">
        <w:rPr>
          <w:szCs w:val="22"/>
        </w:rPr>
        <w:t xml:space="preserve">data </w:t>
      </w:r>
      <w:r w:rsidR="00EE1818">
        <w:rPr>
          <w:szCs w:val="22"/>
        </w:rPr>
        <w:t>services data</w:t>
      </w:r>
      <w:r>
        <w:rPr>
          <w:szCs w:val="22"/>
        </w:rPr>
        <w:t>.</w:t>
      </w:r>
      <w:r w:rsidRPr="002A6EAC">
        <w:rPr>
          <w:rStyle w:val="FootnoteReference"/>
          <w:szCs w:val="22"/>
        </w:rPr>
        <w:t xml:space="preserve"> </w:t>
      </w:r>
      <w:r>
        <w:rPr>
          <w:rStyle w:val="FootnoteReference"/>
          <w:szCs w:val="22"/>
        </w:rPr>
        <w:footnoteReference w:id="3"/>
      </w:r>
      <w:r>
        <w:rPr>
          <w:szCs w:val="22"/>
        </w:rPr>
        <w:t xml:space="preserve">  The two associations identif</w:t>
      </w:r>
      <w:r w:rsidR="00EE1818">
        <w:rPr>
          <w:szCs w:val="22"/>
        </w:rPr>
        <w:t xml:space="preserve">y </w:t>
      </w:r>
      <w:r>
        <w:rPr>
          <w:szCs w:val="22"/>
        </w:rPr>
        <w:t xml:space="preserve">a </w:t>
      </w:r>
      <w:r w:rsidR="00814338">
        <w:rPr>
          <w:szCs w:val="22"/>
        </w:rPr>
        <w:t>list of categories of information that they believe do not reveal company-specific confidential information</w:t>
      </w:r>
      <w:r>
        <w:rPr>
          <w:szCs w:val="22"/>
        </w:rPr>
        <w:t>, although they state that the list is not exhaustive</w:t>
      </w:r>
      <w:r w:rsidR="00814338">
        <w:rPr>
          <w:szCs w:val="22"/>
        </w:rPr>
        <w:t>.</w:t>
      </w:r>
      <w:r w:rsidR="00131EC7">
        <w:rPr>
          <w:szCs w:val="22"/>
        </w:rPr>
        <w:t xml:space="preserve">  The Commission has not received any </w:t>
      </w:r>
      <w:r w:rsidR="008F3AC9">
        <w:rPr>
          <w:szCs w:val="22"/>
        </w:rPr>
        <w:t xml:space="preserve">objections to or </w:t>
      </w:r>
      <w:r w:rsidR="00131EC7">
        <w:rPr>
          <w:szCs w:val="22"/>
        </w:rPr>
        <w:t xml:space="preserve">comments </w:t>
      </w:r>
      <w:r w:rsidR="008F3AC9">
        <w:rPr>
          <w:szCs w:val="22"/>
        </w:rPr>
        <w:t xml:space="preserve">on </w:t>
      </w:r>
      <w:r w:rsidR="00131EC7">
        <w:rPr>
          <w:szCs w:val="22"/>
        </w:rPr>
        <w:t>their proposal.</w:t>
      </w:r>
    </w:p>
    <w:p w:rsidR="002A6EAC" w:rsidRDefault="002A6EAC" w:rsidP="00A4142F">
      <w:pPr>
        <w:spacing w:after="120"/>
        <w:ind w:firstLine="720"/>
        <w:rPr>
          <w:szCs w:val="22"/>
        </w:rPr>
      </w:pPr>
      <w:r>
        <w:rPr>
          <w:szCs w:val="22"/>
        </w:rPr>
        <w:t xml:space="preserve">The Commission has an interest in having an open and public debate about the issues in this proceeding, consistent with our obligation to protect </w:t>
      </w:r>
      <w:r w:rsidR="000B37BF">
        <w:rPr>
          <w:szCs w:val="22"/>
        </w:rPr>
        <w:t xml:space="preserve">submitting </w:t>
      </w:r>
      <w:r>
        <w:rPr>
          <w:szCs w:val="22"/>
        </w:rPr>
        <w:t>parties’ confidential information from improper disclosure.</w:t>
      </w:r>
      <w:r w:rsidR="008F3AC9">
        <w:rPr>
          <w:szCs w:val="22"/>
        </w:rPr>
        <w:t xml:space="preserve">  Given what appears to be wide-spread industry agreement on what </w:t>
      </w:r>
      <w:r w:rsidR="005256A2">
        <w:rPr>
          <w:szCs w:val="22"/>
        </w:rPr>
        <w:t xml:space="preserve">types of </w:t>
      </w:r>
      <w:r w:rsidR="008F3AC9">
        <w:rPr>
          <w:szCs w:val="22"/>
        </w:rPr>
        <w:t xml:space="preserve">information </w:t>
      </w:r>
      <w:r w:rsidR="005256A2">
        <w:rPr>
          <w:szCs w:val="22"/>
        </w:rPr>
        <w:t xml:space="preserve">derived from the business data services data collection </w:t>
      </w:r>
      <w:r w:rsidR="008F3AC9">
        <w:rPr>
          <w:szCs w:val="22"/>
        </w:rPr>
        <w:t xml:space="preserve">may be publicly disclosed without revealing </w:t>
      </w:r>
      <w:r w:rsidR="005256A2">
        <w:rPr>
          <w:szCs w:val="22"/>
        </w:rPr>
        <w:t xml:space="preserve">a submitter’s </w:t>
      </w:r>
      <w:r w:rsidR="008F3AC9">
        <w:rPr>
          <w:szCs w:val="22"/>
        </w:rPr>
        <w:t>competitively sensitive information,</w:t>
      </w:r>
      <w:r w:rsidR="00F74CB3">
        <w:rPr>
          <w:szCs w:val="22"/>
        </w:rPr>
        <w:t xml:space="preserve">  </w:t>
      </w:r>
      <w:r w:rsidR="005256A2">
        <w:rPr>
          <w:szCs w:val="22"/>
        </w:rPr>
        <w:t>w</w:t>
      </w:r>
      <w:r w:rsidR="00F74CB3">
        <w:rPr>
          <w:szCs w:val="22"/>
        </w:rPr>
        <w:t xml:space="preserve">e will not consider the </w:t>
      </w:r>
      <w:r w:rsidR="00F74CB3">
        <w:rPr>
          <w:i/>
          <w:szCs w:val="22"/>
        </w:rPr>
        <w:t xml:space="preserve">Data Collection </w:t>
      </w:r>
      <w:r w:rsidR="00F74CB3">
        <w:rPr>
          <w:i/>
          <w:szCs w:val="22"/>
        </w:rPr>
        <w:lastRenderedPageBreak/>
        <w:t xml:space="preserve">Protective </w:t>
      </w:r>
      <w:r w:rsidR="00F74CB3" w:rsidRPr="00F74CB3">
        <w:rPr>
          <w:i/>
          <w:szCs w:val="22"/>
        </w:rPr>
        <w:t>Order</w:t>
      </w:r>
      <w:r w:rsidR="00F74CB3">
        <w:rPr>
          <w:szCs w:val="22"/>
        </w:rPr>
        <w:t xml:space="preserve"> to bar the results of analyses and statistical descriptions set forth below.  The Commission </w:t>
      </w:r>
      <w:r w:rsidR="000B37BF">
        <w:rPr>
          <w:szCs w:val="22"/>
        </w:rPr>
        <w:t xml:space="preserve">also </w:t>
      </w:r>
      <w:r w:rsidR="00F74CB3">
        <w:rPr>
          <w:szCs w:val="22"/>
        </w:rPr>
        <w:t>could find that other analytical results and statistical descriptions do not reveal confidential information.  The categories set forth below, however, represent a “safe</w:t>
      </w:r>
      <w:r w:rsidR="00EE1818">
        <w:rPr>
          <w:szCs w:val="22"/>
        </w:rPr>
        <w:t xml:space="preserve"> </w:t>
      </w:r>
      <w:r w:rsidR="00F74CB3">
        <w:rPr>
          <w:szCs w:val="22"/>
        </w:rPr>
        <w:t>harbor” from which parties to this proceeding may disclose information without any further determination by the Commission.</w:t>
      </w:r>
    </w:p>
    <w:p w:rsidR="009E62F1" w:rsidRDefault="000853CD" w:rsidP="009E62F1">
      <w:pPr>
        <w:spacing w:after="120"/>
        <w:ind w:firstLine="720"/>
        <w:rPr>
          <w:szCs w:val="22"/>
        </w:rPr>
      </w:pPr>
      <w:r>
        <w:rPr>
          <w:szCs w:val="22"/>
        </w:rPr>
        <w:t>Participants may publicly disclose n</w:t>
      </w:r>
      <w:r w:rsidR="009E62F1" w:rsidRPr="009E62F1">
        <w:rPr>
          <w:szCs w:val="22"/>
        </w:rPr>
        <w:t xml:space="preserve">umerical, statistical, and graphical descriptions of </w:t>
      </w:r>
      <w:r w:rsidR="005256A2">
        <w:rPr>
          <w:szCs w:val="22"/>
        </w:rPr>
        <w:t>data from the business data services data collection</w:t>
      </w:r>
      <w:r w:rsidR="005256A2" w:rsidRPr="009E62F1">
        <w:rPr>
          <w:szCs w:val="22"/>
        </w:rPr>
        <w:t xml:space="preserve"> </w:t>
      </w:r>
      <w:r w:rsidR="009E62F1" w:rsidRPr="009E62F1">
        <w:rPr>
          <w:szCs w:val="22"/>
        </w:rPr>
        <w:t xml:space="preserve">aggregated at a national </w:t>
      </w:r>
      <w:r w:rsidR="00175CC6">
        <w:rPr>
          <w:szCs w:val="22"/>
        </w:rPr>
        <w:t xml:space="preserve">or regional (multi-state) </w:t>
      </w:r>
      <w:r w:rsidR="009E62F1" w:rsidRPr="009E62F1">
        <w:rPr>
          <w:szCs w:val="22"/>
        </w:rPr>
        <w:t>level</w:t>
      </w:r>
      <w:r w:rsidR="008F3AC9">
        <w:rPr>
          <w:szCs w:val="22"/>
        </w:rPr>
        <w:t xml:space="preserve">.  </w:t>
      </w:r>
      <w:r w:rsidR="00175CC6">
        <w:rPr>
          <w:szCs w:val="22"/>
        </w:rPr>
        <w:t>National and regional level d</w:t>
      </w:r>
      <w:r w:rsidR="00175CC6" w:rsidRPr="00175CC6">
        <w:rPr>
          <w:szCs w:val="22"/>
        </w:rPr>
        <w:t xml:space="preserve">ata </w:t>
      </w:r>
      <w:r w:rsidR="008F3AC9">
        <w:rPr>
          <w:szCs w:val="22"/>
        </w:rPr>
        <w:t xml:space="preserve">also </w:t>
      </w:r>
      <w:r w:rsidR="00175CC6" w:rsidRPr="00175CC6">
        <w:rPr>
          <w:szCs w:val="22"/>
        </w:rPr>
        <w:t xml:space="preserve">may be </w:t>
      </w:r>
      <w:r w:rsidR="00175CC6">
        <w:rPr>
          <w:szCs w:val="22"/>
        </w:rPr>
        <w:t>dis</w:t>
      </w:r>
      <w:r w:rsidR="00175CC6" w:rsidRPr="00175CC6">
        <w:rPr>
          <w:szCs w:val="22"/>
        </w:rPr>
        <w:t xml:space="preserve">aggregated and reported </w:t>
      </w:r>
      <w:r w:rsidR="00175CC6">
        <w:rPr>
          <w:szCs w:val="22"/>
        </w:rPr>
        <w:t xml:space="preserve">by </w:t>
      </w:r>
      <w:r w:rsidR="00175CC6" w:rsidRPr="00175CC6">
        <w:rPr>
          <w:szCs w:val="22"/>
        </w:rPr>
        <w:t>type of provider, specifically, ILECs,</w:t>
      </w:r>
      <w:r w:rsidR="00175CC6">
        <w:rPr>
          <w:szCs w:val="22"/>
        </w:rPr>
        <w:t xml:space="preserve"> traditional CLECs, and cable, and by type of census block, specifically, urban, suburban, and rural</w:t>
      </w:r>
      <w:r w:rsidR="00175CC6" w:rsidRPr="00175CC6">
        <w:rPr>
          <w:szCs w:val="22"/>
        </w:rPr>
        <w:t>.</w:t>
      </w:r>
      <w:r w:rsidR="00782A19">
        <w:rPr>
          <w:rStyle w:val="FootnoteReference"/>
          <w:szCs w:val="22"/>
        </w:rPr>
        <w:footnoteReference w:id="4"/>
      </w:r>
      <w:r w:rsidR="0008220D">
        <w:rPr>
          <w:szCs w:val="22"/>
        </w:rPr>
        <w:t xml:space="preserve">  </w:t>
      </w:r>
    </w:p>
    <w:p w:rsidR="009E62F1" w:rsidRDefault="000853CD" w:rsidP="00A4142F">
      <w:pPr>
        <w:spacing w:after="120"/>
        <w:ind w:firstLine="720"/>
        <w:rPr>
          <w:szCs w:val="22"/>
        </w:rPr>
      </w:pPr>
      <w:r>
        <w:rPr>
          <w:szCs w:val="22"/>
        </w:rPr>
        <w:t>Participants may also publicly disclose n</w:t>
      </w:r>
      <w:r w:rsidRPr="009E62F1">
        <w:rPr>
          <w:szCs w:val="22"/>
        </w:rPr>
        <w:t>umerical, statistical, and graphical descriptions of data aggregated at</w:t>
      </w:r>
      <w:r>
        <w:rPr>
          <w:szCs w:val="22"/>
        </w:rPr>
        <w:t xml:space="preserve"> the </w:t>
      </w:r>
      <w:r w:rsidRPr="000853CD">
        <w:rPr>
          <w:szCs w:val="22"/>
        </w:rPr>
        <w:t>Metropolitan Statistical Area (MSA) level</w:t>
      </w:r>
      <w:r>
        <w:rPr>
          <w:szCs w:val="22"/>
        </w:rPr>
        <w:t xml:space="preserve"> and the </w:t>
      </w:r>
      <w:r w:rsidRPr="000853CD">
        <w:rPr>
          <w:szCs w:val="22"/>
        </w:rPr>
        <w:t>state level</w:t>
      </w:r>
      <w:r>
        <w:rPr>
          <w:szCs w:val="22"/>
        </w:rPr>
        <w:t xml:space="preserve"> </w:t>
      </w:r>
      <w:r>
        <w:rPr>
          <w:i/>
          <w:szCs w:val="22"/>
        </w:rPr>
        <w:t>provided that the MSA or state is not identified.</w:t>
      </w:r>
      <w:r w:rsidRPr="000853CD">
        <w:rPr>
          <w:szCs w:val="22"/>
        </w:rPr>
        <w:t xml:space="preserve">  </w:t>
      </w:r>
      <w:r>
        <w:rPr>
          <w:szCs w:val="22"/>
        </w:rPr>
        <w:t xml:space="preserve">Anonymized MSA- and state-level data may be further disaggregated and reported by </w:t>
      </w:r>
      <w:r w:rsidRPr="000853CD">
        <w:rPr>
          <w:szCs w:val="22"/>
        </w:rPr>
        <w:t>urban, suburban, or rural area</w:t>
      </w:r>
      <w:r>
        <w:rPr>
          <w:szCs w:val="22"/>
        </w:rPr>
        <w:t>s within the MSA or state</w:t>
      </w:r>
      <w:r w:rsidR="005256A2">
        <w:rPr>
          <w:szCs w:val="22"/>
        </w:rPr>
        <w:t>;</w:t>
      </w:r>
      <w:r>
        <w:rPr>
          <w:szCs w:val="22"/>
        </w:rPr>
        <w:t xml:space="preserve"> </w:t>
      </w:r>
      <w:r w:rsidR="004400C6">
        <w:rPr>
          <w:szCs w:val="22"/>
        </w:rPr>
        <w:t>by type of regulatory flexibility category, specifically, Phase I, Phase II, and no pricing flexibility</w:t>
      </w:r>
      <w:r w:rsidR="005256A2">
        <w:rPr>
          <w:szCs w:val="22"/>
        </w:rPr>
        <w:t xml:space="preserve">; and by </w:t>
      </w:r>
      <w:r w:rsidR="005256A2" w:rsidRPr="00175CC6">
        <w:rPr>
          <w:szCs w:val="22"/>
        </w:rPr>
        <w:t>type of provider</w:t>
      </w:r>
      <w:r w:rsidR="005256A2">
        <w:rPr>
          <w:szCs w:val="22"/>
        </w:rPr>
        <w:t xml:space="preserve"> (ILEC</w:t>
      </w:r>
      <w:r w:rsidR="005256A2" w:rsidRPr="00175CC6">
        <w:rPr>
          <w:szCs w:val="22"/>
        </w:rPr>
        <w:t>,</w:t>
      </w:r>
      <w:r w:rsidR="005256A2">
        <w:rPr>
          <w:szCs w:val="22"/>
        </w:rPr>
        <w:t xml:space="preserve"> traditional CLEC, and cable)</w:t>
      </w:r>
      <w:r w:rsidR="004400C6">
        <w:rPr>
          <w:szCs w:val="22"/>
        </w:rPr>
        <w:t xml:space="preserve">. </w:t>
      </w:r>
      <w:r>
        <w:rPr>
          <w:szCs w:val="22"/>
        </w:rPr>
        <w:t xml:space="preserve">For example, a participant could publicly </w:t>
      </w:r>
      <w:r w:rsidR="008F3AC9">
        <w:rPr>
          <w:szCs w:val="22"/>
        </w:rPr>
        <w:t xml:space="preserve">state </w:t>
      </w:r>
      <w:r>
        <w:rPr>
          <w:szCs w:val="22"/>
        </w:rPr>
        <w:t xml:space="preserve">“Within the urban areas of a certain MSA, 33% of the businesses are served by </w:t>
      </w:r>
      <w:r w:rsidR="005256A2">
        <w:rPr>
          <w:szCs w:val="22"/>
        </w:rPr>
        <w:t xml:space="preserve">an </w:t>
      </w:r>
      <w:r>
        <w:rPr>
          <w:szCs w:val="22"/>
        </w:rPr>
        <w:t xml:space="preserve">ILEC; 33% are served by a CLEC; and 33% are served by </w:t>
      </w:r>
      <w:r w:rsidR="005256A2">
        <w:rPr>
          <w:szCs w:val="22"/>
        </w:rPr>
        <w:t xml:space="preserve">a </w:t>
      </w:r>
      <w:r>
        <w:rPr>
          <w:szCs w:val="22"/>
        </w:rPr>
        <w:t xml:space="preserve">cable company.”   </w:t>
      </w:r>
    </w:p>
    <w:p w:rsidR="00A4142F" w:rsidRDefault="00A4142F" w:rsidP="00A4142F">
      <w:pPr>
        <w:spacing w:after="120"/>
        <w:ind w:firstLine="720"/>
        <w:rPr>
          <w:rFonts w:eastAsia="Calibri"/>
          <w:szCs w:val="22"/>
        </w:rPr>
      </w:pPr>
      <w:r>
        <w:rPr>
          <w:rFonts w:eastAsia="Calibri"/>
          <w:szCs w:val="22"/>
        </w:rPr>
        <w:t xml:space="preserve">For further information, please contact Joel Rabinovitz, Office of General Counsel, at </w:t>
      </w:r>
      <w:r w:rsidR="00966F06">
        <w:rPr>
          <w:rFonts w:eastAsia="Calibri"/>
          <w:szCs w:val="22"/>
        </w:rPr>
        <w:br/>
      </w:r>
      <w:r>
        <w:rPr>
          <w:rFonts w:eastAsia="Calibri"/>
          <w:szCs w:val="22"/>
        </w:rPr>
        <w:t xml:space="preserve">(202) 418-0689 or via email at </w:t>
      </w:r>
      <w:hyperlink r:id="rId14" w:history="1">
        <w:r w:rsidRPr="007842A3">
          <w:rPr>
            <w:rStyle w:val="Hyperlink"/>
            <w:rFonts w:eastAsia="Calibri"/>
            <w:szCs w:val="22"/>
          </w:rPr>
          <w:t>Joel.Rabinovitz@fcc.gov</w:t>
        </w:r>
      </w:hyperlink>
      <w:r>
        <w:rPr>
          <w:rFonts w:eastAsia="Calibri"/>
          <w:szCs w:val="22"/>
        </w:rPr>
        <w:t xml:space="preserve">.  </w:t>
      </w:r>
    </w:p>
    <w:p w:rsidR="00A4142F" w:rsidRDefault="00A4142F" w:rsidP="00A4142F">
      <w:pPr>
        <w:contextualSpacing/>
        <w:rPr>
          <w:rFonts w:eastAsia="Calibri"/>
          <w:szCs w:val="22"/>
        </w:rPr>
      </w:pPr>
    </w:p>
    <w:p w:rsidR="006B7714" w:rsidRPr="00A4142F" w:rsidRDefault="00A4142F" w:rsidP="00A4142F">
      <w:pPr>
        <w:contextualSpacing/>
        <w:jc w:val="center"/>
        <w:rPr>
          <w:rFonts w:eastAsia="Calibri"/>
          <w:b/>
          <w:szCs w:val="22"/>
        </w:rPr>
      </w:pPr>
      <w:r>
        <w:rPr>
          <w:rFonts w:eastAsia="Calibri"/>
          <w:b/>
          <w:szCs w:val="22"/>
        </w:rPr>
        <w:t>- FCC -</w:t>
      </w:r>
    </w:p>
    <w:sectPr w:rsidR="006B7714" w:rsidRPr="00A4142F" w:rsidSect="00BC531E">
      <w:type w:val="continuous"/>
      <w:pgSz w:w="12240" w:h="15840" w:code="1"/>
      <w:pgMar w:top="1440" w:right="1440" w:bottom="72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335" w:rsidRDefault="002D6335">
      <w:r>
        <w:separator/>
      </w:r>
    </w:p>
  </w:endnote>
  <w:endnote w:type="continuationSeparator" w:id="0">
    <w:p w:rsidR="002D6335" w:rsidRDefault="002D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DA" w:rsidRDefault="00EB2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14" w:rsidRDefault="006B7714">
    <w:pPr>
      <w:pStyle w:val="Footer"/>
      <w:jc w:val="center"/>
    </w:pPr>
    <w:r>
      <w:fldChar w:fldCharType="begin"/>
    </w:r>
    <w:r>
      <w:instrText xml:space="preserve"> PAGE   \* MERGEFORMAT </w:instrText>
    </w:r>
    <w:r>
      <w:fldChar w:fldCharType="separate"/>
    </w:r>
    <w:r w:rsidR="00484C4A">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DA" w:rsidRDefault="00EB2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335" w:rsidRDefault="002D6335">
      <w:r>
        <w:separator/>
      </w:r>
    </w:p>
  </w:footnote>
  <w:footnote w:type="continuationSeparator" w:id="0">
    <w:p w:rsidR="002D6335" w:rsidRDefault="002D6335">
      <w:r>
        <w:continuationSeparator/>
      </w:r>
    </w:p>
  </w:footnote>
  <w:footnote w:id="1">
    <w:p w:rsidR="00A4142F" w:rsidRPr="00E95D55" w:rsidRDefault="00A4142F" w:rsidP="00A4142F">
      <w:pPr>
        <w:autoSpaceDE w:val="0"/>
        <w:autoSpaceDN w:val="0"/>
        <w:adjustRightInd w:val="0"/>
        <w:spacing w:after="120"/>
        <w:rPr>
          <w:sz w:val="20"/>
        </w:rPr>
      </w:pPr>
      <w:r w:rsidRPr="00E95D55">
        <w:rPr>
          <w:rStyle w:val="FootnoteReference"/>
          <w:sz w:val="20"/>
        </w:rPr>
        <w:footnoteRef/>
      </w:r>
      <w:r w:rsidRPr="00E95D55">
        <w:rPr>
          <w:sz w:val="20"/>
        </w:rPr>
        <w:t xml:space="preserve"> </w:t>
      </w:r>
      <w:r w:rsidRPr="00E95D55">
        <w:rPr>
          <w:i/>
          <w:sz w:val="20"/>
        </w:rPr>
        <w:t>See Special Access for Price Cap Local Exchange Carriers; AT&amp;T Corporation Petition for Rulemaking to Reform Regulation of Incumbent Local Exchange Carrier Rates for Interstate Special Access Services</w:t>
      </w:r>
      <w:r w:rsidRPr="00E95D55">
        <w:rPr>
          <w:sz w:val="20"/>
        </w:rPr>
        <w:t>, WC Docket No. 05-25, RM-10593, Report and Order and Further Notice of Proposed Rulemaking, 27 FCC Rcd 16318, 16340, para. 52 (2012) (</w:t>
      </w:r>
      <w:r w:rsidRPr="00E95D55">
        <w:rPr>
          <w:i/>
          <w:sz w:val="20"/>
        </w:rPr>
        <w:t>Data Collection Order</w:t>
      </w:r>
      <w:r w:rsidRPr="00E95D55">
        <w:rPr>
          <w:sz w:val="20"/>
        </w:rPr>
        <w:t xml:space="preserve"> or </w:t>
      </w:r>
      <w:r w:rsidRPr="00E95D55">
        <w:rPr>
          <w:i/>
          <w:sz w:val="20"/>
        </w:rPr>
        <w:t>Data Collection FNPRM</w:t>
      </w:r>
      <w:r w:rsidRPr="00E95D55">
        <w:rPr>
          <w:sz w:val="20"/>
        </w:rPr>
        <w:t xml:space="preserve">); </w:t>
      </w:r>
      <w:r w:rsidRPr="00E95D55">
        <w:rPr>
          <w:i/>
          <w:sz w:val="20"/>
        </w:rPr>
        <w:t>Special Access for Price Cap Local Exchange Carriers; AT&amp;T Corporation Petition for Rulemaking to Reform Regulation of Incumbent Local Exchange Carrier Rates for Interstate Special Access Services</w:t>
      </w:r>
      <w:r w:rsidRPr="00E95D55">
        <w:rPr>
          <w:sz w:val="20"/>
        </w:rPr>
        <w:t>, WC Docket No. 05-25, RM-10593, Order and Data Collection Protective Order, 29 FCC Rcd 11657, 11670, para. 1 (Wireline Comp. Bur. 2014) (</w:t>
      </w:r>
      <w:r w:rsidRPr="00E95D55">
        <w:rPr>
          <w:i/>
          <w:sz w:val="20"/>
        </w:rPr>
        <w:t xml:space="preserve">Order </w:t>
      </w:r>
      <w:r w:rsidRPr="00E95D55">
        <w:rPr>
          <w:sz w:val="20"/>
        </w:rPr>
        <w:t xml:space="preserve">and/or </w:t>
      </w:r>
      <w:r w:rsidRPr="00E95D55">
        <w:rPr>
          <w:i/>
          <w:sz w:val="20"/>
        </w:rPr>
        <w:t>Data Collection Protective Order</w:t>
      </w:r>
      <w:r w:rsidRPr="00E95D55">
        <w:rPr>
          <w:sz w:val="20"/>
        </w:rPr>
        <w:t xml:space="preserve">) (defining Data Collection). </w:t>
      </w:r>
    </w:p>
  </w:footnote>
  <w:footnote w:id="2">
    <w:p w:rsidR="000B37BF" w:rsidRPr="00E95D55" w:rsidRDefault="000B37BF" w:rsidP="000B37BF">
      <w:pPr>
        <w:pStyle w:val="FootnoteText"/>
        <w:rPr>
          <w:sz w:val="20"/>
        </w:rPr>
      </w:pPr>
      <w:r w:rsidRPr="00E95D55">
        <w:rPr>
          <w:rStyle w:val="FootnoteReference"/>
          <w:sz w:val="20"/>
        </w:rPr>
        <w:footnoteRef/>
      </w:r>
      <w:r w:rsidRPr="00E95D55">
        <w:rPr>
          <w:sz w:val="20"/>
        </w:rPr>
        <w:t xml:space="preserve"> </w:t>
      </w:r>
      <w:r w:rsidRPr="00E95D55">
        <w:rPr>
          <w:i/>
          <w:sz w:val="20"/>
        </w:rPr>
        <w:t>Special Access for Price Cap Local Exchange Carriers; AT&amp;T Corporation Petition for Rulemaking to Reform Regulation of Incumbent Local Exchange Carrier Rates for Interstate Special Access Services</w:t>
      </w:r>
      <w:r w:rsidRPr="00E95D55">
        <w:rPr>
          <w:sz w:val="20"/>
        </w:rPr>
        <w:t xml:space="preserve">, WC Docket No. 05-25, RM-10593, Public Notice, 31 FCC Rcd 258 (2016).  </w:t>
      </w:r>
    </w:p>
  </w:footnote>
  <w:footnote w:id="3">
    <w:p w:rsidR="002A6EAC" w:rsidRPr="00E95D55" w:rsidRDefault="002A6EAC" w:rsidP="002A6EAC">
      <w:pPr>
        <w:pStyle w:val="FootnoteText"/>
        <w:rPr>
          <w:sz w:val="20"/>
        </w:rPr>
      </w:pPr>
      <w:r w:rsidRPr="00E95D55">
        <w:rPr>
          <w:rStyle w:val="FootnoteReference"/>
          <w:sz w:val="20"/>
        </w:rPr>
        <w:footnoteRef/>
      </w:r>
      <w:r w:rsidRPr="00E95D55">
        <w:rPr>
          <w:sz w:val="20"/>
        </w:rPr>
        <w:t xml:space="preserve"> Letter from Diane Griffin Holland, Vice President, Law &amp; Policy, US Telecom Assoc.,</w:t>
      </w:r>
      <w:r w:rsidRPr="00E95D55">
        <w:rPr>
          <w:i/>
          <w:sz w:val="20"/>
        </w:rPr>
        <w:t xml:space="preserve"> </w:t>
      </w:r>
      <w:r w:rsidRPr="00E95D55">
        <w:rPr>
          <w:sz w:val="20"/>
        </w:rPr>
        <w:t>and Karen Reidy, Vice President, Regulatory Affairs, INCOMPAS, to Marlene H. Dortch, Secretary, FCC, WC Docket No. 05-25, RM-10593 (filed March 4, 2016).</w:t>
      </w:r>
    </w:p>
  </w:footnote>
  <w:footnote w:id="4">
    <w:p w:rsidR="00782A19" w:rsidRPr="00E95D55" w:rsidRDefault="00782A19">
      <w:pPr>
        <w:pStyle w:val="FootnoteText"/>
        <w:rPr>
          <w:sz w:val="20"/>
        </w:rPr>
      </w:pPr>
      <w:r w:rsidRPr="00E95D55">
        <w:rPr>
          <w:rStyle w:val="FootnoteReference"/>
          <w:sz w:val="20"/>
        </w:rPr>
        <w:footnoteRef/>
      </w:r>
      <w:r w:rsidRPr="00E95D55">
        <w:rPr>
          <w:sz w:val="20"/>
        </w:rPr>
        <w:t xml:space="preserve"> Of course, any public disclosures may not reveal the underlying disaggregated data, for example, by providing the ability to “drill down” on a digital map.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DA" w:rsidRDefault="00EB27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DA" w:rsidRDefault="00EB27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14" w:rsidRDefault="00484C4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6B7714">
      <w:rPr>
        <w:rFonts w:ascii="News Gothic MT" w:hAnsi="News Gothic MT"/>
        <w:b/>
        <w:kern w:val="28"/>
        <w:sz w:val="96"/>
      </w:rPr>
      <w:t xml:space="preserve">  PUBLIC NOTICE</w:t>
    </w:r>
  </w:p>
  <w:p w:rsidR="006B7714" w:rsidRDefault="00484C4A">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B7714" w:rsidRDefault="006B7714">
                <w:pPr>
                  <w:rPr>
                    <w:rFonts w:ascii="Arial" w:hAnsi="Arial"/>
                    <w:b/>
                  </w:rPr>
                </w:pPr>
                <w:r>
                  <w:rPr>
                    <w:rFonts w:ascii="Arial" w:hAnsi="Arial"/>
                    <w:b/>
                  </w:rPr>
                  <w:t>Federal Communications Commission</w:t>
                </w:r>
              </w:p>
              <w:p w:rsidR="006B7714" w:rsidRDefault="006B771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B7714" w:rsidRDefault="006B7714">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B7714" w:rsidRDefault="006B7714">
                <w:pPr>
                  <w:spacing w:before="40"/>
                  <w:jc w:val="right"/>
                  <w:rPr>
                    <w:rFonts w:ascii="Arial" w:hAnsi="Arial"/>
                    <w:b/>
                    <w:sz w:val="16"/>
                  </w:rPr>
                </w:pPr>
                <w:r>
                  <w:rPr>
                    <w:rFonts w:ascii="Arial" w:hAnsi="Arial"/>
                    <w:b/>
                    <w:sz w:val="16"/>
                  </w:rPr>
                  <w:t>News Media Information 202 / 418-0500</w:t>
                </w:r>
              </w:p>
              <w:p w:rsidR="006B7714" w:rsidRDefault="006B771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B7714" w:rsidRDefault="006B7714">
                <w:pPr>
                  <w:jc w:val="right"/>
                  <w:rPr>
                    <w:rFonts w:ascii="Arial" w:hAnsi="Arial"/>
                    <w:b/>
                    <w:sz w:val="16"/>
                  </w:rPr>
                </w:pPr>
                <w:r>
                  <w:rPr>
                    <w:rFonts w:ascii="Arial" w:hAnsi="Arial"/>
                    <w:b/>
                    <w:sz w:val="16"/>
                  </w:rPr>
                  <w:t>TTY: 1-888-835-5322</w:t>
                </w:r>
              </w:p>
              <w:p w:rsidR="006B7714" w:rsidRDefault="006B7714">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E5F61B5"/>
    <w:multiLevelType w:val="hybridMultilevel"/>
    <w:tmpl w:val="71B0DEB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0"/>
  </w:num>
  <w:num w:numId="14">
    <w:abstractNumId w:val="9"/>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1FE"/>
    <w:rsid w:val="0002406C"/>
    <w:rsid w:val="00035FF5"/>
    <w:rsid w:val="00036348"/>
    <w:rsid w:val="00042C8F"/>
    <w:rsid w:val="00062B13"/>
    <w:rsid w:val="0008220D"/>
    <w:rsid w:val="000853CD"/>
    <w:rsid w:val="00091D2A"/>
    <w:rsid w:val="000B3697"/>
    <w:rsid w:val="000B37BF"/>
    <w:rsid w:val="000F5186"/>
    <w:rsid w:val="00114BA7"/>
    <w:rsid w:val="00126D44"/>
    <w:rsid w:val="001314A4"/>
    <w:rsid w:val="00131EC7"/>
    <w:rsid w:val="00142509"/>
    <w:rsid w:val="0016330A"/>
    <w:rsid w:val="00175CC6"/>
    <w:rsid w:val="001834F7"/>
    <w:rsid w:val="0018423B"/>
    <w:rsid w:val="00185406"/>
    <w:rsid w:val="00195ECB"/>
    <w:rsid w:val="001D1BC1"/>
    <w:rsid w:val="001D4B78"/>
    <w:rsid w:val="002377C5"/>
    <w:rsid w:val="00241087"/>
    <w:rsid w:val="0024345E"/>
    <w:rsid w:val="002478FB"/>
    <w:rsid w:val="002502E3"/>
    <w:rsid w:val="00265BBB"/>
    <w:rsid w:val="002667CB"/>
    <w:rsid w:val="00276389"/>
    <w:rsid w:val="002814B5"/>
    <w:rsid w:val="002A6EAC"/>
    <w:rsid w:val="002C151C"/>
    <w:rsid w:val="002C672E"/>
    <w:rsid w:val="002D3A00"/>
    <w:rsid w:val="002D6335"/>
    <w:rsid w:val="002E725F"/>
    <w:rsid w:val="002F6CE5"/>
    <w:rsid w:val="00311559"/>
    <w:rsid w:val="00316FAA"/>
    <w:rsid w:val="00330ADB"/>
    <w:rsid w:val="0033330B"/>
    <w:rsid w:val="00342304"/>
    <w:rsid w:val="00343B3C"/>
    <w:rsid w:val="003522D1"/>
    <w:rsid w:val="003548FD"/>
    <w:rsid w:val="00355A87"/>
    <w:rsid w:val="00392B20"/>
    <w:rsid w:val="003A05B2"/>
    <w:rsid w:val="003B3555"/>
    <w:rsid w:val="003B694A"/>
    <w:rsid w:val="003C534A"/>
    <w:rsid w:val="00406F89"/>
    <w:rsid w:val="00410F14"/>
    <w:rsid w:val="00423424"/>
    <w:rsid w:val="0043543D"/>
    <w:rsid w:val="00435A8C"/>
    <w:rsid w:val="00435D94"/>
    <w:rsid w:val="004400C6"/>
    <w:rsid w:val="00484C4A"/>
    <w:rsid w:val="004949FF"/>
    <w:rsid w:val="004C227B"/>
    <w:rsid w:val="004F7D5F"/>
    <w:rsid w:val="00505BCF"/>
    <w:rsid w:val="00515EB0"/>
    <w:rsid w:val="005256A2"/>
    <w:rsid w:val="00563924"/>
    <w:rsid w:val="005C63B4"/>
    <w:rsid w:val="005C7F3B"/>
    <w:rsid w:val="005F1ADD"/>
    <w:rsid w:val="005F2A16"/>
    <w:rsid w:val="005F3D34"/>
    <w:rsid w:val="00604070"/>
    <w:rsid w:val="00612AF9"/>
    <w:rsid w:val="0061601F"/>
    <w:rsid w:val="00633CD7"/>
    <w:rsid w:val="006353FC"/>
    <w:rsid w:val="00636870"/>
    <w:rsid w:val="00677D41"/>
    <w:rsid w:val="0068538E"/>
    <w:rsid w:val="00693803"/>
    <w:rsid w:val="00694A44"/>
    <w:rsid w:val="006A2F38"/>
    <w:rsid w:val="006A6CA2"/>
    <w:rsid w:val="006B7714"/>
    <w:rsid w:val="006D7178"/>
    <w:rsid w:val="00715033"/>
    <w:rsid w:val="00717B26"/>
    <w:rsid w:val="00731DAE"/>
    <w:rsid w:val="0078088E"/>
    <w:rsid w:val="00782A19"/>
    <w:rsid w:val="007C34E3"/>
    <w:rsid w:val="007C64A2"/>
    <w:rsid w:val="007E2D67"/>
    <w:rsid w:val="007F0F67"/>
    <w:rsid w:val="00802EAE"/>
    <w:rsid w:val="00814338"/>
    <w:rsid w:val="00817F49"/>
    <w:rsid w:val="00825D24"/>
    <w:rsid w:val="00825F63"/>
    <w:rsid w:val="0083017B"/>
    <w:rsid w:val="00857D30"/>
    <w:rsid w:val="00890B0D"/>
    <w:rsid w:val="008A6F0A"/>
    <w:rsid w:val="008B0AC7"/>
    <w:rsid w:val="008B217F"/>
    <w:rsid w:val="008C330E"/>
    <w:rsid w:val="008C5226"/>
    <w:rsid w:val="008E291B"/>
    <w:rsid w:val="008E392C"/>
    <w:rsid w:val="008F3AC9"/>
    <w:rsid w:val="008F3F44"/>
    <w:rsid w:val="0090365F"/>
    <w:rsid w:val="009442E8"/>
    <w:rsid w:val="00962ECD"/>
    <w:rsid w:val="00966F06"/>
    <w:rsid w:val="00986F50"/>
    <w:rsid w:val="009878FF"/>
    <w:rsid w:val="00993FC4"/>
    <w:rsid w:val="009A3799"/>
    <w:rsid w:val="009B38E1"/>
    <w:rsid w:val="009C4DF3"/>
    <w:rsid w:val="009D247F"/>
    <w:rsid w:val="009E62F1"/>
    <w:rsid w:val="00A06426"/>
    <w:rsid w:val="00A4142F"/>
    <w:rsid w:val="00A53FEA"/>
    <w:rsid w:val="00A573B0"/>
    <w:rsid w:val="00A8259E"/>
    <w:rsid w:val="00A82796"/>
    <w:rsid w:val="00A90662"/>
    <w:rsid w:val="00AA234C"/>
    <w:rsid w:val="00AA4BDD"/>
    <w:rsid w:val="00AB0D69"/>
    <w:rsid w:val="00AB722D"/>
    <w:rsid w:val="00AC2886"/>
    <w:rsid w:val="00AD37DE"/>
    <w:rsid w:val="00AE2153"/>
    <w:rsid w:val="00AE300D"/>
    <w:rsid w:val="00AF2790"/>
    <w:rsid w:val="00AF2E50"/>
    <w:rsid w:val="00B331A6"/>
    <w:rsid w:val="00B351FE"/>
    <w:rsid w:val="00B37C3B"/>
    <w:rsid w:val="00B57DAA"/>
    <w:rsid w:val="00B67E3B"/>
    <w:rsid w:val="00B758D3"/>
    <w:rsid w:val="00BA5949"/>
    <w:rsid w:val="00BA6491"/>
    <w:rsid w:val="00BA79CE"/>
    <w:rsid w:val="00BB0ACD"/>
    <w:rsid w:val="00BB420E"/>
    <w:rsid w:val="00BB6436"/>
    <w:rsid w:val="00BC531E"/>
    <w:rsid w:val="00BC79EB"/>
    <w:rsid w:val="00C23CE6"/>
    <w:rsid w:val="00C24D52"/>
    <w:rsid w:val="00C36BE1"/>
    <w:rsid w:val="00C4622D"/>
    <w:rsid w:val="00C6045B"/>
    <w:rsid w:val="00C85A27"/>
    <w:rsid w:val="00CC6BA9"/>
    <w:rsid w:val="00CD36F6"/>
    <w:rsid w:val="00CD4954"/>
    <w:rsid w:val="00CD7792"/>
    <w:rsid w:val="00D264BC"/>
    <w:rsid w:val="00D444C8"/>
    <w:rsid w:val="00D57943"/>
    <w:rsid w:val="00D60B51"/>
    <w:rsid w:val="00D8227C"/>
    <w:rsid w:val="00D83794"/>
    <w:rsid w:val="00D92529"/>
    <w:rsid w:val="00DA66B6"/>
    <w:rsid w:val="00DB76F8"/>
    <w:rsid w:val="00DD7C62"/>
    <w:rsid w:val="00E12B3F"/>
    <w:rsid w:val="00E2119C"/>
    <w:rsid w:val="00E3094D"/>
    <w:rsid w:val="00E641D9"/>
    <w:rsid w:val="00E832CD"/>
    <w:rsid w:val="00E85B6C"/>
    <w:rsid w:val="00E95D55"/>
    <w:rsid w:val="00EA00A5"/>
    <w:rsid w:val="00EA283A"/>
    <w:rsid w:val="00EA571A"/>
    <w:rsid w:val="00EA5BC3"/>
    <w:rsid w:val="00EA7D46"/>
    <w:rsid w:val="00EB27DA"/>
    <w:rsid w:val="00EE1818"/>
    <w:rsid w:val="00EE3F67"/>
    <w:rsid w:val="00EF167D"/>
    <w:rsid w:val="00EF3E5E"/>
    <w:rsid w:val="00F05A6C"/>
    <w:rsid w:val="00F1293E"/>
    <w:rsid w:val="00F14F31"/>
    <w:rsid w:val="00F42470"/>
    <w:rsid w:val="00F424A5"/>
    <w:rsid w:val="00F444AA"/>
    <w:rsid w:val="00F45D51"/>
    <w:rsid w:val="00F620D1"/>
    <w:rsid w:val="00F74CB3"/>
    <w:rsid w:val="00F766DB"/>
    <w:rsid w:val="00F82AEC"/>
    <w:rsid w:val="00F9186F"/>
    <w:rsid w:val="00FA7C18"/>
    <w:rsid w:val="00FC3109"/>
    <w:rsid w:val="00FC4EA8"/>
    <w:rsid w:val="00FD051F"/>
    <w:rsid w:val="00FD3D11"/>
    <w:rsid w:val="00FE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2F"/>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semiHidden/>
    <w:rPr>
      <w:sz w:val="22"/>
    </w:rPr>
  </w:style>
  <w:style w:type="paragraph" w:styleId="NoSpacing">
    <w:name w:val="No Spacing"/>
    <w:uiPriority w:val="1"/>
    <w:qFormat/>
    <w:rPr>
      <w:sz w:val="22"/>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paragraph" w:customStyle="1" w:styleId="Default">
    <w:name w:val="Default"/>
    <w:rsid w:val="00E832CD"/>
    <w:pPr>
      <w:autoSpaceDE w:val="0"/>
      <w:autoSpaceDN w:val="0"/>
      <w:adjustRightInd w:val="0"/>
    </w:pPr>
    <w:rPr>
      <w:color w:val="000000"/>
      <w:sz w:val="24"/>
      <w:szCs w:val="24"/>
    </w:rPr>
  </w:style>
  <w:style w:type="paragraph" w:customStyle="1" w:styleId="Style0">
    <w:name w:val="Style0"/>
    <w:rsid w:val="00F766DB"/>
    <w:rPr>
      <w:rFonts w:ascii="Arial" w:hAnsi="Arial"/>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85611">
      <w:bodyDiv w:val="1"/>
      <w:marLeft w:val="0"/>
      <w:marRight w:val="0"/>
      <w:marTop w:val="0"/>
      <w:marBottom w:val="0"/>
      <w:divBdr>
        <w:top w:val="none" w:sz="0" w:space="0" w:color="auto"/>
        <w:left w:val="none" w:sz="0" w:space="0" w:color="auto"/>
        <w:bottom w:val="none" w:sz="0" w:space="0" w:color="auto"/>
        <w:right w:val="none" w:sz="0" w:space="0" w:color="auto"/>
      </w:divBdr>
    </w:div>
    <w:div w:id="729033426">
      <w:bodyDiv w:val="1"/>
      <w:marLeft w:val="0"/>
      <w:marRight w:val="0"/>
      <w:marTop w:val="0"/>
      <w:marBottom w:val="0"/>
      <w:divBdr>
        <w:top w:val="none" w:sz="0" w:space="0" w:color="auto"/>
        <w:left w:val="none" w:sz="0" w:space="0" w:color="auto"/>
        <w:bottom w:val="none" w:sz="0" w:space="0" w:color="auto"/>
        <w:right w:val="none" w:sz="0" w:space="0" w:color="auto"/>
      </w:divBdr>
    </w:div>
    <w:div w:id="957030403">
      <w:bodyDiv w:val="1"/>
      <w:marLeft w:val="0"/>
      <w:marRight w:val="0"/>
      <w:marTop w:val="0"/>
      <w:marBottom w:val="0"/>
      <w:divBdr>
        <w:top w:val="none" w:sz="0" w:space="0" w:color="auto"/>
        <w:left w:val="none" w:sz="0" w:space="0" w:color="auto"/>
        <w:bottom w:val="none" w:sz="0" w:space="0" w:color="auto"/>
        <w:right w:val="none" w:sz="0" w:space="0" w:color="auto"/>
      </w:divBdr>
    </w:div>
    <w:div w:id="127817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oel.Rabinovitz@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535</Words>
  <Characters>3197</Characters>
  <Application>Microsoft Office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3742</CharactersWithSpaces>
  <SharedDoc>false</SharedDoc>
  <HyperlinkBase> </HyperlinkBase>
  <HLinks>
    <vt:vector size="18" baseType="variant">
      <vt:variant>
        <vt:i4>7667713</vt:i4>
      </vt:variant>
      <vt:variant>
        <vt:i4>6</vt:i4>
      </vt:variant>
      <vt:variant>
        <vt:i4>0</vt:i4>
      </vt:variant>
      <vt:variant>
        <vt:i4>5</vt:i4>
      </vt:variant>
      <vt:variant>
        <vt:lpwstr>mailto:Robin.Cohn@fcc.gov</vt:lpwstr>
      </vt:variant>
      <vt:variant>
        <vt:lpwstr/>
      </vt:variant>
      <vt:variant>
        <vt:i4>3473482</vt:i4>
      </vt:variant>
      <vt:variant>
        <vt:i4>3</vt:i4>
      </vt:variant>
      <vt:variant>
        <vt:i4>0</vt:i4>
      </vt:variant>
      <vt:variant>
        <vt:i4>5</vt:i4>
      </vt:variant>
      <vt:variant>
        <vt:lpwstr>mailto:fcc504@fcc.gov</vt:lpwstr>
      </vt:variant>
      <vt:variant>
        <vt:lpwstr/>
      </vt:variant>
      <vt:variant>
        <vt:i4>589853</vt:i4>
      </vt:variant>
      <vt:variant>
        <vt:i4>0</vt:i4>
      </vt:variant>
      <vt:variant>
        <vt:i4>0</vt:i4>
      </vt:variant>
      <vt:variant>
        <vt:i4>5</vt:i4>
      </vt:variant>
      <vt:variant>
        <vt:lpwstr>http://apps.fcc.gov/ecfs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2015-09-23T17:55:00Z</cp:lastPrinted>
  <dcterms:created xsi:type="dcterms:W3CDTF">2016-04-06T16:59:00Z</dcterms:created>
  <dcterms:modified xsi:type="dcterms:W3CDTF">2016-04-06T16:59:00Z</dcterms:modified>
  <cp:category> </cp:category>
  <cp:contentStatus> </cp:contentStatus>
</cp:coreProperties>
</file>