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E360" w14:textId="50ADAFD1" w:rsidR="00E514F4" w:rsidRPr="004F0878" w:rsidRDefault="00E514F4" w:rsidP="00E514F4">
      <w:pPr>
        <w:jc w:val="right"/>
        <w:rPr>
          <w:b/>
          <w:bCs/>
          <w:color w:val="000000"/>
        </w:rPr>
      </w:pPr>
      <w:bookmarkStart w:id="0" w:name="_GoBack"/>
      <w:bookmarkEnd w:id="0"/>
      <w:r w:rsidRPr="004F0878">
        <w:rPr>
          <w:b/>
        </w:rPr>
        <w:t xml:space="preserve">DA </w:t>
      </w:r>
      <w:r>
        <w:rPr>
          <w:b/>
        </w:rPr>
        <w:t>16</w:t>
      </w:r>
      <w:r w:rsidR="00115CDE">
        <w:rPr>
          <w:b/>
        </w:rPr>
        <w:t>-380</w:t>
      </w:r>
    </w:p>
    <w:p w14:paraId="77B7AC98" w14:textId="2F7650DB" w:rsidR="00E514F4" w:rsidRPr="004F0878" w:rsidRDefault="00E514F4" w:rsidP="00E514F4">
      <w:pPr>
        <w:jc w:val="right"/>
        <w:rPr>
          <w:color w:val="000000"/>
        </w:rPr>
      </w:pPr>
      <w:r w:rsidRPr="004F0878">
        <w:rPr>
          <w:b/>
          <w:bCs/>
        </w:rPr>
        <w:t xml:space="preserve">Released: </w:t>
      </w:r>
      <w:r w:rsidRPr="004F0878">
        <w:rPr>
          <w:b/>
          <w:bCs/>
          <w:spacing w:val="1"/>
        </w:rPr>
        <w:t xml:space="preserve"> </w:t>
      </w:r>
      <w:r w:rsidR="00115CDE">
        <w:rPr>
          <w:b/>
          <w:bCs/>
          <w:spacing w:val="1"/>
        </w:rPr>
        <w:t>Apr. 8</w:t>
      </w:r>
      <w:r w:rsidRPr="004F0878">
        <w:rPr>
          <w:b/>
          <w:bCs/>
          <w:spacing w:val="1"/>
        </w:rPr>
        <w:t>, 2016</w:t>
      </w:r>
    </w:p>
    <w:p w14:paraId="5C653170" w14:textId="77777777" w:rsidR="00E514F4" w:rsidRPr="004F0878" w:rsidRDefault="00E514F4" w:rsidP="00E514F4">
      <w:pPr>
        <w:pStyle w:val="BodyText"/>
        <w:kinsoku w:val="0"/>
        <w:overflowPunct w:val="0"/>
        <w:spacing w:before="9"/>
        <w:ind w:left="0" w:firstLine="0"/>
        <w:jc w:val="right"/>
        <w:rPr>
          <w:b/>
          <w:bCs/>
          <w:sz w:val="29"/>
          <w:szCs w:val="29"/>
        </w:rPr>
      </w:pPr>
    </w:p>
    <w:p w14:paraId="31267705" w14:textId="77777777" w:rsidR="009E4D56" w:rsidRDefault="00E514F4" w:rsidP="00E514F4">
      <w:pPr>
        <w:pStyle w:val="BodyText"/>
        <w:kinsoku w:val="0"/>
        <w:overflowPunct w:val="0"/>
        <w:spacing w:line="245" w:lineRule="auto"/>
        <w:ind w:left="1152" w:right="1150" w:firstLine="0"/>
        <w:jc w:val="center"/>
        <w:rPr>
          <w:b/>
        </w:rPr>
      </w:pPr>
      <w:r w:rsidRPr="004F0878">
        <w:rPr>
          <w:b/>
        </w:rPr>
        <w:t xml:space="preserve">PUBLIC SAFETY AND HOMELAND SECURITY BUREAU SEEKS COMMENT ON </w:t>
      </w:r>
      <w:r w:rsidR="00464FA4">
        <w:rPr>
          <w:b/>
        </w:rPr>
        <w:t xml:space="preserve">WAYS TO </w:t>
      </w:r>
      <w:r w:rsidR="009E4D56">
        <w:rPr>
          <w:b/>
        </w:rPr>
        <w:t xml:space="preserve">FACILITATE </w:t>
      </w:r>
    </w:p>
    <w:p w14:paraId="2BB0D2C9" w14:textId="77777777" w:rsidR="00E514F4" w:rsidRPr="004F0878" w:rsidRDefault="009E4D56" w:rsidP="00E514F4">
      <w:pPr>
        <w:pStyle w:val="BodyText"/>
        <w:kinsoku w:val="0"/>
        <w:overflowPunct w:val="0"/>
        <w:spacing w:line="245" w:lineRule="auto"/>
        <w:ind w:left="1152" w:right="1150" w:firstLine="0"/>
        <w:jc w:val="center"/>
        <w:rPr>
          <w:b/>
        </w:rPr>
      </w:pPr>
      <w:r w:rsidRPr="004F0878">
        <w:rPr>
          <w:b/>
        </w:rPr>
        <w:t>EARTHQUAKE</w:t>
      </w:r>
      <w:r w:rsidR="00E514F4" w:rsidRPr="004F0878">
        <w:rPr>
          <w:b/>
        </w:rPr>
        <w:t xml:space="preserve">-RELATED EMERGENCY ALERTS </w:t>
      </w:r>
    </w:p>
    <w:p w14:paraId="399325F0" w14:textId="77777777" w:rsidR="00E514F4" w:rsidRPr="004F0878" w:rsidRDefault="00E514F4" w:rsidP="00E514F4">
      <w:pPr>
        <w:pStyle w:val="BodyText"/>
        <w:kinsoku w:val="0"/>
        <w:overflowPunct w:val="0"/>
        <w:spacing w:line="245" w:lineRule="auto"/>
        <w:ind w:left="1152" w:right="1150" w:firstLine="0"/>
        <w:jc w:val="center"/>
        <w:rPr>
          <w:color w:val="000000"/>
        </w:rPr>
      </w:pPr>
    </w:p>
    <w:p w14:paraId="5D233583" w14:textId="77777777" w:rsidR="00E514F4" w:rsidRPr="004F0878" w:rsidRDefault="003F4BAA" w:rsidP="00060EDA">
      <w:pPr>
        <w:jc w:val="center"/>
        <w:rPr>
          <w:b/>
          <w:szCs w:val="22"/>
        </w:rPr>
      </w:pPr>
      <w:r>
        <w:rPr>
          <w:b/>
          <w:szCs w:val="22"/>
        </w:rPr>
        <w:t>PS Docket No</w:t>
      </w:r>
      <w:r w:rsidR="00E514F4" w:rsidRPr="004F0878">
        <w:rPr>
          <w:b/>
          <w:szCs w:val="22"/>
        </w:rPr>
        <w:t xml:space="preserve">. </w:t>
      </w:r>
      <w:r w:rsidR="00A323F3">
        <w:rPr>
          <w:b/>
          <w:szCs w:val="22"/>
        </w:rPr>
        <w:t>16-32</w:t>
      </w:r>
    </w:p>
    <w:p w14:paraId="2AC8CDD0" w14:textId="2A70881E" w:rsidR="00E514F4" w:rsidRPr="004F0878" w:rsidRDefault="00E514F4" w:rsidP="0027272B">
      <w:pPr>
        <w:pStyle w:val="BodyText"/>
        <w:kinsoku w:val="0"/>
        <w:overflowPunct w:val="0"/>
        <w:spacing w:before="50" w:line="518" w:lineRule="exact"/>
        <w:ind w:left="0" w:right="1158" w:firstLine="0"/>
        <w:rPr>
          <w:b/>
          <w:bCs/>
          <w:color w:val="242021"/>
          <w:spacing w:val="-3"/>
        </w:rPr>
      </w:pPr>
      <w:r w:rsidRPr="004F0878">
        <w:rPr>
          <w:b/>
          <w:bCs/>
          <w:color w:val="242021"/>
          <w:spacing w:val="-1"/>
        </w:rPr>
        <w:t>COMMENTS</w:t>
      </w:r>
      <w:r w:rsidRPr="004F0878">
        <w:rPr>
          <w:b/>
          <w:bCs/>
          <w:color w:val="242021"/>
        </w:rPr>
        <w:t xml:space="preserve"> </w:t>
      </w:r>
      <w:r w:rsidRPr="004F0878">
        <w:rPr>
          <w:b/>
          <w:bCs/>
          <w:color w:val="242021"/>
          <w:spacing w:val="-1"/>
        </w:rPr>
        <w:t>DUE:</w:t>
      </w:r>
      <w:r w:rsidRPr="004F0878">
        <w:rPr>
          <w:b/>
          <w:bCs/>
          <w:color w:val="242021"/>
        </w:rPr>
        <w:t xml:space="preserve">  </w:t>
      </w:r>
      <w:r w:rsidR="00115CDE">
        <w:rPr>
          <w:b/>
          <w:bCs/>
          <w:color w:val="242021"/>
        </w:rPr>
        <w:t>May 9</w:t>
      </w:r>
      <w:r w:rsidRPr="004F0878">
        <w:rPr>
          <w:b/>
          <w:bCs/>
          <w:color w:val="242021"/>
        </w:rPr>
        <w:t xml:space="preserve">, 2016 </w:t>
      </w:r>
    </w:p>
    <w:p w14:paraId="748C7BA0" w14:textId="3A22AE28" w:rsidR="00E514F4" w:rsidRPr="004F0878" w:rsidRDefault="00E514F4" w:rsidP="00E514F4">
      <w:pPr>
        <w:pStyle w:val="BodyText"/>
        <w:kinsoku w:val="0"/>
        <w:overflowPunct w:val="0"/>
        <w:spacing w:line="203" w:lineRule="exact"/>
        <w:ind w:left="0" w:firstLine="0"/>
        <w:rPr>
          <w:color w:val="000000"/>
        </w:rPr>
      </w:pPr>
      <w:r w:rsidRPr="004F0878">
        <w:rPr>
          <w:b/>
          <w:bCs/>
          <w:color w:val="242021"/>
          <w:spacing w:val="-1"/>
        </w:rPr>
        <w:t>REPLY</w:t>
      </w:r>
      <w:r w:rsidRPr="004F0878">
        <w:rPr>
          <w:b/>
          <w:bCs/>
          <w:color w:val="242021"/>
        </w:rPr>
        <w:t xml:space="preserve"> </w:t>
      </w:r>
      <w:r w:rsidRPr="004F0878">
        <w:rPr>
          <w:b/>
          <w:bCs/>
          <w:color w:val="242021"/>
          <w:spacing w:val="-1"/>
        </w:rPr>
        <w:t>COMMENTS</w:t>
      </w:r>
      <w:r w:rsidRPr="004F0878">
        <w:rPr>
          <w:b/>
          <w:bCs/>
          <w:color w:val="242021"/>
        </w:rPr>
        <w:t xml:space="preserve"> </w:t>
      </w:r>
      <w:r w:rsidRPr="004F0878">
        <w:rPr>
          <w:b/>
          <w:bCs/>
          <w:color w:val="242021"/>
          <w:spacing w:val="-1"/>
        </w:rPr>
        <w:t>DUE:</w:t>
      </w:r>
      <w:r w:rsidRPr="004F0878">
        <w:rPr>
          <w:b/>
          <w:bCs/>
          <w:color w:val="242021"/>
        </w:rPr>
        <w:t xml:space="preserve">  </w:t>
      </w:r>
      <w:r w:rsidR="00115CDE">
        <w:rPr>
          <w:b/>
          <w:bCs/>
          <w:color w:val="242021"/>
        </w:rPr>
        <w:t>Jun. 8</w:t>
      </w:r>
      <w:r w:rsidRPr="004F0878">
        <w:rPr>
          <w:b/>
          <w:bCs/>
          <w:color w:val="242021"/>
        </w:rPr>
        <w:t xml:space="preserve">, 2016 </w:t>
      </w:r>
    </w:p>
    <w:p w14:paraId="4C6FABE0" w14:textId="77777777" w:rsidR="00E514F4" w:rsidRPr="004F0878" w:rsidRDefault="00E514F4" w:rsidP="00E514F4"/>
    <w:p w14:paraId="732188DD" w14:textId="77777777" w:rsidR="00E514F4" w:rsidRPr="004F0878" w:rsidRDefault="00E514F4" w:rsidP="0008366B">
      <w:pPr>
        <w:pStyle w:val="Heading1"/>
        <w:widowControl w:val="0"/>
        <w:numPr>
          <w:ilvl w:val="0"/>
          <w:numId w:val="7"/>
        </w:numPr>
        <w:spacing w:after="220"/>
        <w:jc w:val="both"/>
      </w:pPr>
      <w:r w:rsidRPr="004F0878">
        <w:t>Introduction</w:t>
      </w:r>
    </w:p>
    <w:p w14:paraId="688C73FA" w14:textId="77777777" w:rsidR="00CC4D1B" w:rsidRPr="00CC4D1B" w:rsidRDefault="00E514F4" w:rsidP="00026003">
      <w:pPr>
        <w:spacing w:after="200" w:line="276" w:lineRule="auto"/>
        <w:ind w:firstLine="720"/>
      </w:pPr>
      <w:r w:rsidRPr="004F0878">
        <w:rPr>
          <w:color w:val="242021"/>
        </w:rPr>
        <w:t>On December 18, 2015, Congress enacted the Consolidated Appropriations Act of 2016,</w:t>
      </w:r>
      <w:r w:rsidR="00464FA4" w:rsidRPr="004F0878">
        <w:rPr>
          <w:rStyle w:val="FootnoteReference"/>
          <w:color w:val="242021"/>
        </w:rPr>
        <w:footnoteReference w:id="2"/>
      </w:r>
      <w:r w:rsidRPr="004F0878">
        <w:rPr>
          <w:color w:val="242021"/>
        </w:rPr>
        <w:t xml:space="preserve"> which direct</w:t>
      </w:r>
      <w:r w:rsidR="00362E0D">
        <w:rPr>
          <w:color w:val="242021"/>
        </w:rPr>
        <w:t>s</w:t>
      </w:r>
      <w:r w:rsidRPr="004F0878">
        <w:rPr>
          <w:color w:val="242021"/>
        </w:rPr>
        <w:t xml:space="preserve"> the </w:t>
      </w:r>
      <w:r w:rsidR="00AB5760">
        <w:rPr>
          <w:color w:val="242021"/>
        </w:rPr>
        <w:t>Federal Communications Commission (</w:t>
      </w:r>
      <w:r w:rsidRPr="004F0878">
        <w:rPr>
          <w:color w:val="242021"/>
        </w:rPr>
        <w:t>Commission</w:t>
      </w:r>
      <w:r w:rsidR="00AB5760">
        <w:rPr>
          <w:color w:val="242021"/>
        </w:rPr>
        <w:t>)</w:t>
      </w:r>
      <w:r w:rsidRPr="004F0878">
        <w:rPr>
          <w:color w:val="242021"/>
        </w:rPr>
        <w:t xml:space="preserve"> </w:t>
      </w:r>
      <w:r w:rsidR="00464FA4">
        <w:rPr>
          <w:color w:val="242021"/>
        </w:rPr>
        <w:t>to submit a report within nine months of enactment</w:t>
      </w:r>
      <w:r w:rsidR="003F4BAA">
        <w:rPr>
          <w:color w:val="242021"/>
        </w:rPr>
        <w:t xml:space="preserve"> (</w:t>
      </w:r>
      <w:r w:rsidR="00C27AFE" w:rsidRPr="00487383">
        <w:rPr>
          <w:i/>
          <w:color w:val="242021"/>
        </w:rPr>
        <w:t>i.e</w:t>
      </w:r>
      <w:r w:rsidR="00C27AFE">
        <w:rPr>
          <w:color w:val="242021"/>
        </w:rPr>
        <w:t xml:space="preserve">., by </w:t>
      </w:r>
      <w:r w:rsidR="00A732CB">
        <w:rPr>
          <w:color w:val="242021"/>
        </w:rPr>
        <w:t>September 18, 2016</w:t>
      </w:r>
      <w:r w:rsidR="003F4BAA">
        <w:rPr>
          <w:color w:val="242021"/>
        </w:rPr>
        <w:t>)</w:t>
      </w:r>
      <w:r w:rsidR="00A732CB">
        <w:rPr>
          <w:color w:val="242021"/>
        </w:rPr>
        <w:t xml:space="preserve">, </w:t>
      </w:r>
      <w:r w:rsidR="00CC4D1B">
        <w:rPr>
          <w:color w:val="242021"/>
        </w:rPr>
        <w:t xml:space="preserve">that </w:t>
      </w:r>
      <w:r w:rsidR="00464FA4">
        <w:rPr>
          <w:color w:val="242021"/>
        </w:rPr>
        <w:t>detail</w:t>
      </w:r>
      <w:r w:rsidR="00267E10">
        <w:rPr>
          <w:color w:val="242021"/>
        </w:rPr>
        <w:t>s</w:t>
      </w:r>
      <w:r w:rsidR="00464FA4">
        <w:rPr>
          <w:color w:val="242021"/>
        </w:rPr>
        <w:t xml:space="preserve"> the regulatory and statutory </w:t>
      </w:r>
      <w:r w:rsidR="00CC4D1B">
        <w:rPr>
          <w:color w:val="242021"/>
        </w:rPr>
        <w:t xml:space="preserve">framework for delivery of </w:t>
      </w:r>
      <w:r w:rsidR="00464FA4">
        <w:rPr>
          <w:color w:val="242021"/>
        </w:rPr>
        <w:t>earthquake-related emergency alerts using the Integrated Public Alert and Warning System</w:t>
      </w:r>
      <w:r w:rsidR="00CC4D1B">
        <w:rPr>
          <w:color w:val="242021"/>
        </w:rPr>
        <w:t xml:space="preserve"> (IPAWS).  Specifically, the Act states: </w:t>
      </w:r>
    </w:p>
    <w:p w14:paraId="6F4A3B06" w14:textId="77777777" w:rsidR="00362E0D" w:rsidRPr="00CC4D1B" w:rsidRDefault="00CC4D1B" w:rsidP="00CC4D1B">
      <w:pPr>
        <w:spacing w:after="200" w:line="276" w:lineRule="auto"/>
        <w:ind w:left="720"/>
      </w:pPr>
      <w:r w:rsidRPr="00CC4D1B">
        <w:rPr>
          <w:iCs/>
        </w:rPr>
        <w:t>The FCC shall submit a report to Congress within 9 months of enactment of this act detailing all regulatory and statutory changes that would be necessary to ensure that earthquake-related emergency alerts using the Integrated Public Alert and Warning System and other associated alerting systems can be delivered to and received by the public in fewer than 3 seconds. The report shall include an analysis of signals, cell phone protocols, geographic targeting, and limitations on message length and content, as well as similar parameters associated with the dissemination of alerts by non-wireless providers.</w:t>
      </w:r>
      <w:r w:rsidRPr="00CC4D1B">
        <w:rPr>
          <w:rStyle w:val="FootnoteReference"/>
        </w:rPr>
        <w:footnoteReference w:id="3"/>
      </w:r>
    </w:p>
    <w:p w14:paraId="0DC74307" w14:textId="5DB88201" w:rsidR="00A732CB" w:rsidRDefault="00A732CB" w:rsidP="00037500">
      <w:pPr>
        <w:pStyle w:val="BodyText"/>
        <w:widowControl/>
        <w:kinsoku w:val="0"/>
        <w:overflowPunct w:val="0"/>
        <w:ind w:left="0" w:firstLine="720"/>
      </w:pPr>
      <w:r>
        <w:t xml:space="preserve">To assist the Commission in developing </w:t>
      </w:r>
      <w:r w:rsidR="00431CC4">
        <w:t>its report</w:t>
      </w:r>
      <w:r>
        <w:t xml:space="preserve"> to Congress, </w:t>
      </w:r>
      <w:r w:rsidR="00074B6D">
        <w:t>particularly given the comprehensive and technical scop</w:t>
      </w:r>
      <w:r w:rsidR="00494871">
        <w:t xml:space="preserve">e of the information requested, </w:t>
      </w:r>
      <w:r>
        <w:t>the Public Safety and Homeland Security Bureau seeks comment on the issues discussed</w:t>
      </w:r>
      <w:r w:rsidR="00431CC4">
        <w:t xml:space="preserve"> </w:t>
      </w:r>
      <w:r>
        <w:t>below.</w:t>
      </w:r>
      <w:r w:rsidR="00494871">
        <w:t xml:space="preserve">  </w:t>
      </w:r>
      <w:r w:rsidR="00AF6403">
        <w:t>In particular, we seek comment on technical aspects of IPAWS and its associated alerting systems, as well as other</w:t>
      </w:r>
      <w:r w:rsidR="00494871">
        <w:t xml:space="preserve"> alerting schemes </w:t>
      </w:r>
      <w:r w:rsidR="00AF6403">
        <w:t>with which the Commission has not previously been involved</w:t>
      </w:r>
      <w:r w:rsidR="00BF5578">
        <w:t>,</w:t>
      </w:r>
      <w:r w:rsidR="00AF6403">
        <w:t xml:space="preserve"> in order to build a robust record on</w:t>
      </w:r>
      <w:r w:rsidR="00494871">
        <w:t xml:space="preserve"> potential models for </w:t>
      </w:r>
      <w:r w:rsidR="00880C6E">
        <w:t xml:space="preserve">delivering </w:t>
      </w:r>
      <w:r w:rsidR="00AF6403">
        <w:t>earthquake early warning (EEW)</w:t>
      </w:r>
      <w:r w:rsidR="00880C6E">
        <w:t xml:space="preserve"> to the entire public in fewer than three se</w:t>
      </w:r>
      <w:r w:rsidR="00547719">
        <w:t>c</w:t>
      </w:r>
      <w:r w:rsidR="00880C6E">
        <w:t>onds</w:t>
      </w:r>
      <w:r w:rsidR="00494871">
        <w:t>.</w:t>
      </w:r>
      <w:r w:rsidR="00822144">
        <w:rPr>
          <w:rStyle w:val="FootnoteReference"/>
        </w:rPr>
        <w:footnoteReference w:id="4"/>
      </w:r>
      <w:r w:rsidR="00494871">
        <w:t xml:space="preserve">  </w:t>
      </w:r>
      <w:r w:rsidR="00AF6403" w:rsidRPr="00AF6403">
        <w:t xml:space="preserve"> </w:t>
      </w:r>
    </w:p>
    <w:p w14:paraId="3063221C" w14:textId="77777777" w:rsidR="0008366B" w:rsidRDefault="0008366B" w:rsidP="00A732CB"/>
    <w:p w14:paraId="66205959" w14:textId="77777777" w:rsidR="00BF69CE" w:rsidRDefault="0008366B" w:rsidP="00487383">
      <w:pPr>
        <w:pStyle w:val="Heading1"/>
        <w:widowControl w:val="0"/>
        <w:numPr>
          <w:ilvl w:val="0"/>
          <w:numId w:val="7"/>
        </w:numPr>
        <w:spacing w:after="220"/>
        <w:jc w:val="both"/>
      </w:pPr>
      <w:r w:rsidRPr="0008366B">
        <w:t xml:space="preserve">Framework for the Delivery of earthquake-related </w:t>
      </w:r>
      <w:r w:rsidR="00AB5760">
        <w:t>A</w:t>
      </w:r>
      <w:r w:rsidRPr="0008366B">
        <w:t>lerts using the Integrated Public Alert and Warning System</w:t>
      </w:r>
    </w:p>
    <w:p w14:paraId="0210889F" w14:textId="77777777" w:rsidR="00E17458" w:rsidRDefault="006842EA" w:rsidP="0027272B">
      <w:pPr>
        <w:pStyle w:val="Heading2"/>
      </w:pPr>
      <w:r>
        <w:t xml:space="preserve">The </w:t>
      </w:r>
      <w:r w:rsidRPr="006842EA">
        <w:t>Integrated Public Alert and Warning System</w:t>
      </w:r>
      <w:r w:rsidR="00E17458">
        <w:t xml:space="preserve"> (IPAWS)</w:t>
      </w:r>
    </w:p>
    <w:p w14:paraId="4F55F4B5" w14:textId="77777777" w:rsidR="007C20E3" w:rsidRDefault="00E17458" w:rsidP="00FE3535">
      <w:pPr>
        <w:ind w:firstLine="720"/>
        <w:rPr>
          <w:i/>
        </w:rPr>
      </w:pPr>
      <w:r>
        <w:t xml:space="preserve">The </w:t>
      </w:r>
      <w:r w:rsidR="00E514F4" w:rsidRPr="004E7202">
        <w:t>IPAWS</w:t>
      </w:r>
      <w:r>
        <w:t xml:space="preserve"> </w:t>
      </w:r>
      <w:r w:rsidR="00E514F4" w:rsidRPr="004E7202">
        <w:t>is the nation’s federal alert and warning system and is administered by FEMA.</w:t>
      </w:r>
      <w:r w:rsidR="00E514F4" w:rsidRPr="004E7202">
        <w:rPr>
          <w:vertAlign w:val="superscript"/>
        </w:rPr>
        <w:footnoteReference w:id="5"/>
      </w:r>
      <w:r w:rsidR="00E514F4" w:rsidRPr="004E7202">
        <w:t xml:space="preserve">  </w:t>
      </w:r>
      <w:r w:rsidR="00E514F4">
        <w:t xml:space="preserve">IPAWS receives alerts from state, local, tribal and territorial alerting entities and aggregates them for dissemination over </w:t>
      </w:r>
      <w:r w:rsidR="006842EA">
        <w:t xml:space="preserve">the Wireless Emergency Alert </w:t>
      </w:r>
      <w:r w:rsidR="00AB5760">
        <w:t>(WEA) s</w:t>
      </w:r>
      <w:r w:rsidR="006842EA">
        <w:t xml:space="preserve">ystem </w:t>
      </w:r>
      <w:r w:rsidR="00E514F4">
        <w:t xml:space="preserve">and </w:t>
      </w:r>
      <w:r w:rsidR="006842EA">
        <w:t xml:space="preserve">the Emergency Alert System </w:t>
      </w:r>
      <w:r w:rsidR="00181252">
        <w:t>(EAS), the primary IPAWS alerting platforms</w:t>
      </w:r>
      <w:r w:rsidR="00181252" w:rsidRPr="00D27D4E">
        <w:t xml:space="preserve"> and other alert and warning communications mediums</w:t>
      </w:r>
      <w:r w:rsidR="00181252">
        <w:t>.</w:t>
      </w:r>
      <w:r w:rsidR="00181252">
        <w:rPr>
          <w:rStyle w:val="FootnoteReference"/>
        </w:rPr>
        <w:footnoteReference w:id="6"/>
      </w:r>
      <w:r w:rsidR="00181252">
        <w:t xml:space="preserve">  </w:t>
      </w:r>
      <w:r w:rsidR="004D576A" w:rsidRPr="008233CE">
        <w:t xml:space="preserve">WEA allows authorized federal, state and local government entities to </w:t>
      </w:r>
      <w:r w:rsidR="002D09C4">
        <w:t>send geographically targeted</w:t>
      </w:r>
      <w:r w:rsidR="004D576A" w:rsidRPr="008233CE">
        <w:t xml:space="preserve"> Presidential, Imminent Threat, and AMBER Alerts to the WEA-capable mobile devices of participating CMS providers’ subscribers.</w:t>
      </w:r>
      <w:r w:rsidR="004D576A">
        <w:rPr>
          <w:rStyle w:val="FootnoteReference"/>
        </w:rPr>
        <w:footnoteReference w:id="7"/>
      </w:r>
      <w:r w:rsidR="004D576A" w:rsidRPr="008233CE">
        <w:t xml:space="preserve">  The EAS is a national public warning system through which EAS </w:t>
      </w:r>
      <w:r w:rsidR="00181252" w:rsidRPr="008233CE">
        <w:t>Participants deliver alert</w:t>
      </w:r>
      <w:r w:rsidR="00181252">
        <w:t xml:space="preserve"> </w:t>
      </w:r>
      <w:r w:rsidR="00181252" w:rsidRPr="00D27D4E">
        <w:t xml:space="preserve">and warning messages from authorized entities </w:t>
      </w:r>
      <w:r w:rsidR="00181252" w:rsidRPr="008233CE">
        <w:t>to the</w:t>
      </w:r>
      <w:r w:rsidR="00181252">
        <w:t>ir subscribers</w:t>
      </w:r>
      <w:r w:rsidR="00181252" w:rsidRPr="008233CE">
        <w:t xml:space="preserve"> to warn </w:t>
      </w:r>
      <w:r w:rsidR="004D576A" w:rsidRPr="008233CE">
        <w:t>them of impending emergencies and dangers to life and property.</w:t>
      </w:r>
      <w:r w:rsidR="004D576A">
        <w:rPr>
          <w:rStyle w:val="FootnoteReference"/>
        </w:rPr>
        <w:footnoteReference w:id="8"/>
      </w:r>
      <w:r w:rsidR="004D576A" w:rsidRPr="008233CE">
        <w:t xml:space="preserve">  </w:t>
      </w:r>
      <w:r w:rsidR="00E514F4" w:rsidRPr="004E7202">
        <w:rPr>
          <w:i/>
        </w:rPr>
        <w:t>Figure 1</w:t>
      </w:r>
      <w:r w:rsidR="00E514F4" w:rsidRPr="004E7202">
        <w:t>, below, depicts th</w:t>
      </w:r>
      <w:r w:rsidR="00E4173F">
        <w:t xml:space="preserve">is </w:t>
      </w:r>
      <w:r w:rsidR="00E514F4" w:rsidRPr="004E7202">
        <w:t>IPAWS alerting architecture</w:t>
      </w:r>
      <w:r>
        <w:t xml:space="preserve">.  </w:t>
      </w:r>
    </w:p>
    <w:p w14:paraId="2F999F65" w14:textId="77777777" w:rsidR="007C20E3" w:rsidRDefault="007C20E3" w:rsidP="004D576A">
      <w:pPr>
        <w:jc w:val="center"/>
        <w:rPr>
          <w:i/>
        </w:rPr>
      </w:pPr>
    </w:p>
    <w:p w14:paraId="3384B5CA" w14:textId="77777777" w:rsidR="007C20E3" w:rsidRDefault="00306402" w:rsidP="004D576A">
      <w:pPr>
        <w:jc w:val="center"/>
        <w:rPr>
          <w:i/>
        </w:rPr>
      </w:pPr>
      <w:r>
        <w:rPr>
          <w:i/>
          <w:noProof/>
        </w:rPr>
        <w:drawing>
          <wp:inline distT="0" distB="0" distL="0" distR="0" wp14:anchorId="7F3DB74F" wp14:editId="7DAE4430">
            <wp:extent cx="5089183" cy="587974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grated Public Alert and Warning System (IPAWS) Architectur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9396" cy="5891544"/>
                    </a:xfrm>
                    <a:prstGeom prst="rect">
                      <a:avLst/>
                    </a:prstGeom>
                  </pic:spPr>
                </pic:pic>
              </a:graphicData>
            </a:graphic>
          </wp:inline>
        </w:drawing>
      </w:r>
    </w:p>
    <w:p w14:paraId="053EE6E5" w14:textId="77777777" w:rsidR="004D576A" w:rsidRDefault="004D576A" w:rsidP="00306402">
      <w:pPr>
        <w:spacing w:before="120"/>
        <w:jc w:val="center"/>
        <w:rPr>
          <w:i/>
        </w:rPr>
      </w:pPr>
      <w:r>
        <w:rPr>
          <w:i/>
        </w:rPr>
        <w:t>Figure 1: IPAWS and Associated Alerting Systems</w:t>
      </w:r>
      <w:r w:rsidR="00DA7B10">
        <w:rPr>
          <w:i/>
        </w:rPr>
        <w:t xml:space="preserve"> </w:t>
      </w:r>
      <w:r w:rsidR="00306402">
        <w:rPr>
          <w:i/>
        </w:rPr>
        <w:t>Architecture</w:t>
      </w:r>
    </w:p>
    <w:p w14:paraId="592C90DE" w14:textId="77777777" w:rsidR="00306402" w:rsidRDefault="00306402" w:rsidP="00306402">
      <w:pPr>
        <w:spacing w:before="120"/>
        <w:jc w:val="center"/>
      </w:pPr>
    </w:p>
    <w:p w14:paraId="1DBE7EE6" w14:textId="77777777" w:rsidR="008233CE" w:rsidRPr="00462CEB" w:rsidRDefault="009C37E4" w:rsidP="00E514F4">
      <w:r w:rsidRPr="004F0878">
        <w:t>In addition to EAS and WEA, “[e]xisting state or locally owned and operated warning systems –– can be configured to receive alerts from [IPAWS-OPEN].”</w:t>
      </w:r>
      <w:r w:rsidRPr="004F0878">
        <w:rPr>
          <w:rStyle w:val="FootnoteReference"/>
        </w:rPr>
        <w:footnoteReference w:id="9"/>
      </w:r>
      <w:r w:rsidRPr="004F0878">
        <w:t xml:space="preserve">  </w:t>
      </w:r>
      <w:r>
        <w:t>For purposes of the Commission’s report to Congress, we</w:t>
      </w:r>
      <w:r w:rsidR="002D09C4">
        <w:t xml:space="preserve"> </w:t>
      </w:r>
      <w:r w:rsidR="00E4173F">
        <w:t xml:space="preserve">seek </w:t>
      </w:r>
      <w:r w:rsidR="00AB5760">
        <w:t>information</w:t>
      </w:r>
      <w:r w:rsidR="00E4173F">
        <w:t xml:space="preserve"> on what, if any, other alerting systems the Commission should consider as “associated alerting systems” to the IPAWS</w:t>
      </w:r>
      <w:r w:rsidR="00FF117F">
        <w:t xml:space="preserve">.  </w:t>
      </w:r>
      <w:r w:rsidR="00693530">
        <w:t>Commenters should supply specific technical data supporting their conclusions.</w:t>
      </w:r>
      <w:r w:rsidR="00AF6403">
        <w:t xml:space="preserve">  </w:t>
      </w:r>
    </w:p>
    <w:p w14:paraId="301706C3" w14:textId="77777777" w:rsidR="003315C3" w:rsidRPr="00571F97" w:rsidRDefault="003315C3" w:rsidP="00571F97">
      <w:pPr>
        <w:pStyle w:val="BodyText"/>
        <w:kinsoku w:val="0"/>
        <w:overflowPunct w:val="0"/>
        <w:spacing w:before="11"/>
        <w:ind w:left="0" w:firstLine="0"/>
        <w:jc w:val="center"/>
        <w:rPr>
          <w:i/>
        </w:rPr>
      </w:pPr>
    </w:p>
    <w:p w14:paraId="7E6B2C12" w14:textId="77777777" w:rsidR="00E514F4" w:rsidRPr="00754052" w:rsidRDefault="00D6795D" w:rsidP="0027272B">
      <w:pPr>
        <w:pStyle w:val="Heading2"/>
      </w:pPr>
      <w:r>
        <w:t>EEW Three</w:t>
      </w:r>
      <w:r w:rsidR="00EF03A7">
        <w:t>-</w:t>
      </w:r>
      <w:r>
        <w:t>Second Delivery A</w:t>
      </w:r>
      <w:r w:rsidR="00E514F4" w:rsidRPr="00754052">
        <w:t>nalysis</w:t>
      </w:r>
    </w:p>
    <w:p w14:paraId="7086A872" w14:textId="77777777" w:rsidR="00D6795D" w:rsidRDefault="00D6795D" w:rsidP="004D576A">
      <w:pPr>
        <w:ind w:firstLine="720"/>
        <w:rPr>
          <w:color w:val="242021"/>
        </w:rPr>
      </w:pPr>
    </w:p>
    <w:p w14:paraId="78F90BA1" w14:textId="77777777" w:rsidR="00742F59" w:rsidRDefault="00742F59" w:rsidP="0027272B">
      <w:pPr>
        <w:pStyle w:val="Heading3"/>
      </w:pPr>
      <w:r>
        <w:t>IPAWS System Analysis</w:t>
      </w:r>
    </w:p>
    <w:p w14:paraId="05402730" w14:textId="77777777" w:rsidR="005A32FD" w:rsidRDefault="00D6795D" w:rsidP="004D576A">
      <w:pPr>
        <w:ind w:firstLine="720"/>
        <w:rPr>
          <w:color w:val="242021"/>
        </w:rPr>
      </w:pPr>
      <w:r>
        <w:rPr>
          <w:color w:val="242021"/>
        </w:rPr>
        <w:t xml:space="preserve">As the prior discussion and </w:t>
      </w:r>
      <w:r w:rsidRPr="00487383">
        <w:rPr>
          <w:i/>
          <w:color w:val="242021"/>
        </w:rPr>
        <w:t>Figure 1</w:t>
      </w:r>
      <w:r>
        <w:rPr>
          <w:color w:val="242021"/>
        </w:rPr>
        <w:t xml:space="preserve"> indicate, </w:t>
      </w:r>
      <w:r w:rsidR="00727A03">
        <w:t>IPAWS aggregates and then distributes alerts to different systems, each of which has its own individual technical infrastructure</w:t>
      </w:r>
      <w:r w:rsidR="005A32FD">
        <w:rPr>
          <w:color w:val="242021"/>
        </w:rPr>
        <w:t xml:space="preserve">.  </w:t>
      </w:r>
      <w:r w:rsidR="00875822">
        <w:rPr>
          <w:color w:val="242021"/>
        </w:rPr>
        <w:t xml:space="preserve">We seek information regarding how differences in alerting infrastructure and delivery methodologies affect </w:t>
      </w:r>
      <w:r w:rsidR="0089726C">
        <w:rPr>
          <w:color w:val="242021"/>
        </w:rPr>
        <w:t xml:space="preserve">incremental and overall system </w:t>
      </w:r>
      <w:r w:rsidR="00875822">
        <w:rPr>
          <w:color w:val="242021"/>
        </w:rPr>
        <w:t>latenc</w:t>
      </w:r>
      <w:r w:rsidR="0089726C">
        <w:rPr>
          <w:color w:val="242021"/>
        </w:rPr>
        <w:t>ies and dela</w:t>
      </w:r>
      <w:r w:rsidR="00875822">
        <w:rPr>
          <w:color w:val="242021"/>
        </w:rPr>
        <w:t>y</w:t>
      </w:r>
      <w:r w:rsidR="0089726C">
        <w:rPr>
          <w:color w:val="242021"/>
        </w:rPr>
        <w:t>s</w:t>
      </w:r>
      <w:r w:rsidR="00875822">
        <w:rPr>
          <w:color w:val="242021"/>
        </w:rPr>
        <w:t xml:space="preserve">.  </w:t>
      </w:r>
      <w:r w:rsidR="00B77ECA">
        <w:rPr>
          <w:color w:val="242021"/>
        </w:rPr>
        <w:t>T</w:t>
      </w:r>
      <w:r w:rsidR="00E61238">
        <w:rPr>
          <w:color w:val="242021"/>
        </w:rPr>
        <w:t>o properly define the scope of our inquiry, we seek comment on the</w:t>
      </w:r>
      <w:r w:rsidR="00BA7B6C">
        <w:rPr>
          <w:color w:val="242021"/>
        </w:rPr>
        <w:t xml:space="preserve"> extent </w:t>
      </w:r>
      <w:r w:rsidR="00E61238">
        <w:rPr>
          <w:color w:val="242021"/>
        </w:rPr>
        <w:t>to which</w:t>
      </w:r>
      <w:r w:rsidR="00BA7B6C">
        <w:rPr>
          <w:color w:val="242021"/>
        </w:rPr>
        <w:t xml:space="preserve"> </w:t>
      </w:r>
      <w:r w:rsidR="009C2C05">
        <w:rPr>
          <w:color w:val="242021"/>
        </w:rPr>
        <w:t xml:space="preserve">our </w:t>
      </w:r>
      <w:r w:rsidR="005A32FD">
        <w:rPr>
          <w:color w:val="242021"/>
        </w:rPr>
        <w:t>analysis</w:t>
      </w:r>
      <w:r w:rsidR="00875822">
        <w:rPr>
          <w:color w:val="242021"/>
        </w:rPr>
        <w:t xml:space="preserve"> of the feasibility of delivering</w:t>
      </w:r>
      <w:r w:rsidR="005A32FD">
        <w:rPr>
          <w:color w:val="242021"/>
        </w:rPr>
        <w:t xml:space="preserve"> </w:t>
      </w:r>
      <w:r w:rsidR="00BA7B6C">
        <w:rPr>
          <w:color w:val="242021"/>
        </w:rPr>
        <w:t>earthquake early warnings</w:t>
      </w:r>
      <w:r w:rsidR="004D576A" w:rsidRPr="004D576A">
        <w:rPr>
          <w:color w:val="242021"/>
        </w:rPr>
        <w:t xml:space="preserve"> require</w:t>
      </w:r>
      <w:r w:rsidR="00E61238">
        <w:rPr>
          <w:color w:val="242021"/>
        </w:rPr>
        <w:t>s</w:t>
      </w:r>
      <w:r w:rsidR="004D576A" w:rsidRPr="004D576A">
        <w:rPr>
          <w:color w:val="242021"/>
        </w:rPr>
        <w:t xml:space="preserve"> an analysis of each step in the alert generation and dissemination process</w:t>
      </w:r>
      <w:r w:rsidR="00BA7B6C">
        <w:rPr>
          <w:color w:val="242021"/>
        </w:rPr>
        <w:t xml:space="preserve"> for each type of alert (</w:t>
      </w:r>
      <w:r w:rsidR="00BA7B6C" w:rsidRPr="0089726C">
        <w:rPr>
          <w:i/>
          <w:color w:val="242021"/>
        </w:rPr>
        <w:t>e.g.</w:t>
      </w:r>
      <w:r w:rsidR="00BA7B6C" w:rsidRPr="0089726C">
        <w:rPr>
          <w:color w:val="242021"/>
        </w:rPr>
        <w:t>,</w:t>
      </w:r>
      <w:r w:rsidR="00BA7B6C">
        <w:rPr>
          <w:color w:val="242021"/>
        </w:rPr>
        <w:t xml:space="preserve"> WEA </w:t>
      </w:r>
      <w:r w:rsidR="0089726C">
        <w:rPr>
          <w:color w:val="242021"/>
        </w:rPr>
        <w:t xml:space="preserve">and </w:t>
      </w:r>
      <w:r w:rsidR="00BA7B6C">
        <w:rPr>
          <w:color w:val="242021"/>
        </w:rPr>
        <w:t>EAS),</w:t>
      </w:r>
      <w:r w:rsidR="00431CC4">
        <w:rPr>
          <w:color w:val="242021"/>
        </w:rPr>
        <w:t xml:space="preserve"> </w:t>
      </w:r>
      <w:r w:rsidR="004D576A" w:rsidRPr="004D576A">
        <w:rPr>
          <w:color w:val="242021"/>
        </w:rPr>
        <w:t xml:space="preserve">in order to identify and, to the extent feasible, </w:t>
      </w:r>
      <w:r w:rsidR="008019F5">
        <w:rPr>
          <w:color w:val="242021"/>
        </w:rPr>
        <w:t xml:space="preserve">reduce or </w:t>
      </w:r>
      <w:r w:rsidR="004D576A" w:rsidRPr="004D576A">
        <w:rPr>
          <w:color w:val="242021"/>
        </w:rPr>
        <w:t xml:space="preserve">eliminate any </w:t>
      </w:r>
      <w:r w:rsidR="005A32FD">
        <w:rPr>
          <w:color w:val="242021"/>
        </w:rPr>
        <w:t xml:space="preserve">delays or </w:t>
      </w:r>
      <w:r w:rsidR="004D576A" w:rsidRPr="004D576A">
        <w:rPr>
          <w:color w:val="242021"/>
        </w:rPr>
        <w:t>latencies</w:t>
      </w:r>
      <w:r w:rsidR="0089726C">
        <w:rPr>
          <w:color w:val="242021"/>
        </w:rPr>
        <w:t>.</w:t>
      </w:r>
      <w:r w:rsidR="00BA7B6C" w:rsidRPr="004D576A">
        <w:rPr>
          <w:color w:val="242021"/>
        </w:rPr>
        <w:t xml:space="preserve">  </w:t>
      </w:r>
      <w:r w:rsidR="005A32FD">
        <w:rPr>
          <w:color w:val="242021"/>
        </w:rPr>
        <w:t xml:space="preserve">We </w:t>
      </w:r>
      <w:r w:rsidR="009C2C05">
        <w:rPr>
          <w:color w:val="242021"/>
        </w:rPr>
        <w:t xml:space="preserve">also </w:t>
      </w:r>
      <w:r w:rsidR="005A32FD">
        <w:rPr>
          <w:color w:val="242021"/>
        </w:rPr>
        <w:t xml:space="preserve">seek </w:t>
      </w:r>
      <w:r w:rsidR="009C2C05">
        <w:rPr>
          <w:color w:val="242021"/>
        </w:rPr>
        <w:t xml:space="preserve">information concerning </w:t>
      </w:r>
      <w:r w:rsidR="00431CC4">
        <w:rPr>
          <w:color w:val="242021"/>
        </w:rPr>
        <w:t>whether</w:t>
      </w:r>
      <w:r w:rsidR="009C2C05">
        <w:rPr>
          <w:color w:val="242021"/>
        </w:rPr>
        <w:t>,</w:t>
      </w:r>
      <w:r w:rsidR="00431CC4">
        <w:rPr>
          <w:color w:val="242021"/>
        </w:rPr>
        <w:t xml:space="preserve"> </w:t>
      </w:r>
      <w:r w:rsidR="0001351B">
        <w:rPr>
          <w:color w:val="242021"/>
        </w:rPr>
        <w:t xml:space="preserve">in addition to signals and cell phone protocols, there are </w:t>
      </w:r>
      <w:r w:rsidR="00B57549">
        <w:rPr>
          <w:color w:val="242021"/>
        </w:rPr>
        <w:t xml:space="preserve">additional </w:t>
      </w:r>
      <w:r w:rsidR="0001351B">
        <w:rPr>
          <w:color w:val="242021"/>
        </w:rPr>
        <w:t>parameters associated with the dissemination of alerts</w:t>
      </w:r>
      <w:r w:rsidR="0089726C">
        <w:rPr>
          <w:color w:val="242021"/>
        </w:rPr>
        <w:t xml:space="preserve">, such as </w:t>
      </w:r>
      <w:r w:rsidR="00BF5578">
        <w:rPr>
          <w:color w:val="242021"/>
        </w:rPr>
        <w:t xml:space="preserve">factors associated with </w:t>
      </w:r>
      <w:r w:rsidR="0089726C">
        <w:rPr>
          <w:color w:val="242021"/>
        </w:rPr>
        <w:t>broadcast and Internet</w:t>
      </w:r>
      <w:r w:rsidR="00BF5578">
        <w:rPr>
          <w:color w:val="242021"/>
        </w:rPr>
        <w:t xml:space="preserve"> messaging</w:t>
      </w:r>
      <w:r w:rsidR="0089726C">
        <w:rPr>
          <w:color w:val="242021"/>
        </w:rPr>
        <w:t>,</w:t>
      </w:r>
      <w:r w:rsidR="0001351B">
        <w:rPr>
          <w:color w:val="242021"/>
        </w:rPr>
        <w:t xml:space="preserve"> that the report should include in its analysis.</w:t>
      </w:r>
      <w:r w:rsidR="00B57549">
        <w:rPr>
          <w:color w:val="242021"/>
        </w:rPr>
        <w:t xml:space="preserve"> </w:t>
      </w:r>
    </w:p>
    <w:p w14:paraId="092C0E1E" w14:textId="77777777" w:rsidR="005A32FD" w:rsidRDefault="005A32FD" w:rsidP="004D576A">
      <w:pPr>
        <w:ind w:firstLine="720"/>
        <w:rPr>
          <w:color w:val="242021"/>
        </w:rPr>
      </w:pPr>
    </w:p>
    <w:p w14:paraId="7A2658C8" w14:textId="77777777" w:rsidR="004D576A" w:rsidRDefault="004D576A" w:rsidP="004D576A">
      <w:pPr>
        <w:ind w:firstLine="720"/>
        <w:rPr>
          <w:color w:val="242021"/>
        </w:rPr>
      </w:pPr>
      <w:r w:rsidRPr="004D576A">
        <w:rPr>
          <w:i/>
          <w:color w:val="242021"/>
        </w:rPr>
        <w:t xml:space="preserve">Figure </w:t>
      </w:r>
      <w:r w:rsidR="00422DE7">
        <w:rPr>
          <w:i/>
          <w:color w:val="242021"/>
        </w:rPr>
        <w:t>1</w:t>
      </w:r>
      <w:r w:rsidR="00422DE7">
        <w:rPr>
          <w:color w:val="242021"/>
        </w:rPr>
        <w:t xml:space="preserve"> also p</w:t>
      </w:r>
      <w:r w:rsidR="0089726C">
        <w:rPr>
          <w:color w:val="242021"/>
        </w:rPr>
        <w:t>rovides</w:t>
      </w:r>
      <w:r w:rsidR="00422DE7">
        <w:rPr>
          <w:color w:val="242021"/>
        </w:rPr>
        <w:t xml:space="preserve">, in the enumerated functions within each section of IPAWS, </w:t>
      </w:r>
      <w:r w:rsidR="001A0930">
        <w:rPr>
          <w:color w:val="242021"/>
        </w:rPr>
        <w:t xml:space="preserve">a detailed view of the </w:t>
      </w:r>
      <w:r w:rsidR="00422DE7">
        <w:rPr>
          <w:color w:val="242021"/>
        </w:rPr>
        <w:t xml:space="preserve">IPAWS </w:t>
      </w:r>
      <w:r w:rsidR="001A0930">
        <w:rPr>
          <w:color w:val="242021"/>
        </w:rPr>
        <w:t xml:space="preserve">architecture to </w:t>
      </w:r>
      <w:r w:rsidR="00900F2F">
        <w:rPr>
          <w:color w:val="242021"/>
        </w:rPr>
        <w:t>illustrate the potential delivery path</w:t>
      </w:r>
      <w:r w:rsidR="001A0930">
        <w:rPr>
          <w:color w:val="242021"/>
        </w:rPr>
        <w:t xml:space="preserve"> for </w:t>
      </w:r>
      <w:r w:rsidRPr="004D576A">
        <w:rPr>
          <w:color w:val="242021"/>
        </w:rPr>
        <w:t>EEW creation and dissemination using the IPAWS infrastructure.</w:t>
      </w:r>
      <w:r w:rsidR="005A32FD">
        <w:rPr>
          <w:color w:val="242021"/>
        </w:rPr>
        <w:t xml:space="preserve">  We seek comment on </w:t>
      </w:r>
      <w:r w:rsidR="00900F2F">
        <w:rPr>
          <w:color w:val="242021"/>
        </w:rPr>
        <w:t>whether</w:t>
      </w:r>
      <w:r w:rsidR="00422DE7">
        <w:rPr>
          <w:color w:val="242021"/>
        </w:rPr>
        <w:t xml:space="preserve"> </w:t>
      </w:r>
      <w:r w:rsidR="00900F2F" w:rsidRPr="00487383">
        <w:rPr>
          <w:i/>
          <w:color w:val="242021"/>
        </w:rPr>
        <w:t xml:space="preserve">Figure </w:t>
      </w:r>
      <w:r w:rsidR="00422DE7">
        <w:rPr>
          <w:i/>
          <w:color w:val="242021"/>
        </w:rPr>
        <w:t>1</w:t>
      </w:r>
      <w:r w:rsidR="00900F2F">
        <w:rPr>
          <w:color w:val="242021"/>
        </w:rPr>
        <w:t xml:space="preserve"> accurately capture the different steps that would be involved in the delivery of an EEW using IPAWS, and if not, what additional </w:t>
      </w:r>
      <w:r w:rsidR="001A0930">
        <w:rPr>
          <w:color w:val="242021"/>
        </w:rPr>
        <w:t xml:space="preserve">or other </w:t>
      </w:r>
      <w:r w:rsidR="00900F2F">
        <w:rPr>
          <w:color w:val="242021"/>
        </w:rPr>
        <w:t>steps should be included</w:t>
      </w:r>
      <w:r w:rsidR="005A32FD">
        <w:rPr>
          <w:color w:val="242021"/>
        </w:rPr>
        <w:t>.</w:t>
      </w:r>
    </w:p>
    <w:p w14:paraId="2C28E03A" w14:textId="77777777" w:rsidR="004D576A" w:rsidRDefault="004D576A" w:rsidP="00571F97">
      <w:pPr>
        <w:ind w:firstLine="720"/>
        <w:rPr>
          <w:color w:val="242021"/>
        </w:rPr>
      </w:pPr>
    </w:p>
    <w:p w14:paraId="372ED661" w14:textId="77777777" w:rsidR="000F69D1" w:rsidRDefault="0001254B" w:rsidP="009A2A93">
      <w:pPr>
        <w:ind w:firstLine="720"/>
      </w:pPr>
      <w:r>
        <w:rPr>
          <w:color w:val="242021"/>
        </w:rPr>
        <w:t>W</w:t>
      </w:r>
      <w:r w:rsidR="001A0930">
        <w:rPr>
          <w:color w:val="242021"/>
        </w:rPr>
        <w:t xml:space="preserve">ith reference to </w:t>
      </w:r>
      <w:r w:rsidR="001A0930" w:rsidRPr="00422DE7">
        <w:rPr>
          <w:i/>
          <w:color w:val="242021"/>
        </w:rPr>
        <w:t xml:space="preserve">Figure </w:t>
      </w:r>
      <w:r w:rsidR="00422DE7" w:rsidRPr="00422DE7">
        <w:rPr>
          <w:i/>
          <w:color w:val="242021"/>
        </w:rPr>
        <w:t>1</w:t>
      </w:r>
      <w:r w:rsidR="001A0930">
        <w:rPr>
          <w:color w:val="242021"/>
        </w:rPr>
        <w:t>, w</w:t>
      </w:r>
      <w:r w:rsidR="00B57549">
        <w:rPr>
          <w:color w:val="242021"/>
        </w:rPr>
        <w:t xml:space="preserve">e </w:t>
      </w:r>
      <w:r w:rsidR="00D7166C">
        <w:rPr>
          <w:color w:val="242021"/>
        </w:rPr>
        <w:t xml:space="preserve">seek comment on the </w:t>
      </w:r>
      <w:r w:rsidR="008C6E64">
        <w:rPr>
          <w:color w:val="242021"/>
        </w:rPr>
        <w:t xml:space="preserve">appropriate </w:t>
      </w:r>
      <w:r w:rsidR="000F69D1" w:rsidRPr="004F0878">
        <w:rPr>
          <w:szCs w:val="22"/>
        </w:rPr>
        <w:t>point</w:t>
      </w:r>
      <w:r w:rsidR="00D7166C">
        <w:rPr>
          <w:szCs w:val="22"/>
        </w:rPr>
        <w:t>s</w:t>
      </w:r>
      <w:r w:rsidR="000F69D1" w:rsidRPr="004F0878">
        <w:rPr>
          <w:szCs w:val="22"/>
        </w:rPr>
        <w:t xml:space="preserve"> in the </w:t>
      </w:r>
      <w:r w:rsidR="000F69D1">
        <w:rPr>
          <w:szCs w:val="22"/>
        </w:rPr>
        <w:t xml:space="preserve">IPAWS </w:t>
      </w:r>
      <w:r w:rsidR="000F69D1" w:rsidRPr="004F0878">
        <w:rPr>
          <w:szCs w:val="22"/>
        </w:rPr>
        <w:t xml:space="preserve">alert dissemination process </w:t>
      </w:r>
      <w:r w:rsidR="00D7166C">
        <w:rPr>
          <w:szCs w:val="22"/>
        </w:rPr>
        <w:t>from which we should measure</w:t>
      </w:r>
      <w:r w:rsidR="000F69D1" w:rsidRPr="004F0878">
        <w:rPr>
          <w:szCs w:val="22"/>
        </w:rPr>
        <w:t xml:space="preserve"> </w:t>
      </w:r>
      <w:r w:rsidR="00D7166C">
        <w:rPr>
          <w:szCs w:val="22"/>
        </w:rPr>
        <w:t xml:space="preserve">latency.  Would it be appropriate to </w:t>
      </w:r>
      <w:r w:rsidR="00D7166C" w:rsidRPr="004F0878">
        <w:rPr>
          <w:szCs w:val="22"/>
        </w:rPr>
        <w:t>measur</w:t>
      </w:r>
      <w:r w:rsidR="00D7166C">
        <w:rPr>
          <w:szCs w:val="22"/>
        </w:rPr>
        <w:t>e</w:t>
      </w:r>
      <w:r w:rsidR="00D7166C" w:rsidRPr="004F0878">
        <w:rPr>
          <w:szCs w:val="22"/>
        </w:rPr>
        <w:t xml:space="preserve"> </w:t>
      </w:r>
      <w:r w:rsidR="00E369DD">
        <w:rPr>
          <w:szCs w:val="22"/>
        </w:rPr>
        <w:t xml:space="preserve">latency from the </w:t>
      </w:r>
      <w:r w:rsidR="00E369DD" w:rsidRPr="00571F97">
        <w:t>moment the alert is received by the IPAWS A-interface</w:t>
      </w:r>
      <w:r w:rsidR="00E369DD" w:rsidRPr="004F0878">
        <w:rPr>
          <w:szCs w:val="22"/>
        </w:rPr>
        <w:t xml:space="preserve"> </w:t>
      </w:r>
      <w:r w:rsidR="00E369DD">
        <w:rPr>
          <w:szCs w:val="22"/>
        </w:rPr>
        <w:t>to the moment it is delivered to</w:t>
      </w:r>
      <w:r w:rsidR="000F69D1" w:rsidRPr="004F0878">
        <w:rPr>
          <w:szCs w:val="22"/>
        </w:rPr>
        <w:t xml:space="preserve"> an end user</w:t>
      </w:r>
      <w:r w:rsidR="00E369DD">
        <w:rPr>
          <w:szCs w:val="22"/>
        </w:rPr>
        <w:t>?</w:t>
      </w:r>
      <w:r w:rsidR="008C6E64">
        <w:t xml:space="preserve">  We seek comment on this </w:t>
      </w:r>
      <w:r w:rsidR="00E369DD">
        <w:t>approach</w:t>
      </w:r>
      <w:r w:rsidR="008C6E64">
        <w:t xml:space="preserve">.  Commenters that wish to offer alternatives should do so with specificity.  Such alternatives could include </w:t>
      </w:r>
      <w:r w:rsidR="000F69D1" w:rsidRPr="00571F97">
        <w:t>measuring from the moment that a seismic sensor detects seismic activity of sufficient severity to merit an EEW</w:t>
      </w:r>
      <w:r w:rsidR="008C6E64">
        <w:t>,</w:t>
      </w:r>
      <w:r w:rsidR="00944452">
        <w:rPr>
          <w:rStyle w:val="FootnoteReference"/>
        </w:rPr>
        <w:footnoteReference w:id="10"/>
      </w:r>
      <w:r w:rsidR="000F69D1" w:rsidRPr="00571F97">
        <w:t xml:space="preserve"> from the time that the alert is received </w:t>
      </w:r>
      <w:r w:rsidR="00944452">
        <w:t xml:space="preserve">by </w:t>
      </w:r>
      <w:r w:rsidR="000F69D1" w:rsidRPr="00571F97">
        <w:t>the IPAWS-OPEN alert aggregator</w:t>
      </w:r>
      <w:r w:rsidR="008C6E64">
        <w:t xml:space="preserve">, or </w:t>
      </w:r>
      <w:r w:rsidR="000F69D1" w:rsidRPr="00571F97">
        <w:t>from the time the alert is received at the gateway of the disseminating entity (</w:t>
      </w:r>
      <w:r w:rsidR="000F69D1" w:rsidRPr="00571F97">
        <w:rPr>
          <w:i/>
        </w:rPr>
        <w:t>e.g.</w:t>
      </w:r>
      <w:r w:rsidR="000F69D1" w:rsidRPr="00571F97">
        <w:t>, CMS providers or EAS Participants)</w:t>
      </w:r>
      <w:r w:rsidR="008C6E64">
        <w:t>.</w:t>
      </w:r>
      <w:r w:rsidR="000F69D1" w:rsidRPr="00AE33C8">
        <w:rPr>
          <w:rStyle w:val="FootnoteReference"/>
        </w:rPr>
        <w:footnoteReference w:id="11"/>
      </w:r>
      <w:r w:rsidR="000F69D1" w:rsidRPr="00571F97">
        <w:t xml:space="preserve">  </w:t>
      </w:r>
    </w:p>
    <w:p w14:paraId="1AE321C1" w14:textId="77777777" w:rsidR="00D7166C" w:rsidRPr="00571F97" w:rsidRDefault="00D7166C" w:rsidP="009A2A93">
      <w:pPr>
        <w:ind w:firstLine="720"/>
      </w:pPr>
    </w:p>
    <w:p w14:paraId="1692ACC7" w14:textId="77777777" w:rsidR="000F69D1" w:rsidRPr="00AE33C8" w:rsidRDefault="000F69D1" w:rsidP="00D7166C">
      <w:pPr>
        <w:ind w:firstLine="720"/>
      </w:pPr>
      <w:r w:rsidRPr="00AE33C8">
        <w:t xml:space="preserve">For each potential demarcation point, including and in addition to those </w:t>
      </w:r>
      <w:r w:rsidR="00FA134B" w:rsidRPr="00AE33C8">
        <w:t>specifi</w:t>
      </w:r>
      <w:r w:rsidR="00FA134B">
        <w:t>ed</w:t>
      </w:r>
      <w:r w:rsidRPr="00AE33C8">
        <w:t xml:space="preserve"> here, we seek comment on the relative benefits and weaknesses of beginning to measure EEW delivery time from that point.  In addition, we seek comment on the effect </w:t>
      </w:r>
      <w:r w:rsidR="006E5AF4">
        <w:t xml:space="preserve">that </w:t>
      </w:r>
      <w:r w:rsidRPr="00AE33C8">
        <w:t xml:space="preserve">each particular starting point would have on the technical feasibility of delivering </w:t>
      </w:r>
      <w:r w:rsidR="006E5AF4">
        <w:t>EEWs to the public in fewer</w:t>
      </w:r>
      <w:r w:rsidRPr="00AE33C8">
        <w:t xml:space="preserve"> than three seconds.</w:t>
      </w:r>
      <w:r w:rsidR="008233CE">
        <w:t xml:space="preserve">  </w:t>
      </w:r>
    </w:p>
    <w:p w14:paraId="13FB0299" w14:textId="77777777" w:rsidR="000F69D1" w:rsidRDefault="000F69D1" w:rsidP="00E514F4"/>
    <w:p w14:paraId="1F9F52D1" w14:textId="77777777" w:rsidR="00E514F4" w:rsidRPr="00754052" w:rsidRDefault="009A2A93" w:rsidP="000F69D1">
      <w:pPr>
        <w:ind w:firstLine="720"/>
      </w:pPr>
      <w:r>
        <w:rPr>
          <w:szCs w:val="22"/>
        </w:rPr>
        <w:t xml:space="preserve">Based on the </w:t>
      </w:r>
      <w:r w:rsidR="00422DE7">
        <w:rPr>
          <w:szCs w:val="22"/>
        </w:rPr>
        <w:t xml:space="preserve">enumerated </w:t>
      </w:r>
      <w:r>
        <w:rPr>
          <w:szCs w:val="22"/>
        </w:rPr>
        <w:t xml:space="preserve">steps </w:t>
      </w:r>
      <w:r w:rsidR="001A0930">
        <w:rPr>
          <w:szCs w:val="22"/>
        </w:rPr>
        <w:t xml:space="preserve">presented </w:t>
      </w:r>
      <w:r>
        <w:rPr>
          <w:szCs w:val="22"/>
        </w:rPr>
        <w:t xml:space="preserve">in </w:t>
      </w:r>
      <w:r w:rsidRPr="00487383">
        <w:rPr>
          <w:i/>
          <w:szCs w:val="22"/>
        </w:rPr>
        <w:t xml:space="preserve">Figure </w:t>
      </w:r>
      <w:r w:rsidR="00422DE7">
        <w:rPr>
          <w:i/>
          <w:szCs w:val="22"/>
        </w:rPr>
        <w:t>1</w:t>
      </w:r>
      <w:r>
        <w:rPr>
          <w:szCs w:val="22"/>
        </w:rPr>
        <w:t xml:space="preserve">, </w:t>
      </w:r>
      <w:r w:rsidR="00CC3AEF">
        <w:rPr>
          <w:szCs w:val="22"/>
        </w:rPr>
        <w:t xml:space="preserve">we seek </w:t>
      </w:r>
      <w:r w:rsidR="00AB5760">
        <w:rPr>
          <w:szCs w:val="22"/>
        </w:rPr>
        <w:t>information</w:t>
      </w:r>
      <w:r w:rsidR="00CC3AEF">
        <w:rPr>
          <w:szCs w:val="22"/>
        </w:rPr>
        <w:t xml:space="preserve"> on the following:</w:t>
      </w:r>
    </w:p>
    <w:p w14:paraId="3E38EE59" w14:textId="77777777" w:rsidR="00E514F4" w:rsidRPr="00F91D13" w:rsidRDefault="00D56CFA" w:rsidP="00A323F3">
      <w:pPr>
        <w:tabs>
          <w:tab w:val="left" w:pos="3150"/>
        </w:tabs>
        <w:rPr>
          <w:szCs w:val="22"/>
        </w:rPr>
      </w:pPr>
      <w:r>
        <w:rPr>
          <w:szCs w:val="22"/>
        </w:rPr>
        <w:tab/>
      </w:r>
    </w:p>
    <w:p w14:paraId="291C9EAE" w14:textId="77777777" w:rsidR="00E514F4" w:rsidRPr="00F91D13" w:rsidRDefault="00E514F4" w:rsidP="00E514F4">
      <w:pPr>
        <w:pStyle w:val="ListParagraph"/>
        <w:numPr>
          <w:ilvl w:val="0"/>
          <w:numId w:val="12"/>
        </w:numPr>
        <w:rPr>
          <w:rFonts w:ascii="Times New Roman" w:hAnsi="Times New Roman" w:cs="Times New Roman"/>
        </w:rPr>
      </w:pPr>
      <w:r w:rsidRPr="00F91D13">
        <w:rPr>
          <w:rFonts w:ascii="Times New Roman" w:hAnsi="Times New Roman" w:cs="Times New Roman"/>
        </w:rPr>
        <w:t xml:space="preserve">How long would it would take </w:t>
      </w:r>
      <w:r>
        <w:rPr>
          <w:rFonts w:ascii="Times New Roman" w:hAnsi="Times New Roman" w:cs="Times New Roman"/>
        </w:rPr>
        <w:t xml:space="preserve">an alert originator </w:t>
      </w:r>
      <w:r w:rsidRPr="00F91D13">
        <w:rPr>
          <w:rFonts w:ascii="Times New Roman" w:hAnsi="Times New Roman" w:cs="Times New Roman"/>
        </w:rPr>
        <w:t>to generate an EEW and trans</w:t>
      </w:r>
      <w:r w:rsidR="008F726A">
        <w:rPr>
          <w:rFonts w:ascii="Times New Roman" w:hAnsi="Times New Roman" w:cs="Times New Roman"/>
        </w:rPr>
        <w:t>mit it to IPAWS?  Would public</w:t>
      </w:r>
      <w:r w:rsidRPr="00F91D13">
        <w:rPr>
          <w:rFonts w:ascii="Times New Roman" w:hAnsi="Times New Roman" w:cs="Times New Roman"/>
        </w:rPr>
        <w:t xml:space="preserve">ly available latency figures for Internet backbone providers be sufficient to estimate the transmission time from the </w:t>
      </w:r>
      <w:r>
        <w:rPr>
          <w:rFonts w:ascii="Times New Roman" w:hAnsi="Times New Roman" w:cs="Times New Roman"/>
        </w:rPr>
        <w:t>alert initiator</w:t>
      </w:r>
      <w:r w:rsidRPr="00F91D13">
        <w:rPr>
          <w:rFonts w:ascii="Times New Roman" w:hAnsi="Times New Roman" w:cs="Times New Roman"/>
        </w:rPr>
        <w:t xml:space="preserve"> to the alert aggregator?</w:t>
      </w:r>
      <w:r w:rsidRPr="00F91D13">
        <w:rPr>
          <w:rFonts w:ascii="Times New Roman" w:hAnsi="Times New Roman" w:cs="Times New Roman"/>
          <w:vertAlign w:val="superscript"/>
        </w:rPr>
        <w:footnoteReference w:id="12"/>
      </w:r>
    </w:p>
    <w:p w14:paraId="4A004497" w14:textId="77777777" w:rsidR="00E514F4" w:rsidRDefault="00E514F4" w:rsidP="00E514F4">
      <w:pPr>
        <w:pStyle w:val="ListParagraph"/>
        <w:numPr>
          <w:ilvl w:val="0"/>
          <w:numId w:val="12"/>
        </w:numPr>
        <w:rPr>
          <w:rFonts w:ascii="Times New Roman" w:hAnsi="Times New Roman" w:cs="Times New Roman"/>
        </w:rPr>
      </w:pPr>
      <w:r w:rsidRPr="00FC2DBB">
        <w:rPr>
          <w:rFonts w:ascii="Times New Roman" w:hAnsi="Times New Roman" w:cs="Times New Roman"/>
        </w:rPr>
        <w:t xml:space="preserve">How long does it take </w:t>
      </w:r>
      <w:r>
        <w:rPr>
          <w:rFonts w:ascii="Times New Roman" w:hAnsi="Times New Roman" w:cs="Times New Roman"/>
        </w:rPr>
        <w:t xml:space="preserve">IPAWS to </w:t>
      </w:r>
      <w:r w:rsidR="00965D1E">
        <w:rPr>
          <w:rFonts w:ascii="Times New Roman" w:hAnsi="Times New Roman" w:cs="Times New Roman"/>
        </w:rPr>
        <w:t>authenticate and</w:t>
      </w:r>
      <w:r>
        <w:rPr>
          <w:rFonts w:ascii="Times New Roman" w:hAnsi="Times New Roman" w:cs="Times New Roman"/>
        </w:rPr>
        <w:t xml:space="preserve"> validate an alert?</w:t>
      </w:r>
    </w:p>
    <w:p w14:paraId="0754245C" w14:textId="77777777" w:rsidR="00E514F4" w:rsidRPr="00FC2DBB" w:rsidRDefault="00E514F4" w:rsidP="00E514F4">
      <w:pPr>
        <w:pStyle w:val="ListParagraph"/>
        <w:numPr>
          <w:ilvl w:val="0"/>
          <w:numId w:val="12"/>
        </w:numPr>
        <w:rPr>
          <w:rFonts w:ascii="Times New Roman" w:hAnsi="Times New Roman" w:cs="Times New Roman"/>
        </w:rPr>
      </w:pPr>
      <w:r>
        <w:rPr>
          <w:rFonts w:ascii="Times New Roman" w:hAnsi="Times New Roman" w:cs="Times New Roman"/>
        </w:rPr>
        <w:t>How long does it take IPAWS</w:t>
      </w:r>
      <w:r w:rsidRPr="00FC2DBB">
        <w:rPr>
          <w:rFonts w:ascii="Times New Roman" w:hAnsi="Times New Roman" w:cs="Times New Roman"/>
        </w:rPr>
        <w:t xml:space="preserve"> </w:t>
      </w:r>
      <w:r>
        <w:rPr>
          <w:rFonts w:ascii="Times New Roman" w:hAnsi="Times New Roman" w:cs="Times New Roman"/>
        </w:rPr>
        <w:t>to process an alert</w:t>
      </w:r>
      <w:r w:rsidRPr="00FC2DBB">
        <w:rPr>
          <w:rFonts w:ascii="Times New Roman" w:hAnsi="Times New Roman" w:cs="Times New Roman"/>
        </w:rPr>
        <w:t xml:space="preserve"> before it is ready for retransmission to associated alerting systems?</w:t>
      </w:r>
    </w:p>
    <w:p w14:paraId="4203862F" w14:textId="77777777" w:rsidR="00377B29" w:rsidRDefault="00E514F4" w:rsidP="00377B29">
      <w:pPr>
        <w:pStyle w:val="ListParagraph"/>
        <w:numPr>
          <w:ilvl w:val="0"/>
          <w:numId w:val="12"/>
        </w:numPr>
        <w:rPr>
          <w:rFonts w:ascii="Times New Roman" w:hAnsi="Times New Roman" w:cs="Times New Roman"/>
        </w:rPr>
      </w:pPr>
      <w:r w:rsidRPr="00FC2DBB">
        <w:rPr>
          <w:rFonts w:ascii="Times New Roman" w:hAnsi="Times New Roman" w:cs="Times New Roman"/>
        </w:rPr>
        <w:t xml:space="preserve">How long does it take </w:t>
      </w:r>
      <w:r>
        <w:rPr>
          <w:rFonts w:ascii="Times New Roman" w:hAnsi="Times New Roman" w:cs="Times New Roman"/>
        </w:rPr>
        <w:t xml:space="preserve">a </w:t>
      </w:r>
      <w:r w:rsidRPr="00FC2DBB">
        <w:rPr>
          <w:rFonts w:ascii="Times New Roman" w:hAnsi="Times New Roman" w:cs="Times New Roman"/>
        </w:rPr>
        <w:t xml:space="preserve">CMS Provider </w:t>
      </w:r>
      <w:r>
        <w:rPr>
          <w:rFonts w:ascii="Times New Roman" w:hAnsi="Times New Roman" w:cs="Times New Roman"/>
        </w:rPr>
        <w:t xml:space="preserve">to transmit an alert to an end user’s mobile device from the time it receives </w:t>
      </w:r>
      <w:r w:rsidR="00965D1E">
        <w:rPr>
          <w:rFonts w:ascii="Times New Roman" w:hAnsi="Times New Roman" w:cs="Times New Roman"/>
        </w:rPr>
        <w:t>the</w:t>
      </w:r>
      <w:r>
        <w:rPr>
          <w:rFonts w:ascii="Times New Roman" w:hAnsi="Times New Roman" w:cs="Times New Roman"/>
        </w:rPr>
        <w:t xml:space="preserve"> alert at its alert gateway</w:t>
      </w:r>
      <w:r w:rsidRPr="00FC2DBB">
        <w:rPr>
          <w:rFonts w:ascii="Times New Roman" w:hAnsi="Times New Roman" w:cs="Times New Roman"/>
        </w:rPr>
        <w:t>?</w:t>
      </w:r>
      <w:r>
        <w:rPr>
          <w:rFonts w:ascii="Times New Roman" w:hAnsi="Times New Roman" w:cs="Times New Roman"/>
        </w:rPr>
        <w:t xml:space="preserve">  Response</w:t>
      </w:r>
      <w:r w:rsidR="00F65445">
        <w:rPr>
          <w:rFonts w:ascii="Times New Roman" w:hAnsi="Times New Roman" w:cs="Times New Roman"/>
        </w:rPr>
        <w:t>s</w:t>
      </w:r>
      <w:r>
        <w:rPr>
          <w:rFonts w:ascii="Times New Roman" w:hAnsi="Times New Roman" w:cs="Times New Roman"/>
        </w:rPr>
        <w:t xml:space="preserve"> to this </w:t>
      </w:r>
      <w:r w:rsidR="009A2A93">
        <w:rPr>
          <w:rFonts w:ascii="Times New Roman" w:hAnsi="Times New Roman" w:cs="Times New Roman"/>
        </w:rPr>
        <w:t xml:space="preserve">question </w:t>
      </w:r>
      <w:r>
        <w:rPr>
          <w:rFonts w:ascii="Times New Roman" w:hAnsi="Times New Roman" w:cs="Times New Roman"/>
        </w:rPr>
        <w:t>should include</w:t>
      </w:r>
      <w:r w:rsidR="00377B29">
        <w:rPr>
          <w:rFonts w:ascii="Times New Roman" w:hAnsi="Times New Roman" w:cs="Times New Roman"/>
        </w:rPr>
        <w:t xml:space="preserve"> </w:t>
      </w:r>
    </w:p>
    <w:p w14:paraId="1C3F8BB9" w14:textId="0C84202A" w:rsidR="00E514F4" w:rsidRDefault="00E514F4" w:rsidP="00CA4683">
      <w:pPr>
        <w:pStyle w:val="ListParagraph"/>
        <w:numPr>
          <w:ilvl w:val="1"/>
          <w:numId w:val="12"/>
        </w:numPr>
        <w:rPr>
          <w:rFonts w:ascii="Times New Roman" w:hAnsi="Times New Roman" w:cs="Times New Roman"/>
        </w:rPr>
      </w:pPr>
      <w:r w:rsidRPr="00377B29">
        <w:rPr>
          <w:rFonts w:ascii="Times New Roman" w:hAnsi="Times New Roman" w:cs="Times New Roman"/>
        </w:rPr>
        <w:t>an analysis of all alert distribution systems</w:t>
      </w:r>
      <w:r w:rsidR="00965D1E" w:rsidRPr="00377B29">
        <w:rPr>
          <w:rFonts w:ascii="Times New Roman" w:hAnsi="Times New Roman" w:cs="Times New Roman"/>
        </w:rPr>
        <w:t>,</w:t>
      </w:r>
      <w:r w:rsidRPr="00377B29">
        <w:rPr>
          <w:rFonts w:ascii="Times New Roman" w:hAnsi="Times New Roman" w:cs="Times New Roman"/>
        </w:rPr>
        <w:t xml:space="preserve"> </w:t>
      </w:r>
      <w:r w:rsidR="00F65445">
        <w:rPr>
          <w:rFonts w:ascii="Times New Roman" w:hAnsi="Times New Roman" w:cs="Times New Roman"/>
        </w:rPr>
        <w:t xml:space="preserve">including without limitation those that are </w:t>
      </w:r>
      <w:r w:rsidRPr="00377B29">
        <w:rPr>
          <w:rFonts w:ascii="Times New Roman" w:hAnsi="Times New Roman" w:cs="Times New Roman"/>
        </w:rPr>
        <w:t>cell broadcast- or app-based</w:t>
      </w:r>
      <w:r w:rsidR="00965D1E" w:rsidRPr="00377B29">
        <w:rPr>
          <w:rFonts w:ascii="Times New Roman" w:hAnsi="Times New Roman" w:cs="Times New Roman"/>
        </w:rPr>
        <w:t>,</w:t>
      </w:r>
      <w:r w:rsidRPr="00377B29">
        <w:rPr>
          <w:rFonts w:ascii="Times New Roman" w:hAnsi="Times New Roman" w:cs="Times New Roman"/>
        </w:rPr>
        <w:t xml:space="preserve"> that are responsible for alert dissemination</w:t>
      </w:r>
      <w:r w:rsidR="00965D1E" w:rsidRPr="00377B29">
        <w:rPr>
          <w:rFonts w:ascii="Times New Roman" w:hAnsi="Times New Roman" w:cs="Times New Roman"/>
        </w:rPr>
        <w:t xml:space="preserve"> via WEA.</w:t>
      </w:r>
    </w:p>
    <w:p w14:paraId="4CDFF918" w14:textId="326A866A" w:rsidR="00377B29" w:rsidRDefault="00377B29" w:rsidP="00CA4683">
      <w:pPr>
        <w:pStyle w:val="ListParagraph"/>
        <w:numPr>
          <w:ilvl w:val="1"/>
          <w:numId w:val="12"/>
        </w:numPr>
        <w:rPr>
          <w:rFonts w:ascii="Times New Roman" w:hAnsi="Times New Roman" w:cs="Times New Roman"/>
        </w:rPr>
      </w:pPr>
      <w:r>
        <w:rPr>
          <w:rFonts w:ascii="Times New Roman" w:hAnsi="Times New Roman" w:cs="Times New Roman"/>
        </w:rPr>
        <w:t>an analysis of whether members of the public in rural and underserved area</w:t>
      </w:r>
      <w:r w:rsidR="001E1478">
        <w:rPr>
          <w:rFonts w:ascii="Times New Roman" w:hAnsi="Times New Roman" w:cs="Times New Roman"/>
        </w:rPr>
        <w:t>s</w:t>
      </w:r>
      <w:r>
        <w:rPr>
          <w:rFonts w:ascii="Times New Roman" w:hAnsi="Times New Roman" w:cs="Times New Roman"/>
        </w:rPr>
        <w:t xml:space="preserve"> would </w:t>
      </w:r>
      <w:r w:rsidR="00CA4683">
        <w:rPr>
          <w:rFonts w:ascii="Times New Roman" w:hAnsi="Times New Roman" w:cs="Times New Roman"/>
        </w:rPr>
        <w:t xml:space="preserve">experience </w:t>
      </w:r>
      <w:r>
        <w:rPr>
          <w:rFonts w:ascii="Times New Roman" w:hAnsi="Times New Roman" w:cs="Times New Roman"/>
        </w:rPr>
        <w:t xml:space="preserve">greater delays in the delivery of </w:t>
      </w:r>
      <w:r w:rsidR="00B05AF6">
        <w:rPr>
          <w:rFonts w:ascii="Times New Roman" w:hAnsi="Times New Roman" w:cs="Times New Roman"/>
        </w:rPr>
        <w:t xml:space="preserve">WEA </w:t>
      </w:r>
      <w:r>
        <w:rPr>
          <w:rFonts w:ascii="Times New Roman" w:hAnsi="Times New Roman" w:cs="Times New Roman"/>
        </w:rPr>
        <w:t>EEWs</w:t>
      </w:r>
      <w:r w:rsidR="00F65445">
        <w:rPr>
          <w:rFonts w:ascii="Times New Roman" w:hAnsi="Times New Roman" w:cs="Times New Roman"/>
        </w:rPr>
        <w:t>.  Such analysis should include whether there are any earthquake</w:t>
      </w:r>
      <w:r w:rsidR="004D7E92">
        <w:rPr>
          <w:rFonts w:ascii="Times New Roman" w:hAnsi="Times New Roman" w:cs="Times New Roman"/>
        </w:rPr>
        <w:t>-</w:t>
      </w:r>
      <w:r w:rsidR="00F65445">
        <w:rPr>
          <w:rFonts w:ascii="Times New Roman" w:hAnsi="Times New Roman" w:cs="Times New Roman"/>
        </w:rPr>
        <w:t xml:space="preserve">prone areas in which there are </w:t>
      </w:r>
      <w:r w:rsidR="00615F77">
        <w:rPr>
          <w:rFonts w:ascii="Times New Roman" w:hAnsi="Times New Roman" w:cs="Times New Roman"/>
        </w:rPr>
        <w:t xml:space="preserve">no </w:t>
      </w:r>
      <w:r w:rsidR="001E1478">
        <w:rPr>
          <w:rFonts w:ascii="Times New Roman" w:hAnsi="Times New Roman" w:cs="Times New Roman"/>
        </w:rPr>
        <w:t xml:space="preserve">CMS Participants that have agreed to provide </w:t>
      </w:r>
      <w:r w:rsidR="00F65445">
        <w:rPr>
          <w:rFonts w:ascii="Times New Roman" w:hAnsi="Times New Roman" w:cs="Times New Roman"/>
        </w:rPr>
        <w:t>WEA</w:t>
      </w:r>
      <w:r w:rsidR="001E1478">
        <w:rPr>
          <w:rFonts w:ascii="Times New Roman" w:hAnsi="Times New Roman" w:cs="Times New Roman"/>
        </w:rPr>
        <w:t>.</w:t>
      </w:r>
      <w:r w:rsidR="00F65445">
        <w:rPr>
          <w:rFonts w:ascii="Times New Roman" w:hAnsi="Times New Roman" w:cs="Times New Roman"/>
        </w:rPr>
        <w:t xml:space="preserve"> </w:t>
      </w:r>
    </w:p>
    <w:p w14:paraId="2FC65459" w14:textId="6C37932F" w:rsidR="006142EA" w:rsidRDefault="00377B29" w:rsidP="00CA4683">
      <w:pPr>
        <w:pStyle w:val="ListParagraph"/>
        <w:numPr>
          <w:ilvl w:val="1"/>
          <w:numId w:val="12"/>
        </w:numPr>
        <w:rPr>
          <w:rFonts w:ascii="Times New Roman" w:hAnsi="Times New Roman" w:cs="Times New Roman"/>
        </w:rPr>
      </w:pPr>
      <w:r>
        <w:rPr>
          <w:rFonts w:ascii="Times New Roman" w:hAnsi="Times New Roman" w:cs="Times New Roman"/>
        </w:rPr>
        <w:t xml:space="preserve">an analysis of whether </w:t>
      </w:r>
      <w:r w:rsidR="00CA4683">
        <w:rPr>
          <w:rFonts w:ascii="Times New Roman" w:hAnsi="Times New Roman" w:cs="Times New Roman"/>
        </w:rPr>
        <w:t>customers of prepaid services</w:t>
      </w:r>
      <w:r w:rsidR="00026003">
        <w:rPr>
          <w:rFonts w:ascii="Times New Roman" w:hAnsi="Times New Roman" w:cs="Times New Roman"/>
        </w:rPr>
        <w:t xml:space="preserve"> </w:t>
      </w:r>
      <w:r w:rsidR="00CA4683">
        <w:rPr>
          <w:rFonts w:ascii="Times New Roman" w:hAnsi="Times New Roman" w:cs="Times New Roman"/>
        </w:rPr>
        <w:t>or</w:t>
      </w:r>
      <w:r w:rsidR="00026003">
        <w:rPr>
          <w:rFonts w:ascii="Times New Roman" w:hAnsi="Times New Roman" w:cs="Times New Roman"/>
        </w:rPr>
        <w:t xml:space="preserve"> services provided by resellers </w:t>
      </w:r>
      <w:r w:rsidR="004D7E92">
        <w:rPr>
          <w:rFonts w:ascii="Times New Roman" w:hAnsi="Times New Roman" w:cs="Times New Roman"/>
        </w:rPr>
        <w:t xml:space="preserve">currently receive WEA alerts, and of whether they </w:t>
      </w:r>
      <w:r w:rsidR="00CA4683">
        <w:rPr>
          <w:rFonts w:ascii="Times New Roman" w:hAnsi="Times New Roman" w:cs="Times New Roman"/>
        </w:rPr>
        <w:t xml:space="preserve">would experience greater delays </w:t>
      </w:r>
      <w:r w:rsidR="00F65445">
        <w:rPr>
          <w:rFonts w:ascii="Times New Roman" w:hAnsi="Times New Roman" w:cs="Times New Roman"/>
        </w:rPr>
        <w:t>in the delivery of EEWs</w:t>
      </w:r>
      <w:r w:rsidR="00026003">
        <w:rPr>
          <w:rFonts w:ascii="Times New Roman" w:hAnsi="Times New Roman" w:cs="Times New Roman"/>
        </w:rPr>
        <w:t>.</w:t>
      </w:r>
    </w:p>
    <w:p w14:paraId="70D020AD" w14:textId="484A161B" w:rsidR="006142EA" w:rsidRPr="00F05A0F" w:rsidRDefault="006142EA" w:rsidP="00F05A0F">
      <w:pPr>
        <w:pStyle w:val="ListParagraph"/>
        <w:numPr>
          <w:ilvl w:val="1"/>
          <w:numId w:val="12"/>
        </w:numPr>
        <w:rPr>
          <w:rFonts w:ascii="Times New Roman" w:hAnsi="Times New Roman" w:cs="Times New Roman"/>
        </w:rPr>
      </w:pPr>
      <w:r w:rsidRPr="00AD33B5">
        <w:rPr>
          <w:rFonts w:ascii="Times New Roman" w:hAnsi="Times New Roman" w:cs="Times New Roman"/>
        </w:rPr>
        <w:t xml:space="preserve">an analysis of whether a </w:t>
      </w:r>
      <w:r w:rsidR="00606A78">
        <w:rPr>
          <w:rFonts w:ascii="Times New Roman" w:hAnsi="Times New Roman" w:cs="Times New Roman"/>
        </w:rPr>
        <w:t>consumer using a</w:t>
      </w:r>
      <w:r w:rsidR="006857E1">
        <w:rPr>
          <w:rFonts w:ascii="Times New Roman" w:hAnsi="Times New Roman" w:cs="Times New Roman"/>
        </w:rPr>
        <w:t xml:space="preserve"> </w:t>
      </w:r>
      <w:r>
        <w:rPr>
          <w:rFonts w:ascii="Times New Roman" w:hAnsi="Times New Roman" w:cs="Times New Roman"/>
        </w:rPr>
        <w:t>Wi-Fi (</w:t>
      </w:r>
      <w:r w:rsidRPr="00AD33B5">
        <w:rPr>
          <w:rFonts w:ascii="Times New Roman" w:hAnsi="Times New Roman" w:cs="Times New Roman"/>
        </w:rPr>
        <w:t>provider, enterprise, or non-affiliated</w:t>
      </w:r>
      <w:r>
        <w:rPr>
          <w:rFonts w:ascii="Times New Roman" w:hAnsi="Times New Roman" w:cs="Times New Roman"/>
        </w:rPr>
        <w:t xml:space="preserve">) </w:t>
      </w:r>
      <w:r w:rsidR="006857E1">
        <w:rPr>
          <w:rFonts w:ascii="Times New Roman" w:hAnsi="Times New Roman" w:cs="Times New Roman"/>
        </w:rPr>
        <w:t xml:space="preserve">only </w:t>
      </w:r>
      <w:r w:rsidR="00606A78">
        <w:rPr>
          <w:rFonts w:ascii="Times New Roman" w:hAnsi="Times New Roman" w:cs="Times New Roman"/>
        </w:rPr>
        <w:t xml:space="preserve">mobile device </w:t>
      </w:r>
      <w:r>
        <w:rPr>
          <w:rFonts w:ascii="Times New Roman" w:hAnsi="Times New Roman" w:cs="Times New Roman"/>
        </w:rPr>
        <w:t xml:space="preserve">would </w:t>
      </w:r>
      <w:r w:rsidRPr="00AD33B5">
        <w:rPr>
          <w:rFonts w:ascii="Times New Roman" w:hAnsi="Times New Roman" w:cs="Times New Roman"/>
        </w:rPr>
        <w:t>receive a WEA EEW message</w:t>
      </w:r>
      <w:r>
        <w:rPr>
          <w:rFonts w:ascii="Times New Roman" w:hAnsi="Times New Roman" w:cs="Times New Roman"/>
        </w:rPr>
        <w:t>, and if</w:t>
      </w:r>
      <w:r w:rsidRPr="00AD33B5">
        <w:rPr>
          <w:rFonts w:ascii="Times New Roman" w:hAnsi="Times New Roman" w:cs="Times New Roman"/>
        </w:rPr>
        <w:t xml:space="preserve"> so, </w:t>
      </w:r>
      <w:r w:rsidR="00615F77" w:rsidRPr="00F05A0F">
        <w:rPr>
          <w:rFonts w:ascii="Times New Roman" w:hAnsi="Times New Roman" w:cs="Times New Roman"/>
        </w:rPr>
        <w:t xml:space="preserve">whether </w:t>
      </w:r>
      <w:r w:rsidR="006857E1">
        <w:rPr>
          <w:rFonts w:ascii="Times New Roman" w:hAnsi="Times New Roman" w:cs="Times New Roman"/>
        </w:rPr>
        <w:t>such users</w:t>
      </w:r>
      <w:r w:rsidR="005B201D">
        <w:rPr>
          <w:rFonts w:ascii="Times New Roman" w:hAnsi="Times New Roman" w:cs="Times New Roman"/>
        </w:rPr>
        <w:t xml:space="preserve"> </w:t>
      </w:r>
      <w:r w:rsidR="00615F77" w:rsidRPr="00F05A0F">
        <w:rPr>
          <w:rFonts w:ascii="Times New Roman" w:hAnsi="Times New Roman" w:cs="Times New Roman"/>
        </w:rPr>
        <w:t>would experience greater delays in the delivery of EEWs</w:t>
      </w:r>
      <w:r w:rsidR="00026003" w:rsidRPr="00F05A0F">
        <w:rPr>
          <w:rFonts w:ascii="Times New Roman" w:hAnsi="Times New Roman" w:cs="Times New Roman"/>
        </w:rPr>
        <w:t>.</w:t>
      </w:r>
      <w:r w:rsidR="005C7720">
        <w:rPr>
          <w:rStyle w:val="FootnoteReference"/>
          <w:rFonts w:cs="Times New Roman"/>
        </w:rPr>
        <w:footnoteReference w:id="13"/>
      </w:r>
    </w:p>
    <w:p w14:paraId="0A46A251" w14:textId="77777777" w:rsidR="00E514F4" w:rsidRPr="009A2A93" w:rsidRDefault="00E514F4" w:rsidP="00E514F4">
      <w:pPr>
        <w:pStyle w:val="ListParagraph"/>
        <w:numPr>
          <w:ilvl w:val="0"/>
          <w:numId w:val="12"/>
        </w:numPr>
      </w:pPr>
      <w:r w:rsidRPr="00FC2DBB">
        <w:rPr>
          <w:rFonts w:ascii="Times New Roman" w:hAnsi="Times New Roman" w:cs="Times New Roman"/>
        </w:rPr>
        <w:t xml:space="preserve">How long does it take an EAS Participant </w:t>
      </w:r>
      <w:r>
        <w:rPr>
          <w:rFonts w:ascii="Times New Roman" w:hAnsi="Times New Roman" w:cs="Times New Roman"/>
        </w:rPr>
        <w:t xml:space="preserve">to </w:t>
      </w:r>
      <w:r w:rsidR="009A2A93">
        <w:rPr>
          <w:rFonts w:ascii="Times New Roman" w:hAnsi="Times New Roman" w:cs="Times New Roman"/>
        </w:rPr>
        <w:t xml:space="preserve">receive </w:t>
      </w:r>
      <w:r w:rsidRPr="00FC2DBB">
        <w:rPr>
          <w:rFonts w:ascii="Times New Roman" w:hAnsi="Times New Roman" w:cs="Times New Roman"/>
        </w:rPr>
        <w:t xml:space="preserve">a CAP-formatted alert </w:t>
      </w:r>
      <w:r w:rsidR="009A2A93">
        <w:rPr>
          <w:rFonts w:ascii="Times New Roman" w:hAnsi="Times New Roman" w:cs="Times New Roman"/>
        </w:rPr>
        <w:t>from IPAWS</w:t>
      </w:r>
      <w:r w:rsidRPr="00FC2DBB">
        <w:rPr>
          <w:rFonts w:ascii="Times New Roman" w:hAnsi="Times New Roman" w:cs="Times New Roman"/>
        </w:rPr>
        <w:t>?</w:t>
      </w:r>
      <w:r>
        <w:rPr>
          <w:rFonts w:ascii="Times New Roman" w:hAnsi="Times New Roman" w:cs="Times New Roman"/>
        </w:rPr>
        <w:t xml:space="preserve">  </w:t>
      </w:r>
    </w:p>
    <w:p w14:paraId="52CDB89E" w14:textId="77777777" w:rsidR="009A2A93" w:rsidRPr="009A2A93" w:rsidRDefault="009A2A93" w:rsidP="009A2A93">
      <w:pPr>
        <w:pStyle w:val="ListParagraph"/>
        <w:numPr>
          <w:ilvl w:val="0"/>
          <w:numId w:val="12"/>
        </w:numPr>
        <w:rPr>
          <w:rFonts w:ascii="Times New Roman" w:hAnsi="Times New Roman" w:cs="Times New Roman"/>
        </w:rPr>
      </w:pPr>
      <w:r w:rsidRPr="009A2A93">
        <w:rPr>
          <w:rFonts w:ascii="Times New Roman" w:hAnsi="Times New Roman" w:cs="Times New Roman"/>
        </w:rPr>
        <w:t xml:space="preserve">How long does it take an EAS Participant to </w:t>
      </w:r>
      <w:r>
        <w:rPr>
          <w:rFonts w:ascii="Times New Roman" w:hAnsi="Times New Roman" w:cs="Times New Roman"/>
        </w:rPr>
        <w:t xml:space="preserve">deliver </w:t>
      </w:r>
      <w:r w:rsidRPr="009A2A93">
        <w:rPr>
          <w:rFonts w:ascii="Times New Roman" w:hAnsi="Times New Roman" w:cs="Times New Roman"/>
        </w:rPr>
        <w:t xml:space="preserve">a CAP-formatted alert </w:t>
      </w:r>
      <w:r>
        <w:rPr>
          <w:rFonts w:ascii="Times New Roman" w:hAnsi="Times New Roman" w:cs="Times New Roman"/>
        </w:rPr>
        <w:t xml:space="preserve">received </w:t>
      </w:r>
      <w:r w:rsidRPr="009A2A93">
        <w:rPr>
          <w:rFonts w:ascii="Times New Roman" w:hAnsi="Times New Roman" w:cs="Times New Roman"/>
        </w:rPr>
        <w:t xml:space="preserve">from IPAWS to the public?  </w:t>
      </w:r>
    </w:p>
    <w:p w14:paraId="39307245" w14:textId="77777777" w:rsidR="00E514F4" w:rsidRPr="005A2753" w:rsidRDefault="00E514F4" w:rsidP="00E514F4">
      <w:pPr>
        <w:pStyle w:val="ListParagraph"/>
        <w:numPr>
          <w:ilvl w:val="0"/>
          <w:numId w:val="12"/>
        </w:numPr>
      </w:pPr>
      <w:r w:rsidRPr="00FC2DBB">
        <w:rPr>
          <w:rFonts w:ascii="Times New Roman" w:hAnsi="Times New Roman" w:cs="Times New Roman"/>
        </w:rPr>
        <w:t xml:space="preserve">How long does it take an EAS Participant </w:t>
      </w:r>
      <w:r>
        <w:rPr>
          <w:rFonts w:ascii="Times New Roman" w:hAnsi="Times New Roman" w:cs="Times New Roman"/>
        </w:rPr>
        <w:t>to transmit an</w:t>
      </w:r>
      <w:r w:rsidRPr="00FC2DBB">
        <w:rPr>
          <w:rFonts w:ascii="Times New Roman" w:hAnsi="Times New Roman" w:cs="Times New Roman"/>
        </w:rPr>
        <w:t xml:space="preserve"> EAS Protocol-formatted alert </w:t>
      </w:r>
      <w:r>
        <w:rPr>
          <w:rFonts w:ascii="Times New Roman" w:hAnsi="Times New Roman" w:cs="Times New Roman"/>
        </w:rPr>
        <w:t>to the public</w:t>
      </w:r>
      <w:r w:rsidRPr="00FC2DBB">
        <w:rPr>
          <w:rFonts w:ascii="Times New Roman" w:hAnsi="Times New Roman" w:cs="Times New Roman"/>
        </w:rPr>
        <w:t xml:space="preserve"> through the </w:t>
      </w:r>
      <w:r w:rsidR="004F18BA">
        <w:rPr>
          <w:rFonts w:ascii="Times New Roman" w:hAnsi="Times New Roman" w:cs="Times New Roman"/>
        </w:rPr>
        <w:t>broadcast-based “</w:t>
      </w:r>
      <w:r w:rsidRPr="00FC2DBB">
        <w:rPr>
          <w:rFonts w:ascii="Times New Roman" w:hAnsi="Times New Roman" w:cs="Times New Roman"/>
        </w:rPr>
        <w:t xml:space="preserve">daisy </w:t>
      </w:r>
      <w:r w:rsidRPr="00F91D13">
        <w:rPr>
          <w:rFonts w:ascii="Times New Roman" w:hAnsi="Times New Roman" w:cs="Times New Roman"/>
        </w:rPr>
        <w:t>chain</w:t>
      </w:r>
      <w:r w:rsidR="004F18BA">
        <w:rPr>
          <w:rFonts w:ascii="Times New Roman" w:hAnsi="Times New Roman" w:cs="Times New Roman"/>
        </w:rPr>
        <w:t>” architecture</w:t>
      </w:r>
      <w:r w:rsidRPr="00F91D13">
        <w:rPr>
          <w:rFonts w:ascii="Times New Roman" w:hAnsi="Times New Roman" w:cs="Times New Roman"/>
        </w:rPr>
        <w:t>?</w:t>
      </w:r>
      <w:r w:rsidR="003F5362" w:rsidRPr="003F5362">
        <w:rPr>
          <w:rStyle w:val="FootnoteReference"/>
        </w:rPr>
        <w:t xml:space="preserve"> </w:t>
      </w:r>
      <w:r w:rsidR="003F5362" w:rsidRPr="002012F6">
        <w:rPr>
          <w:rStyle w:val="FootnoteReference"/>
        </w:rPr>
        <w:footnoteReference w:id="14"/>
      </w:r>
      <w:r w:rsidRPr="00F91D13">
        <w:rPr>
          <w:rFonts w:ascii="Times New Roman" w:hAnsi="Times New Roman" w:cs="Times New Roman"/>
        </w:rPr>
        <w:t xml:space="preserve">  </w:t>
      </w:r>
    </w:p>
    <w:p w14:paraId="129C97FC" w14:textId="5043F327" w:rsidR="005A2753" w:rsidRPr="00F91D13" w:rsidRDefault="005A2753" w:rsidP="00E514F4">
      <w:pPr>
        <w:pStyle w:val="ListParagraph"/>
        <w:numPr>
          <w:ilvl w:val="0"/>
          <w:numId w:val="12"/>
        </w:numPr>
      </w:pPr>
      <w:r>
        <w:rPr>
          <w:rFonts w:ascii="Times New Roman" w:hAnsi="Times New Roman" w:cs="Times New Roman"/>
        </w:rPr>
        <w:t>Are there members of the public in earthquake</w:t>
      </w:r>
      <w:r w:rsidR="004D7E92">
        <w:rPr>
          <w:rFonts w:ascii="Times New Roman" w:hAnsi="Times New Roman" w:cs="Times New Roman"/>
        </w:rPr>
        <w:t>-</w:t>
      </w:r>
      <w:r>
        <w:rPr>
          <w:rFonts w:ascii="Times New Roman" w:hAnsi="Times New Roman" w:cs="Times New Roman"/>
        </w:rPr>
        <w:t xml:space="preserve">prone areas who receive </w:t>
      </w:r>
      <w:r w:rsidR="004E6C4A">
        <w:rPr>
          <w:rFonts w:ascii="Times New Roman" w:hAnsi="Times New Roman" w:cs="Times New Roman"/>
        </w:rPr>
        <w:t>neither EAS nor</w:t>
      </w:r>
      <w:r>
        <w:rPr>
          <w:rFonts w:ascii="Times New Roman" w:hAnsi="Times New Roman" w:cs="Times New Roman"/>
        </w:rPr>
        <w:t xml:space="preserve"> WEA alerts?  To the extent that this is the </w:t>
      </w:r>
      <w:r w:rsidR="004E6C4A">
        <w:rPr>
          <w:rFonts w:ascii="Times New Roman" w:hAnsi="Times New Roman" w:cs="Times New Roman"/>
        </w:rPr>
        <w:t xml:space="preserve">case, are there other alerting systems associated with IPAWS that can deliver earthquake alerts to such segments of the public?  </w:t>
      </w:r>
    </w:p>
    <w:p w14:paraId="1C7F6D00" w14:textId="77777777" w:rsidR="00E514F4" w:rsidRPr="00007577" w:rsidRDefault="00007577" w:rsidP="00007577">
      <w:pPr>
        <w:pStyle w:val="ListParagraph"/>
        <w:numPr>
          <w:ilvl w:val="0"/>
          <w:numId w:val="12"/>
        </w:numPr>
        <w:rPr>
          <w:rFonts w:ascii="Times New Roman" w:hAnsi="Times New Roman" w:cs="Times New Roman"/>
        </w:rPr>
      </w:pPr>
      <w:r w:rsidRPr="00007577">
        <w:rPr>
          <w:rFonts w:ascii="Times New Roman" w:hAnsi="Times New Roman" w:cs="Times New Roman"/>
        </w:rPr>
        <w:t xml:space="preserve">What formats, </w:t>
      </w:r>
      <w:r w:rsidR="00C51191">
        <w:rPr>
          <w:rFonts w:ascii="Times New Roman" w:hAnsi="Times New Roman" w:cs="Times New Roman"/>
        </w:rPr>
        <w:t xml:space="preserve">signals, cell phone </w:t>
      </w:r>
      <w:r w:rsidRPr="00007577">
        <w:rPr>
          <w:rFonts w:ascii="Times New Roman" w:hAnsi="Times New Roman" w:cs="Times New Roman"/>
        </w:rPr>
        <w:t>protocols, and standards would be necessary at each of the steps involved in providing an EEW alert to the public and how do they impact the time required to deliver an EEW to the public?</w:t>
      </w:r>
      <w:r w:rsidR="001155EA">
        <w:rPr>
          <w:rStyle w:val="FootnoteReference"/>
          <w:rFonts w:cs="Times New Roman"/>
        </w:rPr>
        <w:footnoteReference w:id="15"/>
      </w:r>
      <w:r w:rsidRPr="00007577">
        <w:rPr>
          <w:rFonts w:ascii="Times New Roman" w:hAnsi="Times New Roman" w:cs="Times New Roman"/>
        </w:rPr>
        <w:t xml:space="preserve">  Do the existing CAP and EAS Protocol frameworks provide alert originators with sufficient flexibility to issue follow-up messages about earthquakes?  </w:t>
      </w:r>
    </w:p>
    <w:p w14:paraId="5F85534B" w14:textId="77777777" w:rsidR="00433511" w:rsidRPr="008019F5" w:rsidRDefault="009C2C05" w:rsidP="00F049FB">
      <w:pPr>
        <w:pStyle w:val="ListParagraph"/>
        <w:numPr>
          <w:ilvl w:val="0"/>
          <w:numId w:val="12"/>
        </w:numPr>
      </w:pPr>
      <w:r w:rsidRPr="00F049FB">
        <w:rPr>
          <w:rFonts w:ascii="Times New Roman" w:hAnsi="Times New Roman" w:cs="Times New Roman"/>
        </w:rPr>
        <w:t xml:space="preserve">Do any or all of the </w:t>
      </w:r>
      <w:r w:rsidR="00E514F4" w:rsidRPr="00F049FB">
        <w:rPr>
          <w:rFonts w:ascii="Times New Roman" w:hAnsi="Times New Roman" w:cs="Times New Roman"/>
        </w:rPr>
        <w:t>step</w:t>
      </w:r>
      <w:r w:rsidRPr="00F049FB">
        <w:rPr>
          <w:rFonts w:ascii="Times New Roman" w:hAnsi="Times New Roman" w:cs="Times New Roman"/>
        </w:rPr>
        <w:t>s</w:t>
      </w:r>
      <w:r w:rsidR="00E514F4" w:rsidRPr="00F049FB">
        <w:rPr>
          <w:rFonts w:ascii="Times New Roman" w:hAnsi="Times New Roman" w:cs="Times New Roman"/>
        </w:rPr>
        <w:t xml:space="preserve"> in the IPAWS alerting process tree need to be accomplished via machine-to-machine communication</w:t>
      </w:r>
      <w:r w:rsidR="009A2A93" w:rsidRPr="00F049FB">
        <w:rPr>
          <w:rFonts w:ascii="Times New Roman" w:hAnsi="Times New Roman" w:cs="Times New Roman"/>
        </w:rPr>
        <w:t xml:space="preserve">, </w:t>
      </w:r>
      <w:r w:rsidR="009A2A93" w:rsidRPr="00F049FB">
        <w:rPr>
          <w:rFonts w:ascii="Times New Roman" w:hAnsi="Times New Roman" w:cs="Times New Roman"/>
          <w:i/>
        </w:rPr>
        <w:t>i.e.</w:t>
      </w:r>
      <w:r w:rsidR="009A2A93" w:rsidRPr="00F049FB">
        <w:rPr>
          <w:rFonts w:ascii="Times New Roman" w:hAnsi="Times New Roman" w:cs="Times New Roman"/>
        </w:rPr>
        <w:t>, without human intervention,</w:t>
      </w:r>
      <w:r w:rsidR="00E514F4" w:rsidRPr="00F049FB">
        <w:rPr>
          <w:rFonts w:ascii="Times New Roman" w:hAnsi="Times New Roman" w:cs="Times New Roman"/>
        </w:rPr>
        <w:t xml:space="preserve"> in order </w:t>
      </w:r>
      <w:r w:rsidR="006E5AF4" w:rsidRPr="00F049FB">
        <w:rPr>
          <w:rFonts w:ascii="Times New Roman" w:hAnsi="Times New Roman" w:cs="Times New Roman"/>
        </w:rPr>
        <w:t>for</w:t>
      </w:r>
      <w:r w:rsidR="00E514F4" w:rsidRPr="00F049FB">
        <w:rPr>
          <w:rFonts w:ascii="Times New Roman" w:hAnsi="Times New Roman" w:cs="Times New Roman"/>
        </w:rPr>
        <w:t xml:space="preserve"> the public </w:t>
      </w:r>
      <w:r w:rsidR="006E5AF4" w:rsidRPr="00F049FB">
        <w:rPr>
          <w:rFonts w:ascii="Times New Roman" w:hAnsi="Times New Roman" w:cs="Times New Roman"/>
        </w:rPr>
        <w:t xml:space="preserve">to </w:t>
      </w:r>
      <w:r w:rsidR="00E514F4" w:rsidRPr="00F049FB">
        <w:rPr>
          <w:rFonts w:ascii="Times New Roman" w:hAnsi="Times New Roman" w:cs="Times New Roman"/>
        </w:rPr>
        <w:t>receive earthquake-related alerts in less than three seconds</w:t>
      </w:r>
      <w:r w:rsidRPr="00F049FB">
        <w:rPr>
          <w:rFonts w:ascii="Times New Roman" w:hAnsi="Times New Roman" w:cs="Times New Roman"/>
        </w:rPr>
        <w:t>?</w:t>
      </w:r>
      <w:r w:rsidR="00E514F4" w:rsidRPr="00F049FB">
        <w:rPr>
          <w:rFonts w:ascii="Times New Roman" w:hAnsi="Times New Roman" w:cs="Times New Roman"/>
        </w:rPr>
        <w:t xml:space="preserve">  </w:t>
      </w:r>
    </w:p>
    <w:p w14:paraId="18D94A3A" w14:textId="77777777" w:rsidR="00B57549" w:rsidRDefault="0001351B" w:rsidP="00F049FB">
      <w:pPr>
        <w:pStyle w:val="ListParagraph"/>
        <w:numPr>
          <w:ilvl w:val="0"/>
          <w:numId w:val="12"/>
        </w:numPr>
      </w:pPr>
      <w:r w:rsidRPr="00F049FB">
        <w:rPr>
          <w:rFonts w:ascii="Times New Roman" w:hAnsi="Times New Roman" w:cs="Times New Roman"/>
        </w:rPr>
        <w:t xml:space="preserve">Are there any additional parameters or technical specifications that would be helpful for the Commission to understand and analyze in order to satisfactorily present system requirements for an EEW platform capable of delivering earthquake-related information to the public </w:t>
      </w:r>
      <w:r w:rsidR="001165FF" w:rsidRPr="00F049FB">
        <w:rPr>
          <w:rFonts w:ascii="Times New Roman" w:hAnsi="Times New Roman" w:cs="Times New Roman"/>
        </w:rPr>
        <w:t>in</w:t>
      </w:r>
      <w:r w:rsidRPr="00F049FB">
        <w:rPr>
          <w:rFonts w:ascii="Times New Roman" w:hAnsi="Times New Roman" w:cs="Times New Roman"/>
        </w:rPr>
        <w:t xml:space="preserve"> fewer than three seconds?</w:t>
      </w:r>
      <w:r w:rsidR="00EF03A7">
        <w:t xml:space="preserve">  </w:t>
      </w:r>
    </w:p>
    <w:p w14:paraId="63014EB6" w14:textId="77777777" w:rsidR="00E369DD" w:rsidRDefault="00B57549" w:rsidP="00B57549">
      <w:pPr>
        <w:ind w:firstLine="720"/>
      </w:pPr>
      <w:r>
        <w:t>W</w:t>
      </w:r>
      <w:r w:rsidR="00310D34">
        <w:t>hereas current alerting paradigms treat alerts relating to earthquakes in a similar manner to other types of alerts,</w:t>
      </w:r>
      <w:r w:rsidR="00462CEB">
        <w:rPr>
          <w:rStyle w:val="FootnoteReference"/>
        </w:rPr>
        <w:footnoteReference w:id="16"/>
      </w:r>
      <w:r w:rsidR="00310D34">
        <w:t xml:space="preserve"> w</w:t>
      </w:r>
      <w:r>
        <w:t>e observe that the</w:t>
      </w:r>
      <w:r w:rsidRPr="004F0878">
        <w:t xml:space="preserve"> United States Geological Survey (USGS) is developing an EEW system </w:t>
      </w:r>
      <w:r>
        <w:t>(</w:t>
      </w:r>
      <w:r w:rsidRPr="004F0878">
        <w:t>“ShakeAlert”</w:t>
      </w:r>
      <w:r>
        <w:t>)</w:t>
      </w:r>
      <w:r w:rsidRPr="004F0878">
        <w:t xml:space="preserve"> that </w:t>
      </w:r>
      <w:r>
        <w:t>would</w:t>
      </w:r>
      <w:r w:rsidRPr="004F0878">
        <w:t xml:space="preserve"> </w:t>
      </w:r>
      <w:r w:rsidR="00310D34">
        <w:t xml:space="preserve">focus specifically on alerting in connection with earthquakes and </w:t>
      </w:r>
      <w:r w:rsidRPr="004F0878">
        <w:t xml:space="preserve">leverage the California Integrated Seismic Network (CISN) to </w:t>
      </w:r>
      <w:r w:rsidR="00310D34">
        <w:t xml:space="preserve">rapidly </w:t>
      </w:r>
      <w:r w:rsidRPr="004F0878">
        <w:t>alert the public.</w:t>
      </w:r>
      <w:r w:rsidRPr="004F0878">
        <w:rPr>
          <w:rStyle w:val="FootnoteReference"/>
        </w:rPr>
        <w:footnoteReference w:id="17"/>
      </w:r>
      <w:r w:rsidRPr="004F0878">
        <w:t xml:space="preserve">  Research for the development of appropriate decision modules and detection algorithms is currently underway, and USGS identifies funding as their primary impediment to full network deployment.</w:t>
      </w:r>
      <w:r w:rsidRPr="004F0878">
        <w:rPr>
          <w:rStyle w:val="FootnoteReference"/>
        </w:rPr>
        <w:footnoteReference w:id="18"/>
      </w:r>
      <w:r w:rsidRPr="004F0878">
        <w:t xml:space="preserve">  </w:t>
      </w:r>
      <w:r w:rsidR="00AA4D49" w:rsidRPr="004F0878">
        <w:t xml:space="preserve">USGS </w:t>
      </w:r>
      <w:r w:rsidR="00AA4D49" w:rsidRPr="00D27D4E">
        <w:t xml:space="preserve">and FEMA </w:t>
      </w:r>
      <w:r w:rsidR="00AA4D49" w:rsidRPr="004F0878">
        <w:t xml:space="preserve">posit that </w:t>
      </w:r>
      <w:r w:rsidR="00AA4D49">
        <w:t xml:space="preserve">USGS </w:t>
      </w:r>
      <w:r w:rsidR="00AA4D49" w:rsidRPr="004F0878">
        <w:t xml:space="preserve">could </w:t>
      </w:r>
      <w:r w:rsidRPr="004F0878">
        <w:t>become an authorized alert originator through FEMA IPAWS, and leverage that alert aggregator to disseminate EEWs to the public.</w:t>
      </w:r>
      <w:r w:rsidRPr="004F0878">
        <w:rPr>
          <w:rStyle w:val="FootnoteReference"/>
        </w:rPr>
        <w:footnoteReference w:id="19"/>
      </w:r>
      <w:r>
        <w:t xml:space="preserve">  We seek comment on</w:t>
      </w:r>
      <w:r w:rsidR="00F049FB">
        <w:t xml:space="preserve"> the viability of the USGS position </w:t>
      </w:r>
      <w:r w:rsidR="001165FF">
        <w:t xml:space="preserve">as an option for providing IPAWS with the capability of delivering earthquake-related </w:t>
      </w:r>
      <w:r w:rsidR="0094239F">
        <w:t xml:space="preserve">emergency </w:t>
      </w:r>
      <w:r w:rsidR="001165FF">
        <w:t>information to the public in fewer than three second</w:t>
      </w:r>
      <w:r w:rsidR="00A8595C">
        <w:t>s</w:t>
      </w:r>
      <w:r w:rsidR="001165FF">
        <w:t xml:space="preserve"> (</w:t>
      </w:r>
      <w:r w:rsidR="001165FF">
        <w:rPr>
          <w:i/>
        </w:rPr>
        <w:t>e.g.</w:t>
      </w:r>
      <w:r w:rsidR="001165FF">
        <w:t>, the best option, one of several comparable options, the only feasible option, an infeasible option)</w:t>
      </w:r>
      <w:r w:rsidR="00076B1B">
        <w:t>?</w:t>
      </w:r>
      <w:r w:rsidR="001165FF">
        <w:t xml:space="preserve">   We also seek</w:t>
      </w:r>
      <w:r w:rsidR="000D28A9">
        <w:t xml:space="preserve"> specific </w:t>
      </w:r>
      <w:r w:rsidR="001165FF">
        <w:t xml:space="preserve">comment on </w:t>
      </w:r>
      <w:r w:rsidR="00485CDC">
        <w:t>any</w:t>
      </w:r>
      <w:r>
        <w:t xml:space="preserve"> technical issues associated with integrating ShakeAlert</w:t>
      </w:r>
      <w:r w:rsidR="000246AC">
        <w:t xml:space="preserve"> </w:t>
      </w:r>
      <w:r>
        <w:t>with IPAWS, and how</w:t>
      </w:r>
      <w:r w:rsidR="008019F5">
        <w:t xml:space="preserve"> such an integration</w:t>
      </w:r>
      <w:r>
        <w:t xml:space="preserve"> might be leveraged to create a nationwide EEW system.  We note that </w:t>
      </w:r>
      <w:r w:rsidR="00FF117F">
        <w:t>the Alliance for Telecommunications Industry Solutions (</w:t>
      </w:r>
      <w:r w:rsidRPr="004F0878">
        <w:t>ATIS</w:t>
      </w:r>
      <w:r w:rsidR="00FF117F">
        <w:t>)</w:t>
      </w:r>
      <w:r w:rsidRPr="004F0878">
        <w:t xml:space="preserve"> recently released a study evaluating the feasibility of using LTE cellular networks in supporting public earthquake notifications in connection with USGS’ work on the CISN.</w:t>
      </w:r>
      <w:r w:rsidRPr="004F0878">
        <w:rPr>
          <w:rStyle w:val="FootnoteReference"/>
        </w:rPr>
        <w:footnoteReference w:id="20"/>
      </w:r>
      <w:r w:rsidRPr="004F0878">
        <w:t xml:space="preserve">  ATIS concluded that while it is feasible to develop an EEW system using the 4G LTE cell broadcast network, it would not be feasible to implement an EEW system within the framework of existing alerting systems (</w:t>
      </w:r>
      <w:r w:rsidRPr="004F0878">
        <w:rPr>
          <w:i/>
        </w:rPr>
        <w:t>i.e.</w:t>
      </w:r>
      <w:r w:rsidRPr="004F0878">
        <w:t>, IPAWS and its associated alerting systems, EAS and WEA), on legacy (</w:t>
      </w:r>
      <w:r w:rsidRPr="004F0878">
        <w:rPr>
          <w:i/>
        </w:rPr>
        <w:t>i.e.</w:t>
      </w:r>
      <w:r w:rsidRPr="004F0878">
        <w:t>, 2G and 3G) networks, or via short message service (SMS) or over-the-top (OTT) smartphone apps.</w:t>
      </w:r>
      <w:r w:rsidRPr="004F0878">
        <w:rPr>
          <w:rStyle w:val="FootnoteReference"/>
        </w:rPr>
        <w:footnoteReference w:id="21"/>
      </w:r>
      <w:r w:rsidRPr="004F0878">
        <w:t xml:space="preserve">  </w:t>
      </w:r>
      <w:r>
        <w:t xml:space="preserve">We seek comment on ATIS’s assessment and on any </w:t>
      </w:r>
      <w:r w:rsidR="00E369DD">
        <w:t xml:space="preserve">changes to the existing EAS and WEA systems </w:t>
      </w:r>
      <w:r>
        <w:t xml:space="preserve">that </w:t>
      </w:r>
      <w:r w:rsidR="00E369DD">
        <w:t>would be necessary in order to make sensor-based EEW alerts feasible</w:t>
      </w:r>
      <w:r>
        <w:t>.</w:t>
      </w:r>
      <w:r w:rsidR="00485CDC">
        <w:t xml:space="preserve">  </w:t>
      </w:r>
    </w:p>
    <w:p w14:paraId="44358C6F" w14:textId="77777777" w:rsidR="00E369DD" w:rsidRDefault="00E369DD" w:rsidP="00E514F4"/>
    <w:p w14:paraId="555962E1" w14:textId="5ED98F2B" w:rsidR="00E514F4" w:rsidRDefault="00485CDC" w:rsidP="00E369DD">
      <w:pPr>
        <w:ind w:firstLine="720"/>
      </w:pPr>
      <w:r>
        <w:t xml:space="preserve">We </w:t>
      </w:r>
      <w:r w:rsidR="00854C9E">
        <w:t>also observe</w:t>
      </w:r>
      <w:r w:rsidR="00CC3AEF">
        <w:t xml:space="preserve"> that Japan’s Earthquake and Tsunami Warning System (ETWS) </w:t>
      </w:r>
      <w:r>
        <w:t>appears to be</w:t>
      </w:r>
      <w:r w:rsidR="00CC3AEF">
        <w:t xml:space="preserve"> the only EEW service in the world that integrates mass EEW communications with cellular networks.</w:t>
      </w:r>
      <w:r w:rsidR="00CC3AEF">
        <w:rPr>
          <w:rStyle w:val="FootnoteReference"/>
        </w:rPr>
        <w:footnoteReference w:id="22"/>
      </w:r>
      <w:r w:rsidR="00CC3AEF">
        <w:t xml:space="preserve">  </w:t>
      </w:r>
      <w:r w:rsidR="00CC3AEF" w:rsidRPr="00101B47">
        <w:t xml:space="preserve">What technical processes and procedures would be necessary </w:t>
      </w:r>
      <w:r w:rsidR="00AB44D4" w:rsidRPr="00AB44D4">
        <w:t xml:space="preserve">to develop an EEW capability for the United States modeled after the ETWS using IPAWS?  </w:t>
      </w:r>
      <w:r w:rsidR="00C1008C">
        <w:t>A</w:t>
      </w:r>
      <w:r w:rsidR="00B21F7F">
        <w:t>re modifications necessary to adapt the ETWS model to the United States?  Are there other EEW services being developed that we should examine?</w:t>
      </w:r>
    </w:p>
    <w:p w14:paraId="6133226F" w14:textId="77777777" w:rsidR="000D28A9" w:rsidRDefault="000D28A9" w:rsidP="00E369DD">
      <w:pPr>
        <w:ind w:firstLine="720"/>
      </w:pPr>
    </w:p>
    <w:p w14:paraId="01BCEE38" w14:textId="77777777" w:rsidR="00485CDC" w:rsidRDefault="00485CDC" w:rsidP="00E369DD">
      <w:pPr>
        <w:ind w:firstLine="720"/>
      </w:pPr>
      <w:r>
        <w:t xml:space="preserve">Finally, we seek comment on other examples that </w:t>
      </w:r>
      <w:r w:rsidR="000D28A9">
        <w:t xml:space="preserve">we could </w:t>
      </w:r>
      <w:r w:rsidR="0094239F">
        <w:t xml:space="preserve">potentially </w:t>
      </w:r>
      <w:r w:rsidR="000D28A9">
        <w:t xml:space="preserve">use to address any technical or other issues involved in reporting to Congress the steps that will be needed to </w:t>
      </w:r>
      <w:r w:rsidR="0094239F">
        <w:t xml:space="preserve">ensure that </w:t>
      </w:r>
      <w:r w:rsidR="000D28A9">
        <w:t xml:space="preserve">IPAWS and the associated alerting systems </w:t>
      </w:r>
      <w:r w:rsidR="0094239F">
        <w:t xml:space="preserve">are capable of delivering </w:t>
      </w:r>
      <w:r w:rsidR="000D28A9">
        <w:t xml:space="preserve">earthquake-related emergency alerts </w:t>
      </w:r>
      <w:r w:rsidR="0094239F">
        <w:t xml:space="preserve">that </w:t>
      </w:r>
      <w:r w:rsidR="000D28A9">
        <w:t xml:space="preserve">can be received </w:t>
      </w:r>
      <w:r w:rsidR="0094239F">
        <w:t xml:space="preserve">by the public </w:t>
      </w:r>
      <w:r w:rsidR="000D28A9">
        <w:t>in less than three seconds.</w:t>
      </w:r>
      <w:r>
        <w:t xml:space="preserve"> </w:t>
      </w:r>
      <w:r w:rsidR="000246AC">
        <w:t xml:space="preserve"> </w:t>
      </w:r>
    </w:p>
    <w:p w14:paraId="480B916A" w14:textId="77777777" w:rsidR="00C6363B" w:rsidRDefault="00C6363B" w:rsidP="008233CE">
      <w:pPr>
        <w:ind w:firstLine="720"/>
        <w:rPr>
          <w:szCs w:val="22"/>
        </w:rPr>
      </w:pPr>
    </w:p>
    <w:p w14:paraId="7ED67CC1" w14:textId="77777777" w:rsidR="00C6363B" w:rsidRPr="00C6363B" w:rsidRDefault="00297CCE" w:rsidP="0027272B">
      <w:pPr>
        <w:pStyle w:val="Heading3"/>
        <w:rPr>
          <w:szCs w:val="22"/>
        </w:rPr>
      </w:pPr>
      <w:r>
        <w:t>Geographic T</w:t>
      </w:r>
      <w:r w:rsidRPr="00297CCE">
        <w:t>argeting</w:t>
      </w:r>
      <w:r w:rsidR="0001351B">
        <w:t>,</w:t>
      </w:r>
      <w:r w:rsidRPr="00297CCE">
        <w:t xml:space="preserve"> </w:t>
      </w:r>
      <w:r w:rsidR="0001351B">
        <w:t>M</w:t>
      </w:r>
      <w:r w:rsidR="0001351B" w:rsidRPr="00742F59">
        <w:t xml:space="preserve">essage </w:t>
      </w:r>
      <w:r w:rsidR="0001351B">
        <w:t>L</w:t>
      </w:r>
      <w:r w:rsidR="0001351B" w:rsidRPr="00742F59">
        <w:t xml:space="preserve">ength </w:t>
      </w:r>
      <w:r w:rsidR="0001351B">
        <w:t>and Co</w:t>
      </w:r>
      <w:r w:rsidR="00540377">
        <w:t>s</w:t>
      </w:r>
      <w:r w:rsidR="0001351B">
        <w:t>t</w:t>
      </w:r>
      <w:r w:rsidR="00AB5760">
        <w:t>s</w:t>
      </w:r>
    </w:p>
    <w:p w14:paraId="057CE284" w14:textId="77777777" w:rsidR="00540377" w:rsidRPr="004B0C12" w:rsidRDefault="00007577" w:rsidP="00540377">
      <w:pPr>
        <w:ind w:firstLine="360"/>
      </w:pPr>
      <w:r>
        <w:rPr>
          <w:color w:val="242021"/>
        </w:rPr>
        <w:t xml:space="preserve">We seek comment on </w:t>
      </w:r>
      <w:r w:rsidRPr="004B0C12">
        <w:t xml:space="preserve">earthquake </w:t>
      </w:r>
      <w:r>
        <w:t>alert geographic targeting</w:t>
      </w:r>
      <w:r w:rsidR="00AB5760">
        <w:t>, message length and content</w:t>
      </w:r>
      <w:r w:rsidR="00875822">
        <w:t>,</w:t>
      </w:r>
      <w:r w:rsidR="00AB5760">
        <w:t xml:space="preserve"> and costs</w:t>
      </w:r>
      <w:r w:rsidRPr="004B0C12">
        <w:t>:</w:t>
      </w:r>
    </w:p>
    <w:p w14:paraId="230A92BC" w14:textId="77777777" w:rsidR="00007577" w:rsidRPr="004F0878" w:rsidRDefault="00007577" w:rsidP="007360DB">
      <w:pPr>
        <w:ind w:firstLine="360"/>
        <w:rPr>
          <w:szCs w:val="22"/>
        </w:rPr>
      </w:pPr>
    </w:p>
    <w:p w14:paraId="67ABF349" w14:textId="5503A0A2" w:rsidR="00007577" w:rsidRPr="00301C66" w:rsidRDefault="00301C66" w:rsidP="005D54A7">
      <w:pPr>
        <w:pStyle w:val="ListParagraph"/>
        <w:numPr>
          <w:ilvl w:val="0"/>
          <w:numId w:val="12"/>
        </w:numPr>
        <w:rPr>
          <w:rFonts w:ascii="Times New Roman" w:hAnsi="Times New Roman" w:cs="Times New Roman"/>
        </w:rPr>
      </w:pPr>
      <w:r>
        <w:rPr>
          <w:rFonts w:ascii="Times New Roman" w:hAnsi="Times New Roman" w:cs="Times New Roman"/>
        </w:rPr>
        <w:t>What is</w:t>
      </w:r>
      <w:r w:rsidRPr="004B0C12">
        <w:rPr>
          <w:rFonts w:ascii="Times New Roman" w:hAnsi="Times New Roman" w:cs="Times New Roman"/>
        </w:rPr>
        <w:t xml:space="preserve"> the optimal mode of geo-targeting an EEW?</w:t>
      </w:r>
      <w:r w:rsidR="00076B1B">
        <w:rPr>
          <w:rStyle w:val="FootnoteReference"/>
          <w:rFonts w:cs="Times New Roman"/>
        </w:rPr>
        <w:footnoteReference w:id="23"/>
      </w:r>
      <w:r w:rsidRPr="004B0C12">
        <w:rPr>
          <w:rFonts w:ascii="Times New Roman" w:hAnsi="Times New Roman" w:cs="Times New Roman"/>
        </w:rPr>
        <w:t xml:space="preserve">  </w:t>
      </w:r>
      <w:r w:rsidR="00B21F7F">
        <w:rPr>
          <w:rFonts w:ascii="Times New Roman" w:hAnsi="Times New Roman" w:cs="Times New Roman"/>
        </w:rPr>
        <w:t xml:space="preserve">Are different geo-targeting modes necessary for the different alerting platforms?  </w:t>
      </w:r>
      <w:r w:rsidRPr="00487383">
        <w:rPr>
          <w:rFonts w:ascii="Times New Roman" w:hAnsi="Times New Roman" w:cs="Times New Roman"/>
        </w:rPr>
        <w:t>The ATIS Study assumed that that the appropriate method of geo-targeting an EEW would be “a circle specified by the estimated surface location of the epicenter and an associated radius.”</w:t>
      </w:r>
      <w:r w:rsidRPr="00487383">
        <w:rPr>
          <w:rStyle w:val="FootnoteReference"/>
          <w:rFonts w:eastAsia="Times New Roman" w:cs="Times New Roman"/>
          <w:szCs w:val="20"/>
        </w:rPr>
        <w:footnoteReference w:id="24"/>
      </w:r>
      <w:r w:rsidRPr="00487383">
        <w:rPr>
          <w:rStyle w:val="FootnoteReference"/>
          <w:rFonts w:eastAsia="Times New Roman" w:cs="Times New Roman"/>
          <w:szCs w:val="20"/>
        </w:rPr>
        <w:t xml:space="preserve"> </w:t>
      </w:r>
      <w:r>
        <w:t xml:space="preserve"> </w:t>
      </w:r>
      <w:r w:rsidR="00007577" w:rsidRPr="00840C91">
        <w:rPr>
          <w:rFonts w:ascii="Times New Roman" w:hAnsi="Times New Roman" w:cs="Times New Roman"/>
        </w:rPr>
        <w:t xml:space="preserve">If so, how large or small a radius can be specified using currently existing geo-targeting techniques, and how large or small a radius is generally appropriate in the EEW context?  </w:t>
      </w:r>
      <w:r w:rsidR="00007577" w:rsidRPr="00301C66">
        <w:rPr>
          <w:rFonts w:ascii="Times New Roman" w:hAnsi="Times New Roman" w:cs="Times New Roman"/>
        </w:rPr>
        <w:t xml:space="preserve">Would circle-based geo-targeting be appropriate and feasible for EAS, WEA, and other alerting platforms?  </w:t>
      </w:r>
    </w:p>
    <w:p w14:paraId="4AA1322D" w14:textId="77777777" w:rsidR="00007577" w:rsidRDefault="00301C66" w:rsidP="00007577">
      <w:pPr>
        <w:pStyle w:val="ListParagraph"/>
        <w:numPr>
          <w:ilvl w:val="0"/>
          <w:numId w:val="15"/>
        </w:numPr>
        <w:rPr>
          <w:rFonts w:ascii="Times New Roman" w:hAnsi="Times New Roman" w:cs="Times New Roman"/>
        </w:rPr>
      </w:pPr>
      <w:r>
        <w:rPr>
          <w:rFonts w:ascii="Times New Roman" w:hAnsi="Times New Roman" w:cs="Times New Roman"/>
        </w:rPr>
        <w:t>Alternatively, i</w:t>
      </w:r>
      <w:r w:rsidR="00007577">
        <w:rPr>
          <w:rFonts w:ascii="Times New Roman" w:hAnsi="Times New Roman" w:cs="Times New Roman"/>
        </w:rPr>
        <w:t xml:space="preserve">f a complex polygon </w:t>
      </w:r>
      <w:r>
        <w:rPr>
          <w:rFonts w:ascii="Times New Roman" w:hAnsi="Times New Roman" w:cs="Times New Roman"/>
        </w:rPr>
        <w:t xml:space="preserve">would </w:t>
      </w:r>
      <w:r w:rsidR="00007577">
        <w:rPr>
          <w:rFonts w:ascii="Times New Roman" w:hAnsi="Times New Roman" w:cs="Times New Roman"/>
        </w:rPr>
        <w:t>be the most appropriate method of describing the alert area for an earthquake in some scenarios, to what extent would the transmission of complex polygon coordinates implicate message delivery latency?</w:t>
      </w:r>
      <w:r w:rsidR="003F61B2">
        <w:rPr>
          <w:rStyle w:val="FootnoteReference"/>
          <w:rFonts w:cs="Times New Roman"/>
        </w:rPr>
        <w:footnoteReference w:id="25"/>
      </w:r>
    </w:p>
    <w:p w14:paraId="250ECF73" w14:textId="27C5B2AE" w:rsidR="00214078" w:rsidRPr="004B0C12" w:rsidRDefault="00214078" w:rsidP="00007577">
      <w:pPr>
        <w:pStyle w:val="ListParagraph"/>
        <w:numPr>
          <w:ilvl w:val="0"/>
          <w:numId w:val="15"/>
        </w:numPr>
        <w:rPr>
          <w:rFonts w:ascii="Times New Roman" w:hAnsi="Times New Roman" w:cs="Times New Roman"/>
        </w:rPr>
      </w:pPr>
      <w:r>
        <w:rPr>
          <w:rFonts w:ascii="Times New Roman" w:hAnsi="Times New Roman" w:cs="Times New Roman"/>
        </w:rPr>
        <w:t xml:space="preserve">To what extent would the effectiveness of the concentric circle or polygon approach be affected by the type, quality or </w:t>
      </w:r>
      <w:r w:rsidR="006B617D">
        <w:rPr>
          <w:rFonts w:ascii="Times New Roman" w:hAnsi="Times New Roman" w:cs="Times New Roman"/>
        </w:rPr>
        <w:t>availability</w:t>
      </w:r>
      <w:r>
        <w:rPr>
          <w:rFonts w:ascii="Times New Roman" w:hAnsi="Times New Roman" w:cs="Times New Roman"/>
        </w:rPr>
        <w:t xml:space="preserve"> of WEA, EAS or other IPAWS-based alerting </w:t>
      </w:r>
      <w:r w:rsidR="006B617D">
        <w:rPr>
          <w:rFonts w:ascii="Times New Roman" w:hAnsi="Times New Roman" w:cs="Times New Roman"/>
        </w:rPr>
        <w:t>services</w:t>
      </w:r>
      <w:r>
        <w:rPr>
          <w:rFonts w:ascii="Times New Roman" w:hAnsi="Times New Roman" w:cs="Times New Roman"/>
        </w:rPr>
        <w:t xml:space="preserve"> in a</w:t>
      </w:r>
      <w:r w:rsidR="006B617D">
        <w:rPr>
          <w:rFonts w:ascii="Times New Roman" w:hAnsi="Times New Roman" w:cs="Times New Roman"/>
        </w:rPr>
        <w:t xml:space="preserve">n area to which an EEW would be </w:t>
      </w:r>
      <w:r w:rsidR="00615F77">
        <w:rPr>
          <w:rFonts w:ascii="Times New Roman" w:hAnsi="Times New Roman" w:cs="Times New Roman"/>
        </w:rPr>
        <w:t>sent?</w:t>
      </w:r>
    </w:p>
    <w:p w14:paraId="44394638" w14:textId="77777777" w:rsidR="00301C66" w:rsidRDefault="00007577" w:rsidP="00487383">
      <w:pPr>
        <w:pStyle w:val="ListParagraph"/>
        <w:numPr>
          <w:ilvl w:val="0"/>
          <w:numId w:val="15"/>
        </w:numPr>
      </w:pPr>
      <w:r w:rsidRPr="004B0C12">
        <w:rPr>
          <w:rFonts w:ascii="Times New Roman" w:hAnsi="Times New Roman" w:cs="Times New Roman"/>
        </w:rPr>
        <w:t xml:space="preserve">To what extent, if at all, would our current geo-targeting rules need to be amended in order to facilitate </w:t>
      </w:r>
      <w:r w:rsidR="00301C66">
        <w:rPr>
          <w:rFonts w:ascii="Times New Roman" w:hAnsi="Times New Roman" w:cs="Times New Roman"/>
        </w:rPr>
        <w:t xml:space="preserve">optimal EEW </w:t>
      </w:r>
      <w:r w:rsidRPr="004B0C12">
        <w:rPr>
          <w:rFonts w:ascii="Times New Roman" w:hAnsi="Times New Roman" w:cs="Times New Roman"/>
        </w:rPr>
        <w:t xml:space="preserve">geo-targeting </w:t>
      </w:r>
      <w:r w:rsidR="00301C66">
        <w:rPr>
          <w:rFonts w:ascii="Times New Roman" w:hAnsi="Times New Roman" w:cs="Times New Roman"/>
        </w:rPr>
        <w:t>for</w:t>
      </w:r>
      <w:r w:rsidRPr="004B0C12">
        <w:rPr>
          <w:rFonts w:ascii="Times New Roman" w:hAnsi="Times New Roman" w:cs="Times New Roman"/>
        </w:rPr>
        <w:t xml:space="preserve"> both EAS and WEA</w:t>
      </w:r>
      <w:r>
        <w:rPr>
          <w:rFonts w:ascii="Times New Roman" w:hAnsi="Times New Roman" w:cs="Times New Roman"/>
        </w:rPr>
        <w:t>?</w:t>
      </w:r>
      <w:r w:rsidR="003F61B2">
        <w:rPr>
          <w:rStyle w:val="FootnoteReference"/>
          <w:rFonts w:cs="Times New Roman"/>
        </w:rPr>
        <w:footnoteReference w:id="26"/>
      </w:r>
    </w:p>
    <w:p w14:paraId="6447AB35" w14:textId="77777777" w:rsidR="008233CE" w:rsidRDefault="008233CE" w:rsidP="00297CCE">
      <w:pPr>
        <w:pStyle w:val="ListParagraph"/>
        <w:numPr>
          <w:ilvl w:val="0"/>
          <w:numId w:val="12"/>
        </w:numPr>
        <w:rPr>
          <w:rFonts w:ascii="Times New Roman" w:hAnsi="Times New Roman" w:cs="Times New Roman"/>
        </w:rPr>
      </w:pPr>
      <w:r>
        <w:rPr>
          <w:rFonts w:ascii="Times New Roman" w:hAnsi="Times New Roman" w:cs="Times New Roman"/>
        </w:rPr>
        <w:t>Would existing message length limitations (two minutes for EAS messages and 90 characters for WEA messages) have an effect on the ability to deliver EEWs?</w:t>
      </w:r>
      <w:r>
        <w:rPr>
          <w:rStyle w:val="FootnoteReference"/>
          <w:rFonts w:cs="Times New Roman"/>
        </w:rPr>
        <w:footnoteReference w:id="27"/>
      </w:r>
      <w:r>
        <w:rPr>
          <w:rFonts w:ascii="Times New Roman" w:hAnsi="Times New Roman" w:cs="Times New Roman"/>
        </w:rPr>
        <w:t xml:space="preserve">  What changes, if any</w:t>
      </w:r>
      <w:r w:rsidR="00D50564">
        <w:rPr>
          <w:rFonts w:ascii="Times New Roman" w:hAnsi="Times New Roman" w:cs="Times New Roman"/>
        </w:rPr>
        <w:t>,</w:t>
      </w:r>
      <w:r>
        <w:rPr>
          <w:rFonts w:ascii="Times New Roman" w:hAnsi="Times New Roman" w:cs="Times New Roman"/>
        </w:rPr>
        <w:t xml:space="preserve"> would be </w:t>
      </w:r>
      <w:r w:rsidR="00F049FB">
        <w:rPr>
          <w:rFonts w:ascii="Times New Roman" w:hAnsi="Times New Roman" w:cs="Times New Roman"/>
        </w:rPr>
        <w:t xml:space="preserve">desirable and </w:t>
      </w:r>
      <w:r>
        <w:rPr>
          <w:rFonts w:ascii="Times New Roman" w:hAnsi="Times New Roman" w:cs="Times New Roman"/>
        </w:rPr>
        <w:t xml:space="preserve">necessary to </w:t>
      </w:r>
      <w:r w:rsidR="00F049FB">
        <w:rPr>
          <w:rFonts w:ascii="Times New Roman" w:hAnsi="Times New Roman" w:cs="Times New Roman"/>
        </w:rPr>
        <w:t xml:space="preserve">deliver the best possible EEWs?  What changes would </w:t>
      </w:r>
      <w:r>
        <w:rPr>
          <w:rFonts w:ascii="Times New Roman" w:hAnsi="Times New Roman" w:cs="Times New Roman"/>
        </w:rPr>
        <w:t>adequately support effective EEWs?</w:t>
      </w:r>
    </w:p>
    <w:p w14:paraId="2C7FFA6E" w14:textId="77777777" w:rsidR="008233CE" w:rsidRPr="00840C91" w:rsidRDefault="008233CE" w:rsidP="00840C91">
      <w:pPr>
        <w:pStyle w:val="ListParagraph"/>
        <w:numPr>
          <w:ilvl w:val="0"/>
          <w:numId w:val="14"/>
        </w:numPr>
        <w:rPr>
          <w:rFonts w:ascii="Times New Roman" w:hAnsi="Times New Roman" w:cs="Times New Roman"/>
        </w:rPr>
      </w:pPr>
      <w:r w:rsidRPr="004B0C12">
        <w:rPr>
          <w:rFonts w:ascii="Times New Roman" w:hAnsi="Times New Roman" w:cs="Times New Roman"/>
        </w:rPr>
        <w:t>Would it be appropriate to alert the public of an imminent earthquake via a rapid primary message that contains the minimum information necessary to move the public to take protective action, followed by a secondary message that contains more information about the earthquake?</w:t>
      </w:r>
      <w:r w:rsidRPr="002012F6">
        <w:rPr>
          <w:rStyle w:val="FootnoteReference"/>
        </w:rPr>
        <w:footnoteReference w:id="28"/>
      </w:r>
      <w:r w:rsidRPr="004B0C12">
        <w:rPr>
          <w:rFonts w:ascii="Times New Roman" w:hAnsi="Times New Roman" w:cs="Times New Roman"/>
        </w:rPr>
        <w:t xml:space="preserve">  If so, what </w:t>
      </w:r>
      <w:r w:rsidR="008019F5">
        <w:rPr>
          <w:rFonts w:ascii="Times New Roman" w:hAnsi="Times New Roman" w:cs="Times New Roman"/>
        </w:rPr>
        <w:t xml:space="preserve">types of </w:t>
      </w:r>
      <w:r w:rsidRPr="004B0C12">
        <w:rPr>
          <w:rFonts w:ascii="Times New Roman" w:hAnsi="Times New Roman" w:cs="Times New Roman"/>
        </w:rPr>
        <w:t>information should be included in the primary and secondary messages?</w:t>
      </w:r>
      <w:r w:rsidR="008019F5">
        <w:rPr>
          <w:rFonts w:ascii="Times New Roman" w:hAnsi="Times New Roman" w:cs="Times New Roman"/>
        </w:rPr>
        <w:t xml:space="preserve">  For example, should the location of emergency medical centers, places to get clean water, </w:t>
      </w:r>
      <w:r w:rsidR="008019F5" w:rsidRPr="003744FA">
        <w:rPr>
          <w:rFonts w:ascii="Times New Roman" w:hAnsi="Times New Roman" w:cs="Times New Roman"/>
          <w:i/>
        </w:rPr>
        <w:t>etc.</w:t>
      </w:r>
      <w:r w:rsidR="008019F5" w:rsidRPr="003F1701">
        <w:rPr>
          <w:rFonts w:ascii="Times New Roman" w:hAnsi="Times New Roman" w:cs="Times New Roman"/>
        </w:rPr>
        <w:t>,</w:t>
      </w:r>
      <w:r w:rsidR="008019F5">
        <w:rPr>
          <w:rFonts w:ascii="Times New Roman" w:hAnsi="Times New Roman" w:cs="Times New Roman"/>
        </w:rPr>
        <w:t xml:space="preserve"> be included in a secondary message?</w:t>
      </w:r>
      <w:r w:rsidRPr="004B0C12">
        <w:rPr>
          <w:rFonts w:ascii="Times New Roman" w:hAnsi="Times New Roman" w:cs="Times New Roman"/>
        </w:rPr>
        <w:t xml:space="preserve">  </w:t>
      </w:r>
    </w:p>
    <w:p w14:paraId="44B71033" w14:textId="37828B2E" w:rsidR="008233CE" w:rsidRDefault="008233CE" w:rsidP="008233CE">
      <w:pPr>
        <w:pStyle w:val="ListParagraph"/>
        <w:numPr>
          <w:ilvl w:val="0"/>
          <w:numId w:val="14"/>
        </w:numPr>
        <w:rPr>
          <w:rFonts w:ascii="Times New Roman" w:hAnsi="Times New Roman" w:cs="Times New Roman"/>
        </w:rPr>
      </w:pPr>
      <w:r w:rsidRPr="004B0C12">
        <w:rPr>
          <w:rFonts w:ascii="Times New Roman" w:hAnsi="Times New Roman" w:cs="Times New Roman"/>
        </w:rPr>
        <w:t>Should EEWs be repeated or periodically updated in order to ensure receipt by all potentially affected members of the public?  If so, for how long</w:t>
      </w:r>
      <w:r w:rsidR="00D50564">
        <w:rPr>
          <w:rFonts w:ascii="Times New Roman" w:hAnsi="Times New Roman" w:cs="Times New Roman"/>
        </w:rPr>
        <w:t xml:space="preserve"> and with what periodicity</w:t>
      </w:r>
      <w:r w:rsidRPr="004B0C12">
        <w:rPr>
          <w:rFonts w:ascii="Times New Roman" w:hAnsi="Times New Roman" w:cs="Times New Roman"/>
        </w:rPr>
        <w:t xml:space="preserve">?  </w:t>
      </w:r>
    </w:p>
    <w:p w14:paraId="3DF53DE2" w14:textId="77777777" w:rsidR="00840C91" w:rsidRPr="00007577" w:rsidRDefault="00840C91" w:rsidP="006D2A93">
      <w:pPr>
        <w:pStyle w:val="ListParagraph"/>
        <w:numPr>
          <w:ilvl w:val="0"/>
          <w:numId w:val="14"/>
        </w:numPr>
        <w:rPr>
          <w:rFonts w:ascii="Times New Roman" w:hAnsi="Times New Roman" w:cs="Times New Roman"/>
        </w:rPr>
      </w:pPr>
      <w:r w:rsidRPr="00007577">
        <w:rPr>
          <w:rFonts w:ascii="Times New Roman" w:hAnsi="Times New Roman" w:cs="Times New Roman"/>
        </w:rPr>
        <w:t>What one-time and annual costs would be implicated by either updating current alerting platforms to support earthquake alerting, or by creating a new alert and warning platform built specifically for this purpose</w:t>
      </w:r>
      <w:r w:rsidR="00F41CF6" w:rsidRPr="00C51191">
        <w:rPr>
          <w:rFonts w:ascii="Times New Roman" w:hAnsi="Times New Roman" w:cs="Times New Roman"/>
        </w:rPr>
        <w:t>?</w:t>
      </w:r>
      <w:r w:rsidRPr="00C51191">
        <w:rPr>
          <w:rStyle w:val="FootnoteReference"/>
          <w:rFonts w:cs="Times New Roman"/>
          <w:sz w:val="22"/>
        </w:rPr>
        <w:footnoteReference w:id="29"/>
      </w:r>
      <w:r w:rsidRPr="00007577">
        <w:rPr>
          <w:rFonts w:ascii="Times New Roman" w:hAnsi="Times New Roman" w:cs="Times New Roman"/>
        </w:rPr>
        <w:t xml:space="preserve"> </w:t>
      </w:r>
    </w:p>
    <w:p w14:paraId="0453DA47" w14:textId="77777777" w:rsidR="00840C91" w:rsidRPr="00007577" w:rsidRDefault="00840C91" w:rsidP="00840C91">
      <w:pPr>
        <w:pStyle w:val="ListParagraph"/>
        <w:numPr>
          <w:ilvl w:val="0"/>
          <w:numId w:val="16"/>
        </w:numPr>
        <w:rPr>
          <w:rFonts w:ascii="Times New Roman" w:hAnsi="Times New Roman" w:cs="Times New Roman"/>
        </w:rPr>
      </w:pPr>
      <w:r w:rsidRPr="00007577">
        <w:rPr>
          <w:rFonts w:ascii="Times New Roman" w:hAnsi="Times New Roman" w:cs="Times New Roman"/>
        </w:rPr>
        <w:t>Are there any additional costs that would be implicated by enabling the low-latency earthquake alerting implicated by our congressional mandate?</w:t>
      </w:r>
    </w:p>
    <w:p w14:paraId="1FE97ABC" w14:textId="26222D71" w:rsidR="00AB053D" w:rsidRDefault="00483B46" w:rsidP="00AB053D">
      <w:pPr>
        <w:pStyle w:val="ListParagraph"/>
        <w:numPr>
          <w:ilvl w:val="0"/>
          <w:numId w:val="16"/>
        </w:numPr>
        <w:rPr>
          <w:rFonts w:ascii="Times New Roman" w:hAnsi="Times New Roman" w:cs="Times New Roman"/>
        </w:rPr>
      </w:pPr>
      <w:r>
        <w:rPr>
          <w:rFonts w:ascii="Times New Roman" w:hAnsi="Times New Roman" w:cs="Times New Roman"/>
        </w:rPr>
        <w:t xml:space="preserve">Are the </w:t>
      </w:r>
      <w:r w:rsidR="00AB053D" w:rsidRPr="00CD288A">
        <w:rPr>
          <w:rFonts w:ascii="Times New Roman" w:hAnsi="Times New Roman" w:cs="Times New Roman"/>
        </w:rPr>
        <w:t>implementation timeframe</w:t>
      </w:r>
      <w:r>
        <w:rPr>
          <w:rFonts w:ascii="Times New Roman" w:hAnsi="Times New Roman" w:cs="Times New Roman"/>
        </w:rPr>
        <w:t>s posited by USGS and ATIS</w:t>
      </w:r>
      <w:r w:rsidR="00AB053D" w:rsidRPr="00CD288A">
        <w:rPr>
          <w:rFonts w:ascii="Times New Roman" w:hAnsi="Times New Roman" w:cs="Times New Roman"/>
        </w:rPr>
        <w:t xml:space="preserve"> for the development of an EEW system </w:t>
      </w:r>
      <w:r>
        <w:rPr>
          <w:rFonts w:ascii="Times New Roman" w:hAnsi="Times New Roman" w:cs="Times New Roman"/>
        </w:rPr>
        <w:t>consistent with the three</w:t>
      </w:r>
      <w:r w:rsidR="00AF4EFA">
        <w:rPr>
          <w:rFonts w:ascii="Times New Roman" w:hAnsi="Times New Roman" w:cs="Times New Roman"/>
        </w:rPr>
        <w:t>-</w:t>
      </w:r>
      <w:r>
        <w:rPr>
          <w:rFonts w:ascii="Times New Roman" w:hAnsi="Times New Roman" w:cs="Times New Roman"/>
        </w:rPr>
        <w:t xml:space="preserve">second model required in the </w:t>
      </w:r>
      <w:r w:rsidR="00AB053D" w:rsidRPr="00CD288A">
        <w:rPr>
          <w:rFonts w:ascii="Times New Roman" w:hAnsi="Times New Roman" w:cs="Times New Roman"/>
        </w:rPr>
        <w:t>Congress</w:t>
      </w:r>
      <w:r>
        <w:rPr>
          <w:rFonts w:ascii="Times New Roman" w:hAnsi="Times New Roman" w:cs="Times New Roman"/>
        </w:rPr>
        <w:t>ional Report</w:t>
      </w:r>
      <w:r w:rsidR="00AB053D" w:rsidRPr="00CD288A">
        <w:rPr>
          <w:rFonts w:ascii="Times New Roman" w:hAnsi="Times New Roman" w:cs="Times New Roman"/>
        </w:rPr>
        <w:t>?</w:t>
      </w:r>
      <w:r w:rsidR="00AB053D" w:rsidRPr="00007577">
        <w:rPr>
          <w:rStyle w:val="FootnoteReference"/>
          <w:rFonts w:cs="Times New Roman"/>
          <w:sz w:val="22"/>
        </w:rPr>
        <w:footnoteReference w:id="30"/>
      </w:r>
    </w:p>
    <w:p w14:paraId="5B1646D3" w14:textId="77777777" w:rsidR="00301C66" w:rsidRDefault="00CF5EE3" w:rsidP="00294C00">
      <w:r>
        <w:t xml:space="preserve">Is there </w:t>
      </w:r>
      <w:r w:rsidRPr="00CF5EE3">
        <w:t xml:space="preserve">any additional information that would </w:t>
      </w:r>
      <w:r w:rsidR="00483DEC">
        <w:t xml:space="preserve">contribute to a full and responsive report to Congress?  </w:t>
      </w:r>
      <w:r>
        <w:t xml:space="preserve">Commenters are welcome to supply any </w:t>
      </w:r>
      <w:r w:rsidR="00483DEC">
        <w:t xml:space="preserve">relevant </w:t>
      </w:r>
      <w:r>
        <w:t xml:space="preserve">technical data or legal and regulatory </w:t>
      </w:r>
      <w:r w:rsidR="00483DEC">
        <w:t>analyses.</w:t>
      </w:r>
    </w:p>
    <w:p w14:paraId="00A80644" w14:textId="77777777" w:rsidR="00294C00" w:rsidRPr="00301C66" w:rsidRDefault="00294C00" w:rsidP="00294C00"/>
    <w:p w14:paraId="49050A9C" w14:textId="77777777" w:rsidR="00742F59" w:rsidRPr="004D5B54" w:rsidRDefault="00742F59" w:rsidP="0027272B">
      <w:pPr>
        <w:pStyle w:val="Heading2"/>
      </w:pPr>
      <w:r>
        <w:t>Regulatory and Statutory Analysis</w:t>
      </w:r>
    </w:p>
    <w:p w14:paraId="6174ED72" w14:textId="670E3BC2" w:rsidR="00742F59" w:rsidRDefault="00742F59" w:rsidP="00742F59">
      <w:pPr>
        <w:ind w:firstLine="720"/>
        <w:rPr>
          <w:szCs w:val="22"/>
        </w:rPr>
      </w:pPr>
      <w:r>
        <w:rPr>
          <w:szCs w:val="22"/>
        </w:rPr>
        <w:t>The Commission has traditionally exercised jurisdiction to regulate public alerts and warnings</w:t>
      </w:r>
      <w:r w:rsidR="00D650EA">
        <w:rPr>
          <w:szCs w:val="22"/>
        </w:rPr>
        <w:t xml:space="preserve">, </w:t>
      </w:r>
      <w:r w:rsidR="009878B1">
        <w:rPr>
          <w:szCs w:val="22"/>
        </w:rPr>
        <w:t>specifically</w:t>
      </w:r>
      <w:r w:rsidR="00D650EA">
        <w:rPr>
          <w:szCs w:val="22"/>
        </w:rPr>
        <w:t xml:space="preserve"> the </w:t>
      </w:r>
      <w:r>
        <w:rPr>
          <w:szCs w:val="22"/>
        </w:rPr>
        <w:t>EAS,</w:t>
      </w:r>
      <w:r w:rsidR="0056017E">
        <w:rPr>
          <w:rStyle w:val="FootnoteReference"/>
          <w:szCs w:val="22"/>
        </w:rPr>
        <w:footnoteReference w:id="31"/>
      </w:r>
      <w:r>
        <w:rPr>
          <w:szCs w:val="22"/>
        </w:rPr>
        <w:t xml:space="preserve"> and WEA</w:t>
      </w:r>
      <w:r w:rsidR="009878B1">
        <w:rPr>
          <w:szCs w:val="22"/>
        </w:rPr>
        <w:t>,</w:t>
      </w:r>
      <w:r w:rsidR="0056017E">
        <w:rPr>
          <w:rStyle w:val="FootnoteReference"/>
          <w:szCs w:val="22"/>
        </w:rPr>
        <w:footnoteReference w:id="32"/>
      </w:r>
      <w:r>
        <w:rPr>
          <w:szCs w:val="22"/>
        </w:rPr>
        <w:t xml:space="preserve"> th</w:t>
      </w:r>
      <w:r w:rsidR="00D650EA">
        <w:rPr>
          <w:szCs w:val="22"/>
        </w:rPr>
        <w:t>r</w:t>
      </w:r>
      <w:r>
        <w:rPr>
          <w:szCs w:val="22"/>
        </w:rPr>
        <w:t xml:space="preserve">ough Sections </w:t>
      </w:r>
      <w:r w:rsidRPr="000221C8">
        <w:rPr>
          <w:szCs w:val="22"/>
        </w:rPr>
        <w:t>151, 152, 154(i), 154(o), 301, 303(b), (g) and (r), 303(v), 307, 309, 335, 403, 544(g), 606, 613, 615 and 1302</w:t>
      </w:r>
      <w:r>
        <w:rPr>
          <w:szCs w:val="22"/>
        </w:rPr>
        <w:t xml:space="preserve"> of the Communications Act of 1934, as amended; Sections</w:t>
      </w:r>
      <w:r w:rsidRPr="000221C8">
        <w:rPr>
          <w:szCs w:val="22"/>
        </w:rPr>
        <w:t xml:space="preserve"> 602(a), (b), (c), (d), (f), 603, 604, and 606</w:t>
      </w:r>
      <w:r>
        <w:rPr>
          <w:szCs w:val="22"/>
        </w:rPr>
        <w:t xml:space="preserve"> of the WARN Act;</w:t>
      </w:r>
      <w:r w:rsidR="000F0A40">
        <w:rPr>
          <w:szCs w:val="22"/>
        </w:rPr>
        <w:t xml:space="preserve"> and</w:t>
      </w:r>
      <w:r>
        <w:rPr>
          <w:szCs w:val="22"/>
        </w:rPr>
        <w:t xml:space="preserve"> the</w:t>
      </w:r>
      <w:r w:rsidRPr="000221C8">
        <w:rPr>
          <w:iCs/>
          <w:szCs w:val="22"/>
        </w:rPr>
        <w:t xml:space="preserve"> Twenty-First Century Communications and Video Accessibility Act of 2010</w:t>
      </w:r>
      <w:r>
        <w:rPr>
          <w:szCs w:val="22"/>
        </w:rPr>
        <w:t>.</w:t>
      </w:r>
      <w:r>
        <w:rPr>
          <w:rStyle w:val="FootnoteReference"/>
          <w:szCs w:val="22"/>
        </w:rPr>
        <w:footnoteReference w:id="33"/>
      </w:r>
      <w:r>
        <w:rPr>
          <w:szCs w:val="22"/>
        </w:rPr>
        <w:t xml:space="preserve">  </w:t>
      </w:r>
      <w:r w:rsidR="00301C66">
        <w:rPr>
          <w:szCs w:val="22"/>
        </w:rPr>
        <w:t xml:space="preserve">Are there other statutes and regulations </w:t>
      </w:r>
      <w:r w:rsidR="00B151FE">
        <w:rPr>
          <w:szCs w:val="22"/>
        </w:rPr>
        <w:t xml:space="preserve">that </w:t>
      </w:r>
      <w:r w:rsidR="00301C66">
        <w:rPr>
          <w:szCs w:val="22"/>
        </w:rPr>
        <w:t xml:space="preserve">we should consider in our report to Congress?  </w:t>
      </w:r>
      <w:r>
        <w:rPr>
          <w:szCs w:val="22"/>
        </w:rPr>
        <w:t xml:space="preserve">We seek comment on whether any of these statutory and regulatory provisions would need to be amended in order to </w:t>
      </w:r>
      <w:r w:rsidR="00B151FE">
        <w:rPr>
          <w:szCs w:val="22"/>
        </w:rPr>
        <w:t>implement, in conjunction with other federal and state authorities</w:t>
      </w:r>
      <w:r w:rsidR="00D650EA">
        <w:rPr>
          <w:szCs w:val="22"/>
        </w:rPr>
        <w:t xml:space="preserve">, an </w:t>
      </w:r>
      <w:r w:rsidR="00B151FE">
        <w:rPr>
          <w:szCs w:val="22"/>
        </w:rPr>
        <w:t>IPAWS</w:t>
      </w:r>
      <w:r w:rsidR="00D650EA">
        <w:rPr>
          <w:szCs w:val="22"/>
        </w:rPr>
        <w:t>-based</w:t>
      </w:r>
      <w:r w:rsidR="00B151FE">
        <w:rPr>
          <w:szCs w:val="22"/>
        </w:rPr>
        <w:t xml:space="preserve"> </w:t>
      </w:r>
      <w:r>
        <w:rPr>
          <w:szCs w:val="22"/>
        </w:rPr>
        <w:t xml:space="preserve">EEW system capable of delivering EEW alerts </w:t>
      </w:r>
      <w:r w:rsidR="00301C66">
        <w:rPr>
          <w:szCs w:val="22"/>
        </w:rPr>
        <w:t>in fewer than 3 seconds</w:t>
      </w:r>
      <w:r>
        <w:rPr>
          <w:szCs w:val="22"/>
        </w:rPr>
        <w:t>.  We observe that under the WARN Act and the Commission’s Part 10 rules, participation in WEA is voluntary for CMS providers.</w:t>
      </w:r>
      <w:r w:rsidR="005C7720">
        <w:rPr>
          <w:rStyle w:val="FootnoteReference"/>
          <w:szCs w:val="22"/>
        </w:rPr>
        <w:footnoteReference w:id="34"/>
      </w:r>
      <w:r w:rsidR="005C7720" w:rsidDel="005C7720">
        <w:rPr>
          <w:rStyle w:val="FootnoteReference"/>
          <w:szCs w:val="22"/>
        </w:rPr>
        <w:t xml:space="preserve"> </w:t>
      </w:r>
      <w:r>
        <w:rPr>
          <w:szCs w:val="22"/>
        </w:rPr>
        <w:t xml:space="preserve">  In order </w:t>
      </w:r>
      <w:r w:rsidR="00BA128E">
        <w:rPr>
          <w:szCs w:val="22"/>
        </w:rPr>
        <w:t xml:space="preserve">for a nationwide EEW system </w:t>
      </w:r>
      <w:r w:rsidR="00BA128E" w:rsidRPr="00BA128E">
        <w:rPr>
          <w:szCs w:val="22"/>
        </w:rPr>
        <w:t>to be effective, does alerting need to be available everywhere, and if so, on which platforms</w:t>
      </w:r>
      <w:r>
        <w:rPr>
          <w:szCs w:val="22"/>
        </w:rPr>
        <w:t xml:space="preserve">?  Further, as technology evolves and as consumers view content through different means, do existing statutory and regulatory provisions address the primary modes in which consumers may access alerts?  </w:t>
      </w:r>
    </w:p>
    <w:p w14:paraId="5DC60D7F" w14:textId="77777777" w:rsidR="00E514F4" w:rsidRPr="004F0878" w:rsidRDefault="00E514F4" w:rsidP="00571F97"/>
    <w:p w14:paraId="1200AE3C" w14:textId="77777777" w:rsidR="00E514F4" w:rsidRPr="00487383" w:rsidRDefault="00E514F4" w:rsidP="00487383">
      <w:pPr>
        <w:pStyle w:val="Heading1"/>
        <w:widowControl w:val="0"/>
        <w:numPr>
          <w:ilvl w:val="0"/>
          <w:numId w:val="7"/>
        </w:numPr>
        <w:spacing w:after="220"/>
        <w:jc w:val="both"/>
      </w:pPr>
      <w:r w:rsidRPr="004F0878">
        <w:rPr>
          <w:color w:val="242021"/>
        </w:rPr>
        <w:t>Filing Instructions</w:t>
      </w:r>
    </w:p>
    <w:p w14:paraId="3F28F941" w14:textId="77777777" w:rsidR="0003528D" w:rsidRPr="000F0A40" w:rsidRDefault="00E514F4" w:rsidP="00E514F4">
      <w:pPr>
        <w:pStyle w:val="BodyText"/>
        <w:kinsoku w:val="0"/>
        <w:overflowPunct w:val="0"/>
        <w:spacing w:line="245" w:lineRule="auto"/>
        <w:ind w:left="100" w:right="100" w:firstLine="720"/>
        <w:rPr>
          <w:color w:val="242021"/>
        </w:rPr>
      </w:pPr>
      <w:r w:rsidRPr="004F0878">
        <w:rPr>
          <w:color w:val="242021"/>
        </w:rPr>
        <w:t>Pursuant to sections 1.415 and 1.419 of the Commission’s rules, 47 CFR §§ 1.415, 1.419, interested</w:t>
      </w:r>
      <w:r w:rsidRPr="004F0878">
        <w:rPr>
          <w:color w:val="242021"/>
          <w:spacing w:val="-1"/>
        </w:rPr>
        <w:t xml:space="preserve"> </w:t>
      </w:r>
      <w:r w:rsidRPr="004F0878">
        <w:rPr>
          <w:color w:val="242021"/>
        </w:rPr>
        <w:t>parties may file comments</w:t>
      </w:r>
      <w:r w:rsidRPr="004F0878">
        <w:rPr>
          <w:color w:val="242021"/>
          <w:spacing w:val="-1"/>
        </w:rPr>
        <w:t xml:space="preserve"> </w:t>
      </w:r>
      <w:r w:rsidRPr="004F0878">
        <w:rPr>
          <w:color w:val="242021"/>
        </w:rPr>
        <w:t xml:space="preserve">in the </w:t>
      </w:r>
      <w:r w:rsidRPr="004F0878">
        <w:rPr>
          <w:color w:val="242021"/>
          <w:spacing w:val="-1"/>
        </w:rPr>
        <w:t>above-captioned</w:t>
      </w:r>
      <w:r w:rsidRPr="004F0878">
        <w:rPr>
          <w:color w:val="242021"/>
        </w:rPr>
        <w:t xml:space="preserve"> dockets and on or before the dates indicated</w:t>
      </w:r>
      <w:r w:rsidRPr="004F0878">
        <w:rPr>
          <w:color w:val="242021"/>
          <w:spacing w:val="23"/>
        </w:rPr>
        <w:t xml:space="preserve"> </w:t>
      </w:r>
      <w:r w:rsidRPr="004F0878">
        <w:rPr>
          <w:color w:val="242021"/>
        </w:rPr>
        <w:t xml:space="preserve">on the first page of this </w:t>
      </w:r>
      <w:r w:rsidRPr="004F0878">
        <w:rPr>
          <w:color w:val="242021"/>
          <w:spacing w:val="-1"/>
        </w:rPr>
        <w:t>document.</w:t>
      </w:r>
      <w:r w:rsidRPr="004F0878">
        <w:rPr>
          <w:color w:val="242021"/>
          <w:spacing w:val="55"/>
        </w:rPr>
        <w:t xml:space="preserve"> </w:t>
      </w:r>
      <w:r w:rsidRPr="004F0878">
        <w:rPr>
          <w:color w:val="242021"/>
          <w:spacing w:val="-1"/>
        </w:rPr>
        <w:t>Comments</w:t>
      </w:r>
      <w:r w:rsidRPr="004F0878">
        <w:rPr>
          <w:color w:val="242021"/>
        </w:rPr>
        <w:t xml:space="preserve"> </w:t>
      </w:r>
      <w:r w:rsidRPr="004F0878">
        <w:rPr>
          <w:color w:val="242021"/>
          <w:spacing w:val="-1"/>
        </w:rPr>
        <w:t>may</w:t>
      </w:r>
      <w:r w:rsidRPr="004F0878">
        <w:rPr>
          <w:color w:val="242021"/>
        </w:rPr>
        <w:t xml:space="preserve"> </w:t>
      </w:r>
      <w:r w:rsidRPr="004F0878">
        <w:rPr>
          <w:color w:val="242021"/>
          <w:spacing w:val="-1"/>
        </w:rPr>
        <w:t>be</w:t>
      </w:r>
      <w:r w:rsidRPr="004F0878">
        <w:rPr>
          <w:color w:val="242021"/>
        </w:rPr>
        <w:t xml:space="preserve"> </w:t>
      </w:r>
      <w:r w:rsidRPr="004F0878">
        <w:rPr>
          <w:color w:val="242021"/>
          <w:spacing w:val="-1"/>
        </w:rPr>
        <w:t>filed</w:t>
      </w:r>
      <w:r w:rsidRPr="004F0878">
        <w:rPr>
          <w:color w:val="242021"/>
        </w:rPr>
        <w:t xml:space="preserve"> </w:t>
      </w:r>
      <w:r w:rsidRPr="004F0878">
        <w:rPr>
          <w:color w:val="242021"/>
          <w:spacing w:val="-1"/>
        </w:rPr>
        <w:t>the</w:t>
      </w:r>
      <w:r w:rsidRPr="004F0878">
        <w:rPr>
          <w:color w:val="242021"/>
        </w:rPr>
        <w:t xml:space="preserve"> </w:t>
      </w:r>
      <w:r w:rsidRPr="004F0878">
        <w:rPr>
          <w:color w:val="242021"/>
          <w:spacing w:val="-1"/>
        </w:rPr>
        <w:t>using</w:t>
      </w:r>
      <w:r w:rsidRPr="004F0878">
        <w:rPr>
          <w:color w:val="242021"/>
        </w:rPr>
        <w:t xml:space="preserve"> </w:t>
      </w:r>
      <w:r w:rsidRPr="004F0878">
        <w:rPr>
          <w:color w:val="242021"/>
          <w:spacing w:val="-1"/>
        </w:rPr>
        <w:t>the</w:t>
      </w:r>
      <w:r w:rsidRPr="004F0878">
        <w:rPr>
          <w:color w:val="242021"/>
        </w:rPr>
        <w:t xml:space="preserve"> </w:t>
      </w:r>
      <w:r w:rsidRPr="004F0878">
        <w:rPr>
          <w:color w:val="242021"/>
          <w:spacing w:val="-1"/>
        </w:rPr>
        <w:t>Commission’s</w:t>
      </w:r>
      <w:r w:rsidRPr="004F0878">
        <w:rPr>
          <w:color w:val="242021"/>
        </w:rPr>
        <w:t xml:space="preserve"> </w:t>
      </w:r>
      <w:r w:rsidRPr="004F0878">
        <w:rPr>
          <w:color w:val="242021"/>
          <w:spacing w:val="-1"/>
        </w:rPr>
        <w:t>Electronic</w:t>
      </w:r>
      <w:r w:rsidRPr="004F0878">
        <w:rPr>
          <w:color w:val="242021"/>
          <w:spacing w:val="20"/>
        </w:rPr>
        <w:t xml:space="preserve"> </w:t>
      </w:r>
      <w:r w:rsidRPr="004F0878">
        <w:rPr>
          <w:color w:val="242021"/>
          <w:spacing w:val="-1"/>
        </w:rPr>
        <w:t>Comment Filing</w:t>
      </w:r>
      <w:r w:rsidRPr="004F0878">
        <w:rPr>
          <w:color w:val="242021"/>
        </w:rPr>
        <w:t xml:space="preserve"> </w:t>
      </w:r>
      <w:r w:rsidRPr="004F0878">
        <w:rPr>
          <w:color w:val="242021"/>
          <w:spacing w:val="-1"/>
        </w:rPr>
        <w:t>System</w:t>
      </w:r>
      <w:r w:rsidRPr="004F0878">
        <w:rPr>
          <w:color w:val="242021"/>
        </w:rPr>
        <w:t xml:space="preserve"> </w:t>
      </w:r>
      <w:r w:rsidRPr="004F0878">
        <w:rPr>
          <w:color w:val="242021"/>
          <w:spacing w:val="-1"/>
        </w:rPr>
        <w:t>(ECFS).</w:t>
      </w:r>
      <w:r w:rsidRPr="004F0878">
        <w:rPr>
          <w:color w:val="242021"/>
          <w:spacing w:val="54"/>
        </w:rPr>
        <w:t xml:space="preserve"> </w:t>
      </w:r>
      <w:r w:rsidRPr="004F0878">
        <w:rPr>
          <w:i/>
          <w:iCs/>
          <w:color w:val="242021"/>
        </w:rPr>
        <w:t>See Electronic Filing of Documents</w:t>
      </w:r>
      <w:r w:rsidRPr="004F0878">
        <w:rPr>
          <w:i/>
          <w:iCs/>
          <w:color w:val="242021"/>
          <w:spacing w:val="1"/>
        </w:rPr>
        <w:t xml:space="preserve"> </w:t>
      </w:r>
      <w:r w:rsidRPr="004F0878">
        <w:rPr>
          <w:i/>
          <w:iCs/>
          <w:color w:val="242021"/>
        </w:rPr>
        <w:t>in Rulemaking</w:t>
      </w:r>
      <w:r w:rsidRPr="004F0878">
        <w:rPr>
          <w:i/>
          <w:iCs/>
          <w:color w:val="242021"/>
          <w:spacing w:val="-1"/>
        </w:rPr>
        <w:t xml:space="preserve"> Proceedings</w:t>
      </w:r>
      <w:r w:rsidRPr="004F0878">
        <w:rPr>
          <w:color w:val="242021"/>
          <w:spacing w:val="-1"/>
        </w:rPr>
        <w:t>, 63 FR</w:t>
      </w:r>
      <w:r w:rsidRPr="004F0878">
        <w:rPr>
          <w:color w:val="242021"/>
          <w:spacing w:val="32"/>
        </w:rPr>
        <w:t xml:space="preserve"> </w:t>
      </w:r>
      <w:r w:rsidRPr="004F0878">
        <w:rPr>
          <w:color w:val="242021"/>
        </w:rPr>
        <w:t>24121 (1998).</w:t>
      </w:r>
    </w:p>
    <w:p w14:paraId="21EF1B11" w14:textId="77777777" w:rsidR="00F72D1B" w:rsidRPr="000F0A40" w:rsidRDefault="00F72D1B" w:rsidP="005D54A7">
      <w:pPr>
        <w:pStyle w:val="BodyText"/>
        <w:kinsoku w:val="0"/>
        <w:overflowPunct w:val="0"/>
        <w:spacing w:line="245" w:lineRule="auto"/>
        <w:ind w:left="100" w:right="100" w:firstLine="720"/>
        <w:contextualSpacing/>
        <w:rPr>
          <w:color w:val="000000"/>
        </w:rPr>
      </w:pPr>
    </w:p>
    <w:p w14:paraId="6CEE1697" w14:textId="0A8235FC" w:rsidR="00E514F4" w:rsidRPr="00736B4B" w:rsidRDefault="00E514F4" w:rsidP="00422DE7">
      <w:pPr>
        <w:pStyle w:val="ListParagraph"/>
        <w:numPr>
          <w:ilvl w:val="0"/>
          <w:numId w:val="16"/>
        </w:numPr>
        <w:rPr>
          <w:rFonts w:ascii="Times New Roman" w:hAnsi="Times New Roman" w:cs="Times New Roman"/>
          <w:color w:val="000000"/>
        </w:rPr>
      </w:pPr>
      <w:r w:rsidRPr="00736B4B">
        <w:rPr>
          <w:rFonts w:ascii="Times New Roman" w:hAnsi="Times New Roman" w:cs="Times New Roman"/>
          <w:color w:val="242021"/>
        </w:rPr>
        <w:t>Electronic</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Filers:  Comments may be filed electronically</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using the Internet by accessing</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 xml:space="preserve">the </w:t>
      </w:r>
      <w:r w:rsidRPr="00736B4B">
        <w:rPr>
          <w:rFonts w:ascii="Times New Roman" w:hAnsi="Times New Roman" w:cs="Times New Roman"/>
          <w:color w:val="242021"/>
          <w:spacing w:val="-1"/>
        </w:rPr>
        <w:t>ECFS:</w:t>
      </w:r>
      <w:r w:rsidRPr="00736B4B">
        <w:rPr>
          <w:rFonts w:ascii="Times New Roman" w:hAnsi="Times New Roman" w:cs="Times New Roman"/>
          <w:color w:val="242021"/>
          <w:spacing w:val="54"/>
        </w:rPr>
        <w:t xml:space="preserve"> </w:t>
      </w:r>
      <w:hyperlink r:id="rId9" w:history="1">
        <w:r w:rsidR="005D54A7" w:rsidRPr="00736B4B">
          <w:rPr>
            <w:rStyle w:val="Hyperlink"/>
            <w:rFonts w:ascii="Times New Roman" w:hAnsi="Times New Roman" w:cs="Times New Roman"/>
          </w:rPr>
          <w:t>http://fjallfoss.fcc.gov/ecfs2/</w:t>
        </w:r>
      </w:hyperlink>
      <w:r w:rsidRPr="00736B4B">
        <w:rPr>
          <w:rFonts w:ascii="Times New Roman" w:hAnsi="Times New Roman" w:cs="Times New Roman"/>
          <w:color w:val="242021"/>
        </w:rPr>
        <w:t>.</w:t>
      </w:r>
    </w:p>
    <w:p w14:paraId="04E5A0A3" w14:textId="77777777" w:rsidR="00AB7284" w:rsidRPr="00736B4B" w:rsidRDefault="00E514F4" w:rsidP="00422DE7">
      <w:pPr>
        <w:pStyle w:val="ListParagraph"/>
        <w:numPr>
          <w:ilvl w:val="0"/>
          <w:numId w:val="16"/>
        </w:numPr>
        <w:rPr>
          <w:rFonts w:ascii="Times New Roman" w:hAnsi="Times New Roman" w:cs="Times New Roman"/>
          <w:color w:val="000000"/>
        </w:rPr>
      </w:pPr>
      <w:r w:rsidRPr="00736B4B">
        <w:rPr>
          <w:rFonts w:ascii="Times New Roman" w:hAnsi="Times New Roman" w:cs="Times New Roman"/>
          <w:color w:val="242021"/>
        </w:rPr>
        <w:t xml:space="preserve">Paper Filers:  Parties who choose to file by paper must file an original and one copy of each </w:t>
      </w:r>
      <w:r w:rsidRPr="00736B4B">
        <w:rPr>
          <w:rFonts w:ascii="Times New Roman" w:hAnsi="Times New Roman" w:cs="Times New Roman"/>
          <w:color w:val="242021"/>
          <w:spacing w:val="-1"/>
        </w:rPr>
        <w:t>filing.</w:t>
      </w:r>
      <w:r w:rsidRPr="00736B4B">
        <w:rPr>
          <w:rFonts w:ascii="Times New Roman" w:hAnsi="Times New Roman" w:cs="Times New Roman"/>
          <w:color w:val="242021"/>
        </w:rPr>
        <w:t xml:space="preserve">  </w:t>
      </w:r>
      <w:r w:rsidRPr="00736B4B">
        <w:rPr>
          <w:rFonts w:ascii="Times New Roman" w:hAnsi="Times New Roman" w:cs="Times New Roman"/>
          <w:color w:val="242021"/>
          <w:spacing w:val="-1"/>
        </w:rPr>
        <w:t>If more than one</w:t>
      </w:r>
      <w:r w:rsidRPr="00736B4B">
        <w:rPr>
          <w:rFonts w:ascii="Times New Roman" w:hAnsi="Times New Roman" w:cs="Times New Roman"/>
          <w:color w:val="242021"/>
        </w:rPr>
        <w:t xml:space="preserve"> </w:t>
      </w:r>
      <w:r w:rsidRPr="00736B4B">
        <w:rPr>
          <w:rFonts w:ascii="Times New Roman" w:hAnsi="Times New Roman" w:cs="Times New Roman"/>
          <w:color w:val="242021"/>
          <w:spacing w:val="-1"/>
        </w:rPr>
        <w:t>docket</w:t>
      </w:r>
      <w:r w:rsidRPr="00736B4B">
        <w:rPr>
          <w:rFonts w:ascii="Times New Roman" w:hAnsi="Times New Roman" w:cs="Times New Roman"/>
          <w:color w:val="242021"/>
        </w:rPr>
        <w:t xml:space="preserve"> </w:t>
      </w:r>
      <w:r w:rsidRPr="00736B4B">
        <w:rPr>
          <w:rFonts w:ascii="Times New Roman" w:hAnsi="Times New Roman" w:cs="Times New Roman"/>
          <w:color w:val="242021"/>
          <w:spacing w:val="-1"/>
        </w:rPr>
        <w:t>or rulemaking</w:t>
      </w:r>
      <w:r w:rsidRPr="00736B4B">
        <w:rPr>
          <w:rFonts w:ascii="Times New Roman" w:hAnsi="Times New Roman" w:cs="Times New Roman"/>
          <w:color w:val="242021"/>
        </w:rPr>
        <w:t xml:space="preserve"> </w:t>
      </w:r>
      <w:r w:rsidRPr="00736B4B">
        <w:rPr>
          <w:rFonts w:ascii="Times New Roman" w:hAnsi="Times New Roman" w:cs="Times New Roman"/>
          <w:color w:val="242021"/>
          <w:spacing w:val="-1"/>
        </w:rPr>
        <w:t>number</w:t>
      </w:r>
      <w:r w:rsidRPr="00736B4B">
        <w:rPr>
          <w:rFonts w:ascii="Times New Roman" w:hAnsi="Times New Roman" w:cs="Times New Roman"/>
          <w:color w:val="242021"/>
        </w:rPr>
        <w:t xml:space="preserve"> appears in the caption of this proceeding,</w:t>
      </w:r>
      <w:r w:rsidRPr="00736B4B">
        <w:rPr>
          <w:rFonts w:ascii="Times New Roman" w:hAnsi="Times New Roman" w:cs="Times New Roman"/>
          <w:color w:val="242021"/>
          <w:spacing w:val="21"/>
        </w:rPr>
        <w:t xml:space="preserve"> </w:t>
      </w:r>
      <w:r w:rsidRPr="00736B4B">
        <w:rPr>
          <w:rFonts w:ascii="Times New Roman" w:hAnsi="Times New Roman" w:cs="Times New Roman"/>
          <w:color w:val="242021"/>
        </w:rPr>
        <w:t>filers must submit two additional</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copies for each additional</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 xml:space="preserve">docket or rulemaking number.  </w:t>
      </w:r>
    </w:p>
    <w:p w14:paraId="78503167" w14:textId="77777777" w:rsidR="00474F4A" w:rsidRPr="00736B4B" w:rsidRDefault="00AB7284" w:rsidP="00422DE7">
      <w:pPr>
        <w:pStyle w:val="ListParagraph"/>
        <w:numPr>
          <w:ilvl w:val="0"/>
          <w:numId w:val="16"/>
        </w:numPr>
        <w:rPr>
          <w:rFonts w:ascii="Times New Roman" w:hAnsi="Times New Roman" w:cs="Times New Roman"/>
          <w:color w:val="000000"/>
        </w:rPr>
      </w:pPr>
      <w:r w:rsidRPr="00736B4B">
        <w:rPr>
          <w:rFonts w:ascii="Times New Roman" w:hAnsi="Times New Roman" w:cs="Times New Roman"/>
          <w:color w:val="242021"/>
        </w:rPr>
        <w:t>Confidential Materials:  Parties wishing to file materials with a claim of confidentiality</w:t>
      </w:r>
      <w:r w:rsidRPr="00736B4B">
        <w:rPr>
          <w:rFonts w:ascii="Times New Roman" w:hAnsi="Times New Roman" w:cs="Times New Roman"/>
          <w:color w:val="000000"/>
        </w:rPr>
        <w:t xml:space="preserve"> should follow the procedures set forth in section 0.459 of the Commission’s rules.  Confidential submissions may not be filed via ECFS but rather should be filed with the Secretary’s Office following the procedures set forth in 47 C.F.R. Section 0.459.  Redacted versions of confidential submissions may be filed via ECFS.</w:t>
      </w:r>
    </w:p>
    <w:p w14:paraId="3784325B" w14:textId="77777777" w:rsidR="00E514F4" w:rsidRPr="000F0A40" w:rsidRDefault="00E514F4" w:rsidP="003E5DF5">
      <w:pPr>
        <w:pStyle w:val="BodyText"/>
        <w:widowControl/>
        <w:kinsoku w:val="0"/>
        <w:overflowPunct w:val="0"/>
        <w:spacing w:line="245" w:lineRule="auto"/>
        <w:ind w:left="101" w:right="101" w:firstLine="720"/>
        <w:rPr>
          <w:color w:val="000000"/>
        </w:rPr>
      </w:pPr>
      <w:r w:rsidRPr="000F0A40">
        <w:rPr>
          <w:color w:val="242021"/>
          <w:spacing w:val="-1"/>
        </w:rPr>
        <w:t>Filings</w:t>
      </w:r>
      <w:r w:rsidRPr="000F0A40">
        <w:rPr>
          <w:color w:val="242021"/>
          <w:spacing w:val="11"/>
        </w:rPr>
        <w:t xml:space="preserve"> </w:t>
      </w:r>
      <w:r w:rsidRPr="000F0A40">
        <w:rPr>
          <w:color w:val="242021"/>
        </w:rPr>
        <w:t>can</w:t>
      </w:r>
      <w:r w:rsidRPr="000F0A40">
        <w:rPr>
          <w:color w:val="242021"/>
          <w:spacing w:val="11"/>
        </w:rPr>
        <w:t xml:space="preserve"> </w:t>
      </w:r>
      <w:r w:rsidRPr="000F0A40">
        <w:rPr>
          <w:color w:val="242021"/>
          <w:spacing w:val="-1"/>
        </w:rPr>
        <w:t>be</w:t>
      </w:r>
      <w:r w:rsidRPr="000F0A40">
        <w:rPr>
          <w:color w:val="242021"/>
          <w:spacing w:val="11"/>
        </w:rPr>
        <w:t xml:space="preserve"> </w:t>
      </w:r>
      <w:r w:rsidRPr="000F0A40">
        <w:rPr>
          <w:color w:val="242021"/>
          <w:spacing w:val="-1"/>
        </w:rPr>
        <w:t>sent</w:t>
      </w:r>
      <w:r w:rsidRPr="000F0A40">
        <w:rPr>
          <w:color w:val="242021"/>
          <w:spacing w:val="11"/>
        </w:rPr>
        <w:t xml:space="preserve"> </w:t>
      </w:r>
      <w:r w:rsidRPr="000F0A40">
        <w:rPr>
          <w:color w:val="242021"/>
          <w:spacing w:val="-1"/>
        </w:rPr>
        <w:t>by</w:t>
      </w:r>
      <w:r w:rsidRPr="000F0A40">
        <w:rPr>
          <w:color w:val="242021"/>
          <w:spacing w:val="11"/>
        </w:rPr>
        <w:t xml:space="preserve"> </w:t>
      </w:r>
      <w:r w:rsidRPr="000F0A40">
        <w:rPr>
          <w:color w:val="242021"/>
          <w:spacing w:val="-1"/>
        </w:rPr>
        <w:t>hand</w:t>
      </w:r>
      <w:r w:rsidRPr="000F0A40">
        <w:rPr>
          <w:color w:val="242021"/>
          <w:spacing w:val="11"/>
        </w:rPr>
        <w:t xml:space="preserve"> </w:t>
      </w:r>
      <w:r w:rsidRPr="000F0A40">
        <w:rPr>
          <w:color w:val="242021"/>
          <w:spacing w:val="-1"/>
        </w:rPr>
        <w:t>or</w:t>
      </w:r>
      <w:r w:rsidRPr="000F0A40">
        <w:rPr>
          <w:color w:val="242021"/>
          <w:spacing w:val="11"/>
        </w:rPr>
        <w:t xml:space="preserve"> </w:t>
      </w:r>
      <w:r w:rsidRPr="000F0A40">
        <w:rPr>
          <w:color w:val="242021"/>
        </w:rPr>
        <w:t>messenger</w:t>
      </w:r>
      <w:r w:rsidRPr="000F0A40">
        <w:rPr>
          <w:color w:val="242021"/>
          <w:spacing w:val="10"/>
        </w:rPr>
        <w:t xml:space="preserve"> </w:t>
      </w:r>
      <w:r w:rsidRPr="000F0A40">
        <w:rPr>
          <w:color w:val="242021"/>
          <w:spacing w:val="-1"/>
        </w:rPr>
        <w:t>delivery,</w:t>
      </w:r>
      <w:r w:rsidRPr="000F0A40">
        <w:rPr>
          <w:color w:val="242021"/>
          <w:spacing w:val="11"/>
        </w:rPr>
        <w:t xml:space="preserve"> </w:t>
      </w:r>
      <w:r w:rsidRPr="000F0A40">
        <w:rPr>
          <w:color w:val="242021"/>
          <w:spacing w:val="-1"/>
        </w:rPr>
        <w:t>by</w:t>
      </w:r>
      <w:r w:rsidRPr="000F0A40">
        <w:rPr>
          <w:color w:val="242021"/>
          <w:spacing w:val="11"/>
        </w:rPr>
        <w:t xml:space="preserve"> </w:t>
      </w:r>
      <w:r w:rsidRPr="000F0A40">
        <w:rPr>
          <w:color w:val="242021"/>
        </w:rPr>
        <w:t>commercial</w:t>
      </w:r>
      <w:r w:rsidRPr="000F0A40">
        <w:rPr>
          <w:color w:val="242021"/>
          <w:spacing w:val="10"/>
        </w:rPr>
        <w:t xml:space="preserve"> </w:t>
      </w:r>
      <w:r w:rsidRPr="000F0A40">
        <w:rPr>
          <w:color w:val="242021"/>
          <w:spacing w:val="-1"/>
        </w:rPr>
        <w:t>overnight</w:t>
      </w:r>
      <w:r w:rsidRPr="000F0A40">
        <w:rPr>
          <w:color w:val="242021"/>
          <w:spacing w:val="11"/>
        </w:rPr>
        <w:t xml:space="preserve"> </w:t>
      </w:r>
      <w:r w:rsidRPr="000F0A40">
        <w:rPr>
          <w:color w:val="242021"/>
        </w:rPr>
        <w:t>courier,</w:t>
      </w:r>
      <w:r w:rsidRPr="000F0A40">
        <w:rPr>
          <w:color w:val="242021"/>
          <w:spacing w:val="10"/>
        </w:rPr>
        <w:t xml:space="preserve"> </w:t>
      </w:r>
      <w:r w:rsidRPr="000F0A40">
        <w:rPr>
          <w:color w:val="242021"/>
          <w:spacing w:val="-1"/>
        </w:rPr>
        <w:t>or</w:t>
      </w:r>
      <w:r w:rsidRPr="000F0A40">
        <w:rPr>
          <w:color w:val="242021"/>
          <w:spacing w:val="11"/>
        </w:rPr>
        <w:t xml:space="preserve"> </w:t>
      </w:r>
      <w:r w:rsidRPr="000F0A40">
        <w:rPr>
          <w:color w:val="242021"/>
          <w:spacing w:val="-1"/>
        </w:rPr>
        <w:t>by</w:t>
      </w:r>
      <w:r w:rsidRPr="000F0A40">
        <w:rPr>
          <w:color w:val="242021"/>
          <w:spacing w:val="11"/>
        </w:rPr>
        <w:t xml:space="preserve"> </w:t>
      </w:r>
      <w:r w:rsidRPr="000F0A40">
        <w:rPr>
          <w:color w:val="242021"/>
          <w:spacing w:val="-1"/>
        </w:rPr>
        <w:t>first-</w:t>
      </w:r>
      <w:r w:rsidRPr="000F0A40">
        <w:rPr>
          <w:color w:val="242021"/>
          <w:spacing w:val="25"/>
        </w:rPr>
        <w:t xml:space="preserve"> </w:t>
      </w:r>
      <w:r w:rsidRPr="000F0A40">
        <w:rPr>
          <w:color w:val="242021"/>
        </w:rPr>
        <w:t>class</w:t>
      </w:r>
      <w:r w:rsidRPr="000F0A40">
        <w:rPr>
          <w:color w:val="242021"/>
          <w:spacing w:val="16"/>
        </w:rPr>
        <w:t xml:space="preserve"> </w:t>
      </w:r>
      <w:r w:rsidRPr="000F0A40">
        <w:rPr>
          <w:color w:val="242021"/>
        </w:rPr>
        <w:t>or</w:t>
      </w:r>
      <w:r w:rsidRPr="000F0A40">
        <w:rPr>
          <w:color w:val="242021"/>
          <w:spacing w:val="17"/>
        </w:rPr>
        <w:t xml:space="preserve"> </w:t>
      </w:r>
      <w:r w:rsidRPr="000F0A40">
        <w:rPr>
          <w:color w:val="242021"/>
        </w:rPr>
        <w:t>overnight</w:t>
      </w:r>
      <w:r w:rsidRPr="000F0A40">
        <w:rPr>
          <w:color w:val="242021"/>
          <w:spacing w:val="17"/>
        </w:rPr>
        <w:t xml:space="preserve"> </w:t>
      </w:r>
      <w:r w:rsidRPr="000F0A40">
        <w:rPr>
          <w:color w:val="242021"/>
          <w:spacing w:val="-1"/>
        </w:rPr>
        <w:t>U.S.</w:t>
      </w:r>
      <w:r w:rsidRPr="000F0A40">
        <w:rPr>
          <w:color w:val="242021"/>
          <w:spacing w:val="17"/>
        </w:rPr>
        <w:t xml:space="preserve"> </w:t>
      </w:r>
      <w:r w:rsidRPr="000F0A40">
        <w:rPr>
          <w:color w:val="242021"/>
        </w:rPr>
        <w:t>Postal</w:t>
      </w:r>
      <w:r w:rsidRPr="000F0A40">
        <w:rPr>
          <w:color w:val="242021"/>
          <w:spacing w:val="15"/>
        </w:rPr>
        <w:t xml:space="preserve"> </w:t>
      </w:r>
      <w:r w:rsidRPr="000F0A40">
        <w:rPr>
          <w:color w:val="242021"/>
        </w:rPr>
        <w:t>Service</w:t>
      </w:r>
      <w:r w:rsidRPr="000F0A40">
        <w:rPr>
          <w:color w:val="242021"/>
          <w:spacing w:val="15"/>
        </w:rPr>
        <w:t xml:space="preserve"> </w:t>
      </w:r>
      <w:r w:rsidRPr="000F0A40">
        <w:rPr>
          <w:color w:val="242021"/>
        </w:rPr>
        <w:t xml:space="preserve">mail. </w:t>
      </w:r>
      <w:r w:rsidRPr="000F0A40">
        <w:rPr>
          <w:color w:val="242021"/>
          <w:spacing w:val="30"/>
        </w:rPr>
        <w:t xml:space="preserve"> </w:t>
      </w:r>
      <w:r w:rsidRPr="000F0A40">
        <w:rPr>
          <w:color w:val="242021"/>
        </w:rPr>
        <w:t>All</w:t>
      </w:r>
      <w:r w:rsidRPr="000F0A40">
        <w:rPr>
          <w:color w:val="242021"/>
          <w:spacing w:val="15"/>
        </w:rPr>
        <w:t xml:space="preserve"> </w:t>
      </w:r>
      <w:r w:rsidRPr="000F0A40">
        <w:rPr>
          <w:color w:val="242021"/>
        </w:rPr>
        <w:t>filings</w:t>
      </w:r>
      <w:r w:rsidRPr="000F0A40">
        <w:rPr>
          <w:color w:val="242021"/>
          <w:spacing w:val="15"/>
        </w:rPr>
        <w:t xml:space="preserve"> </w:t>
      </w:r>
      <w:r w:rsidRPr="000F0A40">
        <w:rPr>
          <w:color w:val="242021"/>
        </w:rPr>
        <w:t>must</w:t>
      </w:r>
      <w:r w:rsidRPr="000F0A40">
        <w:rPr>
          <w:color w:val="242021"/>
          <w:spacing w:val="15"/>
        </w:rPr>
        <w:t xml:space="preserve"> </w:t>
      </w:r>
      <w:r w:rsidRPr="000F0A40">
        <w:rPr>
          <w:color w:val="242021"/>
        </w:rPr>
        <w:t>be</w:t>
      </w:r>
      <w:r w:rsidRPr="000F0A40">
        <w:rPr>
          <w:color w:val="242021"/>
          <w:spacing w:val="15"/>
        </w:rPr>
        <w:t xml:space="preserve"> </w:t>
      </w:r>
      <w:r w:rsidRPr="000F0A40">
        <w:rPr>
          <w:color w:val="242021"/>
        </w:rPr>
        <w:t>addressed</w:t>
      </w:r>
      <w:r w:rsidRPr="000F0A40">
        <w:rPr>
          <w:color w:val="242021"/>
          <w:spacing w:val="14"/>
        </w:rPr>
        <w:t xml:space="preserve"> </w:t>
      </w:r>
      <w:r w:rsidRPr="000F0A40">
        <w:rPr>
          <w:color w:val="242021"/>
        </w:rPr>
        <w:t>to</w:t>
      </w:r>
      <w:r w:rsidRPr="000F0A40">
        <w:rPr>
          <w:color w:val="242021"/>
          <w:spacing w:val="15"/>
        </w:rPr>
        <w:t xml:space="preserve"> </w:t>
      </w:r>
      <w:r w:rsidRPr="000F0A40">
        <w:rPr>
          <w:color w:val="242021"/>
        </w:rPr>
        <w:t>the</w:t>
      </w:r>
      <w:r w:rsidRPr="000F0A40">
        <w:rPr>
          <w:color w:val="242021"/>
          <w:spacing w:val="15"/>
        </w:rPr>
        <w:t xml:space="preserve"> </w:t>
      </w:r>
      <w:r w:rsidRPr="000F0A40">
        <w:rPr>
          <w:color w:val="242021"/>
        </w:rPr>
        <w:t>Commission’s</w:t>
      </w:r>
      <w:r w:rsidRPr="000F0A40">
        <w:rPr>
          <w:color w:val="242021"/>
          <w:spacing w:val="21"/>
        </w:rPr>
        <w:t xml:space="preserve"> </w:t>
      </w:r>
      <w:r w:rsidRPr="000F0A40">
        <w:rPr>
          <w:color w:val="242021"/>
          <w:spacing w:val="-1"/>
        </w:rPr>
        <w:t>Secretary,</w:t>
      </w:r>
      <w:r w:rsidRPr="000F0A40">
        <w:rPr>
          <w:color w:val="242021"/>
        </w:rPr>
        <w:t xml:space="preserve"> </w:t>
      </w:r>
      <w:r w:rsidRPr="000F0A40">
        <w:rPr>
          <w:color w:val="242021"/>
          <w:spacing w:val="-1"/>
        </w:rPr>
        <w:t>Office</w:t>
      </w:r>
      <w:r w:rsidRPr="000F0A40">
        <w:rPr>
          <w:color w:val="242021"/>
        </w:rPr>
        <w:t xml:space="preserve"> of the </w:t>
      </w:r>
      <w:r w:rsidRPr="000F0A40">
        <w:rPr>
          <w:color w:val="242021"/>
          <w:spacing w:val="-1"/>
        </w:rPr>
        <w:t>Secretary,</w:t>
      </w:r>
      <w:r w:rsidRPr="000F0A40">
        <w:rPr>
          <w:color w:val="242021"/>
        </w:rPr>
        <w:t xml:space="preserve"> </w:t>
      </w:r>
      <w:r w:rsidRPr="000F0A40">
        <w:rPr>
          <w:color w:val="242021"/>
          <w:spacing w:val="-1"/>
        </w:rPr>
        <w:t>Federal</w:t>
      </w:r>
      <w:r w:rsidRPr="000F0A40">
        <w:rPr>
          <w:color w:val="242021"/>
        </w:rPr>
        <w:t xml:space="preserve"> Communications Commission.</w:t>
      </w:r>
    </w:p>
    <w:p w14:paraId="658CA34D" w14:textId="77777777" w:rsidR="00E514F4" w:rsidRPr="000F0A40" w:rsidRDefault="00E514F4" w:rsidP="00E514F4">
      <w:pPr>
        <w:pStyle w:val="BodyText"/>
        <w:kinsoku w:val="0"/>
        <w:overflowPunct w:val="0"/>
        <w:spacing w:before="11"/>
        <w:ind w:left="0" w:firstLine="0"/>
      </w:pPr>
    </w:p>
    <w:p w14:paraId="5F619D6F" w14:textId="77777777" w:rsidR="00B141C5" w:rsidRPr="00736B4B" w:rsidRDefault="00E514F4" w:rsidP="00422DE7">
      <w:pPr>
        <w:pStyle w:val="ListParagraph"/>
        <w:numPr>
          <w:ilvl w:val="0"/>
          <w:numId w:val="16"/>
        </w:numPr>
        <w:rPr>
          <w:rFonts w:ascii="Times New Roman" w:hAnsi="Times New Roman" w:cs="Times New Roman"/>
          <w:color w:val="000000"/>
        </w:rPr>
      </w:pPr>
      <w:r w:rsidRPr="00736B4B">
        <w:rPr>
          <w:rFonts w:ascii="Times New Roman" w:hAnsi="Times New Roman" w:cs="Times New Roman"/>
          <w:color w:val="242021"/>
        </w:rPr>
        <w:t>All hand-delivered or messenger-delivered paper filings for the Commission’s Secretary</w:t>
      </w:r>
      <w:r w:rsidRPr="00736B4B">
        <w:rPr>
          <w:rFonts w:ascii="Times New Roman" w:hAnsi="Times New Roman" w:cs="Times New Roman"/>
          <w:color w:val="242021"/>
          <w:spacing w:val="21"/>
        </w:rPr>
        <w:t xml:space="preserve"> </w:t>
      </w:r>
      <w:r w:rsidRPr="00736B4B">
        <w:rPr>
          <w:rFonts w:ascii="Times New Roman" w:hAnsi="Times New Roman" w:cs="Times New Roman"/>
          <w:color w:val="242021"/>
        </w:rPr>
        <w:t>must</w:t>
      </w:r>
      <w:r w:rsidRPr="00736B4B">
        <w:rPr>
          <w:rFonts w:ascii="Times New Roman" w:hAnsi="Times New Roman" w:cs="Times New Roman"/>
          <w:color w:val="242021"/>
          <w:spacing w:val="-2"/>
        </w:rPr>
        <w:t xml:space="preserve"> </w:t>
      </w:r>
      <w:r w:rsidRPr="00736B4B">
        <w:rPr>
          <w:rFonts w:ascii="Times New Roman" w:hAnsi="Times New Roman" w:cs="Times New Roman"/>
          <w:color w:val="242021"/>
          <w:spacing w:val="-1"/>
        </w:rPr>
        <w:t>be</w:t>
      </w:r>
      <w:r w:rsidRPr="00736B4B">
        <w:rPr>
          <w:rFonts w:ascii="Times New Roman" w:hAnsi="Times New Roman" w:cs="Times New Roman"/>
          <w:color w:val="242021"/>
        </w:rPr>
        <w:t xml:space="preserve"> </w:t>
      </w:r>
      <w:r w:rsidRPr="00736B4B">
        <w:rPr>
          <w:rFonts w:ascii="Times New Roman" w:hAnsi="Times New Roman" w:cs="Times New Roman"/>
          <w:color w:val="242021"/>
          <w:spacing w:val="-1"/>
        </w:rPr>
        <w:t>delivered</w:t>
      </w:r>
      <w:r w:rsidRPr="00736B4B">
        <w:rPr>
          <w:rFonts w:ascii="Times New Roman" w:hAnsi="Times New Roman" w:cs="Times New Roman"/>
          <w:color w:val="242021"/>
        </w:rPr>
        <w:t xml:space="preserve"> to </w:t>
      </w:r>
      <w:r w:rsidRPr="00736B4B">
        <w:rPr>
          <w:rFonts w:ascii="Times New Roman" w:hAnsi="Times New Roman" w:cs="Times New Roman"/>
          <w:color w:val="242021"/>
          <w:spacing w:val="-1"/>
        </w:rPr>
        <w:t xml:space="preserve">FCC </w:t>
      </w:r>
      <w:r w:rsidRPr="00736B4B">
        <w:rPr>
          <w:rFonts w:ascii="Times New Roman" w:hAnsi="Times New Roman" w:cs="Times New Roman"/>
          <w:color w:val="242021"/>
        </w:rPr>
        <w:t>Headquarters</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 xml:space="preserve">at 445 </w:t>
      </w:r>
      <w:r w:rsidRPr="00736B4B">
        <w:rPr>
          <w:rFonts w:ascii="Times New Roman" w:hAnsi="Times New Roman" w:cs="Times New Roman"/>
          <w:color w:val="242021"/>
          <w:spacing w:val="-1"/>
        </w:rPr>
        <w:t>12</w:t>
      </w:r>
      <w:r w:rsidRPr="00736B4B">
        <w:rPr>
          <w:rFonts w:ascii="Times New Roman" w:hAnsi="Times New Roman" w:cs="Times New Roman"/>
          <w:color w:val="242021"/>
          <w:spacing w:val="-1"/>
          <w:position w:val="10"/>
          <w:sz w:val="14"/>
          <w:szCs w:val="14"/>
        </w:rPr>
        <w:t>th</w:t>
      </w:r>
      <w:r w:rsidRPr="00736B4B">
        <w:rPr>
          <w:rFonts w:ascii="Times New Roman" w:hAnsi="Times New Roman" w:cs="Times New Roman"/>
          <w:color w:val="242021"/>
          <w:spacing w:val="17"/>
          <w:position w:val="10"/>
          <w:sz w:val="14"/>
          <w:szCs w:val="14"/>
        </w:rPr>
        <w:t xml:space="preserve"> </w:t>
      </w:r>
      <w:r w:rsidRPr="00736B4B">
        <w:rPr>
          <w:rFonts w:ascii="Times New Roman" w:hAnsi="Times New Roman" w:cs="Times New Roman"/>
          <w:color w:val="242021"/>
          <w:spacing w:val="-1"/>
        </w:rPr>
        <w:t>St.,</w:t>
      </w:r>
      <w:r w:rsidRPr="00736B4B">
        <w:rPr>
          <w:rFonts w:ascii="Times New Roman" w:hAnsi="Times New Roman" w:cs="Times New Roman"/>
          <w:color w:val="242021"/>
        </w:rPr>
        <w:t xml:space="preserve"> </w:t>
      </w:r>
      <w:r w:rsidRPr="00736B4B">
        <w:rPr>
          <w:rFonts w:ascii="Times New Roman" w:hAnsi="Times New Roman" w:cs="Times New Roman"/>
          <w:color w:val="242021"/>
          <w:spacing w:val="-1"/>
        </w:rPr>
        <w:t>SW,</w:t>
      </w:r>
      <w:r w:rsidRPr="00736B4B">
        <w:rPr>
          <w:rFonts w:ascii="Times New Roman" w:hAnsi="Times New Roman" w:cs="Times New Roman"/>
          <w:color w:val="242021"/>
        </w:rPr>
        <w:t xml:space="preserve"> </w:t>
      </w:r>
      <w:r w:rsidRPr="00736B4B">
        <w:rPr>
          <w:rFonts w:ascii="Times New Roman" w:hAnsi="Times New Roman" w:cs="Times New Roman"/>
          <w:color w:val="242021"/>
          <w:spacing w:val="-1"/>
        </w:rPr>
        <w:t xml:space="preserve">Room </w:t>
      </w:r>
      <w:r w:rsidRPr="00736B4B">
        <w:rPr>
          <w:rFonts w:ascii="Times New Roman" w:hAnsi="Times New Roman" w:cs="Times New Roman"/>
          <w:color w:val="242021"/>
          <w:spacing w:val="-2"/>
        </w:rPr>
        <w:t>TW-A325,</w:t>
      </w:r>
      <w:r w:rsidRPr="00736B4B">
        <w:rPr>
          <w:rFonts w:ascii="Times New Roman" w:hAnsi="Times New Roman" w:cs="Times New Roman"/>
          <w:color w:val="242021"/>
          <w:spacing w:val="30"/>
        </w:rPr>
        <w:t xml:space="preserve"> </w:t>
      </w:r>
      <w:r w:rsidRPr="00736B4B">
        <w:rPr>
          <w:rFonts w:ascii="Times New Roman" w:hAnsi="Times New Roman" w:cs="Times New Roman"/>
          <w:color w:val="242021"/>
        </w:rPr>
        <w:t>Washington,</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 xml:space="preserve">DC 20554.  The filing hours are 8:00 a.m. to 7:00 p.m. </w:t>
      </w:r>
      <w:r w:rsidRPr="00736B4B">
        <w:rPr>
          <w:rFonts w:ascii="Times New Roman" w:hAnsi="Times New Roman" w:cs="Times New Roman"/>
          <w:color w:val="242021"/>
          <w:spacing w:val="55"/>
        </w:rPr>
        <w:t xml:space="preserve"> </w:t>
      </w:r>
      <w:r w:rsidRPr="00736B4B">
        <w:rPr>
          <w:rFonts w:ascii="Times New Roman" w:hAnsi="Times New Roman" w:cs="Times New Roman"/>
          <w:color w:val="242021"/>
        </w:rPr>
        <w:t>All hand deliveries must be held together</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with rubber bands or fasteners.  Any envelopes</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 xml:space="preserve">and boxes must be disposed of </w:t>
      </w:r>
      <w:r w:rsidRPr="00736B4B">
        <w:rPr>
          <w:rFonts w:ascii="Times New Roman" w:hAnsi="Times New Roman" w:cs="Times New Roman"/>
          <w:color w:val="242021"/>
          <w:u w:val="single"/>
        </w:rPr>
        <w:t xml:space="preserve">before </w:t>
      </w:r>
      <w:r w:rsidRPr="00736B4B">
        <w:rPr>
          <w:rFonts w:ascii="Times New Roman" w:hAnsi="Times New Roman" w:cs="Times New Roman"/>
          <w:color w:val="242021"/>
        </w:rPr>
        <w:t>entering the building.</w:t>
      </w:r>
    </w:p>
    <w:p w14:paraId="3EE18AB5" w14:textId="77777777" w:rsidR="00E514F4" w:rsidRPr="00736B4B" w:rsidRDefault="00E514F4" w:rsidP="00422DE7">
      <w:pPr>
        <w:pStyle w:val="ListParagraph"/>
        <w:numPr>
          <w:ilvl w:val="0"/>
          <w:numId w:val="16"/>
        </w:numPr>
        <w:rPr>
          <w:rFonts w:ascii="Times New Roman" w:hAnsi="Times New Roman" w:cs="Times New Roman"/>
          <w:color w:val="000000"/>
        </w:rPr>
      </w:pPr>
      <w:r w:rsidRPr="00736B4B">
        <w:rPr>
          <w:rFonts w:ascii="Times New Roman" w:hAnsi="Times New Roman" w:cs="Times New Roman"/>
          <w:color w:val="242021"/>
        </w:rPr>
        <w:t>Commercial overnight mail (other than U.S. Postal Service Express</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 xml:space="preserve">Mail and Priority </w:t>
      </w:r>
      <w:r w:rsidRPr="00736B4B">
        <w:rPr>
          <w:rFonts w:ascii="Times New Roman" w:hAnsi="Times New Roman" w:cs="Times New Roman"/>
          <w:color w:val="242021"/>
          <w:spacing w:val="-1"/>
        </w:rPr>
        <w:t>Mail)</w:t>
      </w:r>
      <w:r w:rsidRPr="00736B4B">
        <w:rPr>
          <w:rFonts w:ascii="Times New Roman" w:hAnsi="Times New Roman" w:cs="Times New Roman"/>
          <w:color w:val="242021"/>
        </w:rPr>
        <w:t xml:space="preserve"> must be </w:t>
      </w:r>
      <w:r w:rsidRPr="00736B4B">
        <w:rPr>
          <w:rFonts w:ascii="Times New Roman" w:hAnsi="Times New Roman" w:cs="Times New Roman"/>
          <w:color w:val="242021"/>
          <w:spacing w:val="-1"/>
        </w:rPr>
        <w:t>sent</w:t>
      </w:r>
      <w:r w:rsidRPr="00736B4B">
        <w:rPr>
          <w:rFonts w:ascii="Times New Roman" w:hAnsi="Times New Roman" w:cs="Times New Roman"/>
          <w:color w:val="242021"/>
        </w:rPr>
        <w:t xml:space="preserve"> to 9300 East </w:t>
      </w:r>
      <w:r w:rsidRPr="00736B4B">
        <w:rPr>
          <w:rFonts w:ascii="Times New Roman" w:hAnsi="Times New Roman" w:cs="Times New Roman"/>
          <w:color w:val="242021"/>
          <w:spacing w:val="-1"/>
        </w:rPr>
        <w:t>Hampton</w:t>
      </w:r>
      <w:r w:rsidRPr="00736B4B">
        <w:rPr>
          <w:rFonts w:ascii="Times New Roman" w:hAnsi="Times New Roman" w:cs="Times New Roman"/>
          <w:color w:val="242021"/>
        </w:rPr>
        <w:t xml:space="preserve"> </w:t>
      </w:r>
      <w:r w:rsidRPr="00736B4B">
        <w:rPr>
          <w:rFonts w:ascii="Times New Roman" w:hAnsi="Times New Roman" w:cs="Times New Roman"/>
          <w:color w:val="242021"/>
          <w:spacing w:val="-1"/>
        </w:rPr>
        <w:t>Drive,</w:t>
      </w:r>
      <w:r w:rsidRPr="00736B4B">
        <w:rPr>
          <w:rFonts w:ascii="Times New Roman" w:hAnsi="Times New Roman" w:cs="Times New Roman"/>
          <w:color w:val="242021"/>
        </w:rPr>
        <w:t xml:space="preserve"> Capitol </w:t>
      </w:r>
      <w:r w:rsidRPr="00736B4B">
        <w:rPr>
          <w:rFonts w:ascii="Times New Roman" w:hAnsi="Times New Roman" w:cs="Times New Roman"/>
          <w:color w:val="242021"/>
          <w:spacing w:val="-1"/>
        </w:rPr>
        <w:t>Heights,</w:t>
      </w:r>
      <w:r w:rsidRPr="00736B4B">
        <w:rPr>
          <w:rFonts w:ascii="Times New Roman" w:hAnsi="Times New Roman" w:cs="Times New Roman"/>
          <w:color w:val="242021"/>
        </w:rPr>
        <w:t xml:space="preserve"> </w:t>
      </w:r>
      <w:r w:rsidRPr="00736B4B">
        <w:rPr>
          <w:rFonts w:ascii="Times New Roman" w:hAnsi="Times New Roman" w:cs="Times New Roman"/>
          <w:color w:val="242021"/>
          <w:spacing w:val="-1"/>
        </w:rPr>
        <w:t>MD</w:t>
      </w:r>
      <w:r w:rsidRPr="00736B4B">
        <w:rPr>
          <w:rFonts w:ascii="Times New Roman" w:hAnsi="Times New Roman" w:cs="Times New Roman"/>
          <w:color w:val="242021"/>
          <w:spacing w:val="55"/>
        </w:rPr>
        <w:t xml:space="preserve"> </w:t>
      </w:r>
      <w:r w:rsidRPr="00736B4B">
        <w:rPr>
          <w:rFonts w:ascii="Times New Roman" w:hAnsi="Times New Roman" w:cs="Times New Roman"/>
          <w:color w:val="242021"/>
        </w:rPr>
        <w:t>20743.</w:t>
      </w:r>
    </w:p>
    <w:p w14:paraId="6D93245B" w14:textId="77777777" w:rsidR="00B141C5" w:rsidRPr="00736B4B" w:rsidRDefault="00E514F4" w:rsidP="00422DE7">
      <w:pPr>
        <w:pStyle w:val="ListParagraph"/>
        <w:numPr>
          <w:ilvl w:val="0"/>
          <w:numId w:val="16"/>
        </w:numPr>
        <w:rPr>
          <w:rFonts w:ascii="Times New Roman" w:hAnsi="Times New Roman" w:cs="Times New Roman"/>
          <w:color w:val="242021"/>
        </w:rPr>
      </w:pPr>
      <w:r w:rsidRPr="00736B4B">
        <w:rPr>
          <w:rFonts w:ascii="Times New Roman" w:hAnsi="Times New Roman" w:cs="Times New Roman"/>
          <w:color w:val="242021"/>
        </w:rPr>
        <w:t>U.S. Postal Service first-class, Express, and Priority mail must be addressed to 445</w:t>
      </w:r>
      <w:r w:rsidRPr="00736B4B">
        <w:rPr>
          <w:rFonts w:ascii="Times New Roman" w:hAnsi="Times New Roman" w:cs="Times New Roman"/>
          <w:color w:val="242021"/>
          <w:spacing w:val="-1"/>
        </w:rPr>
        <w:t xml:space="preserve"> 12</w:t>
      </w:r>
      <w:r w:rsidRPr="00736B4B">
        <w:rPr>
          <w:rFonts w:ascii="Times New Roman" w:hAnsi="Times New Roman" w:cs="Times New Roman"/>
          <w:color w:val="242021"/>
          <w:spacing w:val="-1"/>
          <w:position w:val="10"/>
          <w:sz w:val="14"/>
          <w:szCs w:val="14"/>
        </w:rPr>
        <w:t>th</w:t>
      </w:r>
      <w:r w:rsidRPr="00736B4B">
        <w:rPr>
          <w:rFonts w:ascii="Times New Roman" w:hAnsi="Times New Roman" w:cs="Times New Roman"/>
          <w:color w:val="242021"/>
          <w:spacing w:val="22"/>
          <w:w w:val="99"/>
          <w:position w:val="10"/>
          <w:sz w:val="14"/>
          <w:szCs w:val="14"/>
        </w:rPr>
        <w:t xml:space="preserve"> </w:t>
      </w:r>
      <w:r w:rsidRPr="00736B4B">
        <w:rPr>
          <w:rFonts w:ascii="Times New Roman" w:hAnsi="Times New Roman" w:cs="Times New Roman"/>
          <w:color w:val="242021"/>
        </w:rPr>
        <w:t>Street, SW, Washington</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DC  20554.</w:t>
      </w:r>
    </w:p>
    <w:p w14:paraId="40E6B8C2" w14:textId="77777777" w:rsidR="00E514F4" w:rsidRPr="00736B4B" w:rsidRDefault="00E514F4" w:rsidP="00422DE7">
      <w:pPr>
        <w:pStyle w:val="ListParagraph"/>
        <w:numPr>
          <w:ilvl w:val="0"/>
          <w:numId w:val="16"/>
        </w:numPr>
        <w:rPr>
          <w:rFonts w:ascii="Times New Roman" w:hAnsi="Times New Roman" w:cs="Times New Roman"/>
          <w:color w:val="000000"/>
        </w:rPr>
      </w:pPr>
      <w:r w:rsidRPr="00736B4B">
        <w:rPr>
          <w:rFonts w:ascii="Times New Roman" w:hAnsi="Times New Roman" w:cs="Times New Roman"/>
          <w:color w:val="242021"/>
        </w:rPr>
        <w:t>People</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 xml:space="preserve">with Disabilities: </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 xml:space="preserve">To request materials in accessible formats for people with disabilities (Braille, large print, electronic files, audio format), send an </w:t>
      </w:r>
      <w:r w:rsidRPr="00736B4B">
        <w:rPr>
          <w:rFonts w:ascii="Times New Roman" w:hAnsi="Times New Roman" w:cs="Times New Roman"/>
          <w:color w:val="242021"/>
          <w:spacing w:val="-1"/>
        </w:rPr>
        <w:t>e-mail</w:t>
      </w:r>
      <w:r w:rsidRPr="00736B4B">
        <w:rPr>
          <w:rFonts w:ascii="Times New Roman" w:hAnsi="Times New Roman" w:cs="Times New Roman"/>
          <w:color w:val="242021"/>
        </w:rPr>
        <w:t xml:space="preserve"> to </w:t>
      </w:r>
      <w:r w:rsidRPr="00736B4B">
        <w:rPr>
          <w:rFonts w:ascii="Times New Roman" w:hAnsi="Times New Roman" w:cs="Times New Roman"/>
          <w:color w:val="2F3192"/>
        </w:rPr>
        <w:t xml:space="preserve"> </w:t>
      </w:r>
      <w:r w:rsidRPr="00736B4B">
        <w:rPr>
          <w:rFonts w:ascii="Times New Roman" w:hAnsi="Times New Roman" w:cs="Times New Roman"/>
          <w:color w:val="2F3192"/>
          <w:spacing w:val="-1"/>
          <w:u w:val="single"/>
        </w:rPr>
        <w:t>fcc504@fcc.gov</w:t>
      </w:r>
      <w:r w:rsidRPr="00736B4B">
        <w:rPr>
          <w:rFonts w:ascii="Times New Roman" w:hAnsi="Times New Roman" w:cs="Times New Roman"/>
          <w:color w:val="2F3192"/>
          <w:spacing w:val="-2"/>
          <w:u w:val="single"/>
        </w:rPr>
        <w:t xml:space="preserve"> </w:t>
      </w:r>
      <w:r w:rsidRPr="00736B4B">
        <w:rPr>
          <w:rFonts w:ascii="Times New Roman" w:hAnsi="Times New Roman" w:cs="Times New Roman"/>
          <w:color w:val="242021"/>
        </w:rPr>
        <w:t>or call the Consumer and Governmental</w:t>
      </w:r>
      <w:r w:rsidRPr="00736B4B">
        <w:rPr>
          <w:rFonts w:ascii="Times New Roman" w:hAnsi="Times New Roman" w:cs="Times New Roman"/>
          <w:color w:val="242021"/>
          <w:spacing w:val="1"/>
        </w:rPr>
        <w:t xml:space="preserve"> </w:t>
      </w:r>
      <w:r w:rsidRPr="00736B4B">
        <w:rPr>
          <w:rFonts w:ascii="Times New Roman" w:hAnsi="Times New Roman" w:cs="Times New Roman"/>
          <w:color w:val="242021"/>
        </w:rPr>
        <w:t>Affairs Bureau at (202) 418-</w:t>
      </w:r>
      <w:r w:rsidRPr="00736B4B">
        <w:rPr>
          <w:rFonts w:ascii="Times New Roman" w:hAnsi="Times New Roman" w:cs="Times New Roman"/>
          <w:color w:val="242021"/>
          <w:spacing w:val="27"/>
        </w:rPr>
        <w:t xml:space="preserve"> </w:t>
      </w:r>
      <w:r w:rsidRPr="00736B4B">
        <w:rPr>
          <w:rFonts w:ascii="Times New Roman" w:hAnsi="Times New Roman" w:cs="Times New Roman"/>
          <w:color w:val="242021"/>
        </w:rPr>
        <w:t xml:space="preserve">0530 (voice), (202) </w:t>
      </w:r>
      <w:r w:rsidRPr="00736B4B">
        <w:rPr>
          <w:rFonts w:ascii="Times New Roman" w:hAnsi="Times New Roman" w:cs="Times New Roman"/>
          <w:color w:val="242021"/>
          <w:spacing w:val="-1"/>
        </w:rPr>
        <w:t>418-0432</w:t>
      </w:r>
      <w:r w:rsidRPr="00736B4B">
        <w:rPr>
          <w:rFonts w:ascii="Times New Roman" w:hAnsi="Times New Roman" w:cs="Times New Roman"/>
          <w:color w:val="242021"/>
        </w:rPr>
        <w:t xml:space="preserve"> (tty).</w:t>
      </w:r>
    </w:p>
    <w:p w14:paraId="6E4AD47F" w14:textId="77777777" w:rsidR="00E514F4" w:rsidRPr="004F0878" w:rsidRDefault="00E514F4" w:rsidP="00E514F4">
      <w:pPr>
        <w:pStyle w:val="BodyText"/>
        <w:kinsoku w:val="0"/>
        <w:overflowPunct w:val="0"/>
        <w:spacing w:before="43" w:line="244" w:lineRule="auto"/>
        <w:ind w:left="120" w:right="105" w:firstLine="720"/>
        <w:rPr>
          <w:color w:val="000000"/>
        </w:rPr>
      </w:pPr>
      <w:r w:rsidRPr="004F0878">
        <w:rPr>
          <w:color w:val="242021"/>
        </w:rPr>
        <w:t>The proceeding this Notice</w:t>
      </w:r>
      <w:r w:rsidRPr="004F0878">
        <w:rPr>
          <w:color w:val="242021"/>
          <w:spacing w:val="1"/>
        </w:rPr>
        <w:t xml:space="preserve"> </w:t>
      </w:r>
      <w:r w:rsidRPr="004F0878">
        <w:rPr>
          <w:color w:val="242021"/>
        </w:rPr>
        <w:t xml:space="preserve">initiates shall be treated as a </w:t>
      </w:r>
      <w:r w:rsidRPr="004F0878">
        <w:rPr>
          <w:color w:val="242021"/>
          <w:spacing w:val="-1"/>
        </w:rPr>
        <w:t>“permit-but-disclose”</w:t>
      </w:r>
      <w:r w:rsidRPr="004F0878">
        <w:rPr>
          <w:color w:val="242021"/>
        </w:rPr>
        <w:t xml:space="preserve"> proceeding in</w:t>
      </w:r>
      <w:r w:rsidRPr="004F0878">
        <w:rPr>
          <w:color w:val="242021"/>
          <w:spacing w:val="29"/>
        </w:rPr>
        <w:t xml:space="preserve"> </w:t>
      </w:r>
      <w:r w:rsidRPr="004F0878">
        <w:rPr>
          <w:color w:val="242021"/>
        </w:rPr>
        <w:t>accordance</w:t>
      </w:r>
      <w:r w:rsidRPr="004F0878">
        <w:rPr>
          <w:color w:val="242021"/>
          <w:spacing w:val="-2"/>
        </w:rPr>
        <w:t xml:space="preserve"> </w:t>
      </w:r>
      <w:r w:rsidRPr="004F0878">
        <w:rPr>
          <w:color w:val="242021"/>
          <w:spacing w:val="-1"/>
        </w:rPr>
        <w:t>with</w:t>
      </w:r>
      <w:r w:rsidRPr="004F0878">
        <w:rPr>
          <w:color w:val="242021"/>
        </w:rPr>
        <w:t xml:space="preserve"> the Commission’s </w:t>
      </w:r>
      <w:r w:rsidRPr="004F0878">
        <w:rPr>
          <w:i/>
          <w:iCs/>
          <w:color w:val="242021"/>
        </w:rPr>
        <w:t xml:space="preserve">ex parte </w:t>
      </w:r>
      <w:r w:rsidRPr="004F0878">
        <w:rPr>
          <w:color w:val="242021"/>
        </w:rPr>
        <w:t>rules.</w:t>
      </w:r>
      <w:r w:rsidRPr="004F0878">
        <w:rPr>
          <w:color w:val="242021"/>
          <w:position w:val="10"/>
          <w:sz w:val="14"/>
          <w:szCs w:val="14"/>
        </w:rPr>
        <w:t xml:space="preserve">16  </w:t>
      </w:r>
      <w:r w:rsidRPr="004F0878">
        <w:rPr>
          <w:color w:val="242021"/>
          <w:spacing w:val="5"/>
          <w:position w:val="10"/>
          <w:sz w:val="14"/>
          <w:szCs w:val="14"/>
        </w:rPr>
        <w:t xml:space="preserve"> </w:t>
      </w:r>
      <w:r w:rsidRPr="004F0878">
        <w:rPr>
          <w:color w:val="242021"/>
          <w:spacing w:val="-1"/>
        </w:rPr>
        <w:t>Persons</w:t>
      </w:r>
      <w:r w:rsidRPr="004F0878">
        <w:rPr>
          <w:color w:val="242021"/>
        </w:rPr>
        <w:t xml:space="preserve"> </w:t>
      </w:r>
      <w:r w:rsidRPr="004F0878">
        <w:rPr>
          <w:color w:val="242021"/>
          <w:spacing w:val="-1"/>
        </w:rPr>
        <w:t xml:space="preserve">making </w:t>
      </w:r>
      <w:r w:rsidRPr="004F0878">
        <w:rPr>
          <w:i/>
          <w:iCs/>
          <w:color w:val="242021"/>
        </w:rPr>
        <w:t>ex</w:t>
      </w:r>
      <w:r w:rsidRPr="004F0878">
        <w:rPr>
          <w:i/>
          <w:iCs/>
          <w:color w:val="242021"/>
          <w:spacing w:val="-1"/>
        </w:rPr>
        <w:t xml:space="preserve"> </w:t>
      </w:r>
      <w:r w:rsidRPr="004F0878">
        <w:rPr>
          <w:i/>
          <w:iCs/>
          <w:color w:val="242021"/>
        </w:rPr>
        <w:t xml:space="preserve">parte </w:t>
      </w:r>
      <w:r w:rsidRPr="004F0878">
        <w:rPr>
          <w:color w:val="242021"/>
        </w:rPr>
        <w:t>presentations must file a</w:t>
      </w:r>
      <w:r w:rsidRPr="004F0878">
        <w:rPr>
          <w:color w:val="242021"/>
          <w:spacing w:val="24"/>
        </w:rPr>
        <w:t xml:space="preserve"> </w:t>
      </w:r>
      <w:r w:rsidRPr="004F0878">
        <w:rPr>
          <w:color w:val="242021"/>
        </w:rPr>
        <w:t xml:space="preserve">copy </w:t>
      </w:r>
      <w:r w:rsidRPr="004F0878">
        <w:rPr>
          <w:color w:val="242021"/>
          <w:spacing w:val="-1"/>
        </w:rPr>
        <w:t>of</w:t>
      </w:r>
      <w:r w:rsidRPr="004F0878">
        <w:rPr>
          <w:color w:val="242021"/>
        </w:rPr>
        <w:t xml:space="preserve"> any </w:t>
      </w:r>
      <w:r w:rsidRPr="004F0878">
        <w:rPr>
          <w:color w:val="242021"/>
          <w:spacing w:val="-1"/>
        </w:rPr>
        <w:t>written</w:t>
      </w:r>
      <w:r w:rsidRPr="004F0878">
        <w:rPr>
          <w:color w:val="242021"/>
        </w:rPr>
        <w:t xml:space="preserve"> </w:t>
      </w:r>
      <w:r w:rsidRPr="004F0878">
        <w:rPr>
          <w:color w:val="242021"/>
          <w:spacing w:val="-1"/>
        </w:rPr>
        <w:t>presentation</w:t>
      </w:r>
      <w:r w:rsidRPr="004F0878">
        <w:rPr>
          <w:color w:val="242021"/>
        </w:rPr>
        <w:t xml:space="preserve"> </w:t>
      </w:r>
      <w:r w:rsidRPr="004F0878">
        <w:rPr>
          <w:color w:val="242021"/>
          <w:spacing w:val="-1"/>
        </w:rPr>
        <w:t>or</w:t>
      </w:r>
      <w:r w:rsidRPr="004F0878">
        <w:rPr>
          <w:color w:val="242021"/>
        </w:rPr>
        <w:t xml:space="preserve"> a memorandum</w:t>
      </w:r>
      <w:r w:rsidRPr="004F0878">
        <w:rPr>
          <w:color w:val="242021"/>
          <w:spacing w:val="-1"/>
        </w:rPr>
        <w:t xml:space="preserve"> summarizing</w:t>
      </w:r>
      <w:r w:rsidRPr="004F0878">
        <w:rPr>
          <w:color w:val="242021"/>
          <w:spacing w:val="1"/>
        </w:rPr>
        <w:t xml:space="preserve"> </w:t>
      </w:r>
      <w:r w:rsidRPr="004F0878">
        <w:rPr>
          <w:color w:val="242021"/>
        </w:rPr>
        <w:t xml:space="preserve">any </w:t>
      </w:r>
      <w:r w:rsidRPr="004F0878">
        <w:rPr>
          <w:color w:val="242021"/>
          <w:spacing w:val="-1"/>
        </w:rPr>
        <w:t>oral</w:t>
      </w:r>
      <w:r w:rsidRPr="004F0878">
        <w:rPr>
          <w:color w:val="242021"/>
        </w:rPr>
        <w:t xml:space="preserve"> </w:t>
      </w:r>
      <w:r w:rsidRPr="004F0878">
        <w:rPr>
          <w:color w:val="242021"/>
          <w:spacing w:val="-1"/>
        </w:rPr>
        <w:t>presentation</w:t>
      </w:r>
      <w:r w:rsidRPr="004F0878">
        <w:rPr>
          <w:color w:val="242021"/>
        </w:rPr>
        <w:t xml:space="preserve"> </w:t>
      </w:r>
      <w:r w:rsidRPr="004F0878">
        <w:rPr>
          <w:color w:val="242021"/>
          <w:spacing w:val="-1"/>
        </w:rPr>
        <w:t>within</w:t>
      </w:r>
      <w:r w:rsidRPr="004F0878">
        <w:rPr>
          <w:color w:val="242021"/>
        </w:rPr>
        <w:t xml:space="preserve"> two</w:t>
      </w:r>
      <w:r w:rsidRPr="004F0878">
        <w:rPr>
          <w:color w:val="242021"/>
          <w:spacing w:val="29"/>
        </w:rPr>
        <w:t xml:space="preserve"> </w:t>
      </w:r>
      <w:r w:rsidRPr="004F0878">
        <w:rPr>
          <w:color w:val="242021"/>
        </w:rPr>
        <w:t>business days after the presentation (unless a different deadline applicable to the Sunshine</w:t>
      </w:r>
      <w:r w:rsidRPr="004F0878">
        <w:rPr>
          <w:color w:val="242021"/>
          <w:spacing w:val="1"/>
        </w:rPr>
        <w:t xml:space="preserve"> </w:t>
      </w:r>
      <w:r w:rsidRPr="004F0878">
        <w:rPr>
          <w:color w:val="242021"/>
        </w:rPr>
        <w:t xml:space="preserve">period </w:t>
      </w:r>
      <w:r w:rsidRPr="004F0878">
        <w:rPr>
          <w:color w:val="242021"/>
          <w:spacing w:val="-1"/>
        </w:rPr>
        <w:t>applies).</w:t>
      </w:r>
      <w:r w:rsidRPr="004F0878">
        <w:rPr>
          <w:color w:val="242021"/>
        </w:rPr>
        <w:t xml:space="preserve">  </w:t>
      </w:r>
      <w:r w:rsidRPr="004F0878">
        <w:rPr>
          <w:color w:val="242021"/>
          <w:spacing w:val="-1"/>
        </w:rPr>
        <w:t>Persons</w:t>
      </w:r>
      <w:r w:rsidRPr="004F0878">
        <w:rPr>
          <w:color w:val="242021"/>
        </w:rPr>
        <w:t xml:space="preserve"> making</w:t>
      </w:r>
      <w:r w:rsidRPr="004F0878">
        <w:rPr>
          <w:color w:val="242021"/>
          <w:spacing w:val="-1"/>
        </w:rPr>
        <w:t xml:space="preserve"> oral</w:t>
      </w:r>
      <w:r w:rsidRPr="004F0878">
        <w:rPr>
          <w:color w:val="242021"/>
        </w:rPr>
        <w:t xml:space="preserve"> </w:t>
      </w:r>
      <w:r w:rsidRPr="004F0878">
        <w:rPr>
          <w:i/>
          <w:iCs/>
          <w:color w:val="242021"/>
        </w:rPr>
        <w:t xml:space="preserve">ex parte </w:t>
      </w:r>
      <w:r w:rsidRPr="004F0878">
        <w:rPr>
          <w:color w:val="242021"/>
          <w:spacing w:val="-1"/>
        </w:rPr>
        <w:t>presentations</w:t>
      </w:r>
      <w:r w:rsidRPr="004F0878">
        <w:rPr>
          <w:color w:val="242021"/>
        </w:rPr>
        <w:t xml:space="preserve"> are </w:t>
      </w:r>
      <w:r w:rsidRPr="004F0878">
        <w:rPr>
          <w:color w:val="242021"/>
          <w:spacing w:val="-1"/>
        </w:rPr>
        <w:t>reminded</w:t>
      </w:r>
      <w:r w:rsidRPr="004F0878">
        <w:rPr>
          <w:color w:val="242021"/>
        </w:rPr>
        <w:t xml:space="preserve"> that memoranda</w:t>
      </w:r>
      <w:r w:rsidRPr="004F0878">
        <w:rPr>
          <w:color w:val="242021"/>
          <w:spacing w:val="-1"/>
        </w:rPr>
        <w:t xml:space="preserve"> summarizing</w:t>
      </w:r>
      <w:r w:rsidRPr="004F0878">
        <w:rPr>
          <w:color w:val="242021"/>
          <w:spacing w:val="1"/>
        </w:rPr>
        <w:t xml:space="preserve"> </w:t>
      </w:r>
      <w:r w:rsidRPr="004F0878">
        <w:rPr>
          <w:color w:val="242021"/>
        </w:rPr>
        <w:t>the</w:t>
      </w:r>
      <w:r w:rsidRPr="004F0878">
        <w:rPr>
          <w:color w:val="242021"/>
          <w:spacing w:val="25"/>
        </w:rPr>
        <w:t xml:space="preserve"> </w:t>
      </w:r>
      <w:r w:rsidRPr="004F0878">
        <w:rPr>
          <w:color w:val="242021"/>
        </w:rPr>
        <w:t>presentation must (1) list all persons attending or otherwise participating in the meeting at which the</w:t>
      </w:r>
      <w:r w:rsidRPr="004F0878">
        <w:rPr>
          <w:color w:val="242021"/>
          <w:spacing w:val="-1"/>
        </w:rPr>
        <w:t xml:space="preserve"> </w:t>
      </w:r>
      <w:r w:rsidRPr="004F0878">
        <w:rPr>
          <w:i/>
          <w:iCs/>
          <w:color w:val="242021"/>
        </w:rPr>
        <w:t xml:space="preserve">ex parte </w:t>
      </w:r>
      <w:r w:rsidRPr="004F0878">
        <w:rPr>
          <w:color w:val="242021"/>
        </w:rPr>
        <w:t>presentation was made, and (2) summarize</w:t>
      </w:r>
      <w:r w:rsidRPr="004F0878">
        <w:rPr>
          <w:color w:val="242021"/>
          <w:spacing w:val="1"/>
        </w:rPr>
        <w:t xml:space="preserve"> </w:t>
      </w:r>
      <w:r w:rsidRPr="004F0878">
        <w:rPr>
          <w:color w:val="242021"/>
        </w:rPr>
        <w:t xml:space="preserve">all data </w:t>
      </w:r>
      <w:r w:rsidRPr="004F0878">
        <w:rPr>
          <w:color w:val="242021"/>
          <w:spacing w:val="-1"/>
        </w:rPr>
        <w:t>presented</w:t>
      </w:r>
      <w:r w:rsidRPr="004F0878">
        <w:rPr>
          <w:color w:val="242021"/>
        </w:rPr>
        <w:t xml:space="preserve"> and arguments</w:t>
      </w:r>
      <w:r w:rsidRPr="004F0878">
        <w:rPr>
          <w:color w:val="242021"/>
          <w:spacing w:val="-1"/>
        </w:rPr>
        <w:t xml:space="preserve"> </w:t>
      </w:r>
      <w:r w:rsidRPr="004F0878">
        <w:rPr>
          <w:color w:val="242021"/>
        </w:rPr>
        <w:t xml:space="preserve">made </w:t>
      </w:r>
      <w:r w:rsidRPr="004F0878">
        <w:rPr>
          <w:color w:val="242021"/>
          <w:spacing w:val="-1"/>
        </w:rPr>
        <w:t>during</w:t>
      </w:r>
      <w:r w:rsidRPr="004F0878">
        <w:rPr>
          <w:color w:val="242021"/>
        </w:rPr>
        <w:t xml:space="preserve"> the</w:t>
      </w:r>
      <w:r w:rsidRPr="004F0878">
        <w:rPr>
          <w:color w:val="242021"/>
          <w:spacing w:val="23"/>
        </w:rPr>
        <w:t xml:space="preserve"> </w:t>
      </w:r>
      <w:r w:rsidRPr="004F0878">
        <w:rPr>
          <w:color w:val="242021"/>
        </w:rPr>
        <w:t>presentation.  If the presentation consisted in whole or in part of the presentation of data or arguments already reflected in the presenter’s written comments, memoranda</w:t>
      </w:r>
      <w:r w:rsidRPr="004F0878">
        <w:rPr>
          <w:color w:val="242021"/>
          <w:spacing w:val="-1"/>
        </w:rPr>
        <w:t xml:space="preserve"> </w:t>
      </w:r>
      <w:r w:rsidRPr="004F0878">
        <w:rPr>
          <w:color w:val="242021"/>
        </w:rPr>
        <w:t>or other filings in the proceeding, the presenter may provide citations</w:t>
      </w:r>
      <w:r w:rsidRPr="004F0878">
        <w:rPr>
          <w:color w:val="242021"/>
          <w:spacing w:val="-1"/>
        </w:rPr>
        <w:t xml:space="preserve"> </w:t>
      </w:r>
      <w:r w:rsidRPr="004F0878">
        <w:rPr>
          <w:color w:val="242021"/>
        </w:rPr>
        <w:t xml:space="preserve">to </w:t>
      </w:r>
      <w:r w:rsidRPr="004F0878">
        <w:rPr>
          <w:color w:val="242021"/>
          <w:spacing w:val="-1"/>
        </w:rPr>
        <w:t>such</w:t>
      </w:r>
      <w:r w:rsidRPr="004F0878">
        <w:rPr>
          <w:color w:val="242021"/>
        </w:rPr>
        <w:t xml:space="preserve"> data or arguments</w:t>
      </w:r>
      <w:r w:rsidRPr="004F0878">
        <w:rPr>
          <w:color w:val="242021"/>
          <w:spacing w:val="-1"/>
        </w:rPr>
        <w:t xml:space="preserve"> </w:t>
      </w:r>
      <w:r w:rsidRPr="004F0878">
        <w:rPr>
          <w:color w:val="242021"/>
        </w:rPr>
        <w:t>in his or her prior comments,</w:t>
      </w:r>
      <w:r w:rsidRPr="004F0878">
        <w:rPr>
          <w:color w:val="242021"/>
          <w:spacing w:val="-1"/>
        </w:rPr>
        <w:t xml:space="preserve"> </w:t>
      </w:r>
      <w:r w:rsidRPr="004F0878">
        <w:rPr>
          <w:color w:val="242021"/>
        </w:rPr>
        <w:t>memoranda,</w:t>
      </w:r>
      <w:r w:rsidRPr="004F0878">
        <w:rPr>
          <w:color w:val="242021"/>
          <w:spacing w:val="-1"/>
        </w:rPr>
        <w:t xml:space="preserve"> </w:t>
      </w:r>
      <w:r w:rsidRPr="004F0878">
        <w:rPr>
          <w:color w:val="242021"/>
        </w:rPr>
        <w:t>or</w:t>
      </w:r>
      <w:r w:rsidRPr="004F0878">
        <w:rPr>
          <w:color w:val="242021"/>
          <w:spacing w:val="21"/>
        </w:rPr>
        <w:t xml:space="preserve"> </w:t>
      </w:r>
      <w:r w:rsidRPr="004F0878">
        <w:rPr>
          <w:color w:val="242021"/>
        </w:rPr>
        <w:t>other filings (specifying the relevant page and/or paragraph numbers where such data or arguments</w:t>
      </w:r>
      <w:r w:rsidRPr="004F0878">
        <w:rPr>
          <w:color w:val="242021"/>
          <w:spacing w:val="-1"/>
        </w:rPr>
        <w:t xml:space="preserve"> </w:t>
      </w:r>
      <w:r w:rsidRPr="004F0878">
        <w:rPr>
          <w:color w:val="242021"/>
        </w:rPr>
        <w:t xml:space="preserve">can </w:t>
      </w:r>
      <w:r w:rsidRPr="004F0878">
        <w:rPr>
          <w:color w:val="242021"/>
          <w:spacing w:val="-1"/>
        </w:rPr>
        <w:t>be</w:t>
      </w:r>
      <w:r w:rsidRPr="004F0878">
        <w:rPr>
          <w:color w:val="242021"/>
        </w:rPr>
        <w:t xml:space="preserve"> </w:t>
      </w:r>
      <w:r w:rsidRPr="004F0878">
        <w:rPr>
          <w:color w:val="242021"/>
          <w:spacing w:val="-1"/>
        </w:rPr>
        <w:t>found)</w:t>
      </w:r>
      <w:r w:rsidRPr="004F0878">
        <w:rPr>
          <w:color w:val="242021"/>
        </w:rPr>
        <w:t xml:space="preserve"> </w:t>
      </w:r>
      <w:r w:rsidRPr="004F0878">
        <w:rPr>
          <w:color w:val="242021"/>
          <w:spacing w:val="-1"/>
        </w:rPr>
        <w:t>in lieu of summarizing</w:t>
      </w:r>
      <w:r w:rsidRPr="004F0878">
        <w:rPr>
          <w:color w:val="242021"/>
        </w:rPr>
        <w:t xml:space="preserve"> </w:t>
      </w:r>
      <w:r w:rsidRPr="004F0878">
        <w:rPr>
          <w:color w:val="242021"/>
          <w:spacing w:val="-1"/>
        </w:rPr>
        <w:t>them in the memorandum.</w:t>
      </w:r>
      <w:r w:rsidRPr="004F0878">
        <w:rPr>
          <w:color w:val="242021"/>
          <w:spacing w:val="53"/>
        </w:rPr>
        <w:t xml:space="preserve"> </w:t>
      </w:r>
      <w:r w:rsidRPr="004F0878">
        <w:rPr>
          <w:color w:val="242021"/>
          <w:spacing w:val="-1"/>
        </w:rPr>
        <w:t>Documents</w:t>
      </w:r>
      <w:r w:rsidRPr="004F0878">
        <w:rPr>
          <w:color w:val="242021"/>
        </w:rPr>
        <w:t xml:space="preserve"> </w:t>
      </w:r>
      <w:r w:rsidRPr="004F0878">
        <w:rPr>
          <w:color w:val="242021"/>
          <w:spacing w:val="-1"/>
        </w:rPr>
        <w:t>shown</w:t>
      </w:r>
      <w:r w:rsidRPr="004F0878">
        <w:rPr>
          <w:color w:val="242021"/>
        </w:rPr>
        <w:t xml:space="preserve"> </w:t>
      </w:r>
      <w:r w:rsidRPr="004F0878">
        <w:rPr>
          <w:color w:val="242021"/>
          <w:spacing w:val="-1"/>
        </w:rPr>
        <w:t>or given</w:t>
      </w:r>
      <w:r w:rsidRPr="004F0878">
        <w:rPr>
          <w:color w:val="242021"/>
        </w:rPr>
        <w:t xml:space="preserve"> </w:t>
      </w:r>
      <w:r w:rsidRPr="004F0878">
        <w:rPr>
          <w:color w:val="242021"/>
          <w:spacing w:val="-1"/>
        </w:rPr>
        <w:t>to Commission</w:t>
      </w:r>
      <w:r w:rsidRPr="004F0878">
        <w:rPr>
          <w:color w:val="242021"/>
          <w:spacing w:val="30"/>
        </w:rPr>
        <w:t xml:space="preserve"> </w:t>
      </w:r>
      <w:r w:rsidRPr="004F0878">
        <w:rPr>
          <w:color w:val="242021"/>
        </w:rPr>
        <w:t xml:space="preserve">staff during </w:t>
      </w:r>
      <w:r w:rsidRPr="004F0878">
        <w:rPr>
          <w:i/>
          <w:iCs/>
          <w:color w:val="242021"/>
        </w:rPr>
        <w:t xml:space="preserve">ex parte </w:t>
      </w:r>
      <w:r w:rsidRPr="004F0878">
        <w:rPr>
          <w:color w:val="242021"/>
        </w:rPr>
        <w:t>meetings</w:t>
      </w:r>
      <w:r w:rsidRPr="004F0878">
        <w:rPr>
          <w:color w:val="242021"/>
          <w:spacing w:val="-1"/>
        </w:rPr>
        <w:t xml:space="preserve"> </w:t>
      </w:r>
      <w:r w:rsidRPr="004F0878">
        <w:rPr>
          <w:color w:val="242021"/>
        </w:rPr>
        <w:t xml:space="preserve">are deemed to be </w:t>
      </w:r>
      <w:r w:rsidRPr="004F0878">
        <w:rPr>
          <w:color w:val="242021"/>
          <w:spacing w:val="-1"/>
        </w:rPr>
        <w:t>written</w:t>
      </w:r>
      <w:r w:rsidRPr="004F0878">
        <w:rPr>
          <w:color w:val="242021"/>
        </w:rPr>
        <w:t xml:space="preserve"> </w:t>
      </w:r>
      <w:r w:rsidRPr="004F0878">
        <w:rPr>
          <w:i/>
          <w:iCs/>
          <w:color w:val="242021"/>
        </w:rPr>
        <w:t xml:space="preserve">ex parte </w:t>
      </w:r>
      <w:r w:rsidRPr="004F0878">
        <w:rPr>
          <w:color w:val="242021"/>
        </w:rPr>
        <w:t>presentations and must be filed</w:t>
      </w:r>
      <w:r w:rsidRPr="004F0878">
        <w:rPr>
          <w:color w:val="242021"/>
          <w:spacing w:val="22"/>
        </w:rPr>
        <w:t xml:space="preserve"> </w:t>
      </w:r>
      <w:r w:rsidRPr="004F0878">
        <w:rPr>
          <w:color w:val="242021"/>
        </w:rPr>
        <w:t>consistent</w:t>
      </w:r>
      <w:r w:rsidRPr="004F0878">
        <w:rPr>
          <w:color w:val="242021"/>
          <w:spacing w:val="-1"/>
        </w:rPr>
        <w:t xml:space="preserve"> </w:t>
      </w:r>
      <w:r w:rsidRPr="004F0878">
        <w:rPr>
          <w:color w:val="242021"/>
        </w:rPr>
        <w:t>with rule 1.1206(b).  In proceedings governed by rule 1.49(f) or for which the Commission has made available</w:t>
      </w:r>
      <w:r w:rsidRPr="004F0878">
        <w:rPr>
          <w:color w:val="242021"/>
          <w:spacing w:val="-1"/>
        </w:rPr>
        <w:t xml:space="preserve"> </w:t>
      </w:r>
      <w:r w:rsidRPr="004F0878">
        <w:rPr>
          <w:color w:val="242021"/>
        </w:rPr>
        <w:t xml:space="preserve">a method of electronic filing, written </w:t>
      </w:r>
      <w:r w:rsidRPr="004F0878">
        <w:rPr>
          <w:i/>
          <w:iCs/>
          <w:color w:val="242021"/>
        </w:rPr>
        <w:t xml:space="preserve">ex parte </w:t>
      </w:r>
      <w:r w:rsidRPr="004F0878">
        <w:rPr>
          <w:color w:val="242021"/>
          <w:spacing w:val="-1"/>
        </w:rPr>
        <w:t>presentations</w:t>
      </w:r>
      <w:r w:rsidRPr="004F0878">
        <w:rPr>
          <w:color w:val="242021"/>
        </w:rPr>
        <w:t xml:space="preserve"> </w:t>
      </w:r>
      <w:r w:rsidRPr="004F0878">
        <w:rPr>
          <w:color w:val="242021"/>
          <w:spacing w:val="-1"/>
        </w:rPr>
        <w:t>and memoranda summarizing</w:t>
      </w:r>
      <w:r w:rsidRPr="004F0878">
        <w:rPr>
          <w:color w:val="242021"/>
          <w:spacing w:val="23"/>
        </w:rPr>
        <w:t xml:space="preserve"> </w:t>
      </w:r>
      <w:r w:rsidRPr="004F0878">
        <w:rPr>
          <w:color w:val="242021"/>
        </w:rPr>
        <w:t xml:space="preserve">oral </w:t>
      </w:r>
      <w:r w:rsidRPr="004F0878">
        <w:rPr>
          <w:i/>
          <w:iCs/>
          <w:color w:val="242021"/>
        </w:rPr>
        <w:t xml:space="preserve">ex parte </w:t>
      </w:r>
      <w:r w:rsidRPr="004F0878">
        <w:rPr>
          <w:color w:val="242021"/>
        </w:rPr>
        <w:t>presentations, and all attachments</w:t>
      </w:r>
      <w:r w:rsidRPr="004F0878">
        <w:rPr>
          <w:color w:val="242021"/>
          <w:spacing w:val="-1"/>
        </w:rPr>
        <w:t xml:space="preserve"> </w:t>
      </w:r>
      <w:r w:rsidRPr="004F0878">
        <w:rPr>
          <w:color w:val="242021"/>
        </w:rPr>
        <w:t xml:space="preserve">thereto, must be filed through the electronic comment filing system available for that proceeding, and must be filed in their native format </w:t>
      </w:r>
      <w:r w:rsidRPr="004F0878">
        <w:rPr>
          <w:color w:val="242021"/>
          <w:spacing w:val="-1"/>
        </w:rPr>
        <w:t>(</w:t>
      </w:r>
      <w:r w:rsidRPr="004F0878">
        <w:rPr>
          <w:i/>
          <w:iCs/>
          <w:color w:val="242021"/>
          <w:spacing w:val="-1"/>
        </w:rPr>
        <w:t>e.g.</w:t>
      </w:r>
      <w:r w:rsidRPr="004F0878">
        <w:rPr>
          <w:color w:val="242021"/>
          <w:spacing w:val="-1"/>
        </w:rPr>
        <w:t>,</w:t>
      </w:r>
      <w:r w:rsidRPr="004F0878">
        <w:rPr>
          <w:color w:val="242021"/>
        </w:rPr>
        <w:t xml:space="preserve"> </w:t>
      </w:r>
      <w:r w:rsidRPr="004F0878">
        <w:rPr>
          <w:color w:val="242021"/>
          <w:spacing w:val="-1"/>
        </w:rPr>
        <w:t>.doc,</w:t>
      </w:r>
      <w:r w:rsidRPr="004F0878">
        <w:rPr>
          <w:color w:val="242021"/>
        </w:rPr>
        <w:t xml:space="preserve"> </w:t>
      </w:r>
      <w:r w:rsidRPr="004F0878">
        <w:rPr>
          <w:color w:val="242021"/>
          <w:spacing w:val="-1"/>
        </w:rPr>
        <w:t>.xml,</w:t>
      </w:r>
      <w:r w:rsidRPr="004F0878">
        <w:rPr>
          <w:color w:val="242021"/>
        </w:rPr>
        <w:t xml:space="preserve"> </w:t>
      </w:r>
      <w:r w:rsidRPr="004F0878">
        <w:rPr>
          <w:color w:val="242021"/>
          <w:spacing w:val="-1"/>
        </w:rPr>
        <w:t>.ppt,</w:t>
      </w:r>
      <w:r w:rsidRPr="004F0878">
        <w:rPr>
          <w:color w:val="242021"/>
          <w:spacing w:val="27"/>
        </w:rPr>
        <w:t xml:space="preserve"> </w:t>
      </w:r>
      <w:r w:rsidRPr="004F0878">
        <w:rPr>
          <w:color w:val="242021"/>
        </w:rPr>
        <w:t>searchable</w:t>
      </w:r>
      <w:r w:rsidRPr="004F0878">
        <w:rPr>
          <w:color w:val="242021"/>
          <w:spacing w:val="1"/>
        </w:rPr>
        <w:t xml:space="preserve"> </w:t>
      </w:r>
      <w:r w:rsidRPr="004F0878">
        <w:rPr>
          <w:color w:val="242021"/>
        </w:rPr>
        <w:t>.pdf).</w:t>
      </w:r>
      <w:r w:rsidRPr="004F0878">
        <w:rPr>
          <w:color w:val="242021"/>
          <w:spacing w:val="55"/>
        </w:rPr>
        <w:t xml:space="preserve"> </w:t>
      </w:r>
      <w:r w:rsidRPr="004F0878">
        <w:rPr>
          <w:color w:val="242021"/>
        </w:rPr>
        <w:t>Participants</w:t>
      </w:r>
      <w:r w:rsidRPr="004F0878">
        <w:rPr>
          <w:color w:val="242021"/>
          <w:spacing w:val="1"/>
        </w:rPr>
        <w:t xml:space="preserve"> </w:t>
      </w:r>
      <w:r w:rsidRPr="004F0878">
        <w:rPr>
          <w:color w:val="242021"/>
        </w:rPr>
        <w:t>in this proceeding should familiarize themselves</w:t>
      </w:r>
      <w:r w:rsidRPr="004F0878">
        <w:rPr>
          <w:color w:val="242021"/>
          <w:spacing w:val="-1"/>
        </w:rPr>
        <w:t xml:space="preserve"> </w:t>
      </w:r>
      <w:r w:rsidRPr="004F0878">
        <w:rPr>
          <w:color w:val="242021"/>
        </w:rPr>
        <w:t>with the Commission’s</w:t>
      </w:r>
      <w:r w:rsidRPr="004F0878">
        <w:rPr>
          <w:color w:val="242021"/>
          <w:spacing w:val="1"/>
        </w:rPr>
        <w:t xml:space="preserve"> </w:t>
      </w:r>
      <w:r w:rsidRPr="004F0878">
        <w:rPr>
          <w:i/>
          <w:iCs/>
          <w:color w:val="242021"/>
        </w:rPr>
        <w:t xml:space="preserve">ex parte </w:t>
      </w:r>
      <w:r w:rsidRPr="004F0878">
        <w:rPr>
          <w:color w:val="242021"/>
        </w:rPr>
        <w:t>rules.</w:t>
      </w:r>
    </w:p>
    <w:p w14:paraId="47C70D2A" w14:textId="77777777" w:rsidR="00E514F4" w:rsidRPr="004F0878" w:rsidRDefault="00E514F4" w:rsidP="00E514F4">
      <w:pPr>
        <w:pStyle w:val="BodyText"/>
        <w:kinsoku w:val="0"/>
        <w:overflowPunct w:val="0"/>
        <w:spacing w:before="8"/>
        <w:ind w:left="0" w:firstLine="0"/>
      </w:pPr>
    </w:p>
    <w:p w14:paraId="3A50D601" w14:textId="77777777" w:rsidR="00E514F4" w:rsidRPr="004F0878" w:rsidRDefault="00E514F4" w:rsidP="00C151B3">
      <w:pPr>
        <w:pStyle w:val="BodyText"/>
        <w:kinsoku w:val="0"/>
        <w:overflowPunct w:val="0"/>
        <w:spacing w:line="245" w:lineRule="auto"/>
        <w:ind w:left="120" w:right="105" w:firstLine="720"/>
        <w:rPr>
          <w:color w:val="000000"/>
        </w:rPr>
      </w:pPr>
      <w:r w:rsidRPr="004F0878">
        <w:rPr>
          <w:color w:val="242021"/>
        </w:rPr>
        <w:t>For further information,</w:t>
      </w:r>
      <w:r w:rsidRPr="004F0878">
        <w:rPr>
          <w:color w:val="242021"/>
          <w:spacing w:val="-1"/>
        </w:rPr>
        <w:t xml:space="preserve"> </w:t>
      </w:r>
      <w:r w:rsidRPr="004F0878">
        <w:rPr>
          <w:color w:val="242021"/>
        </w:rPr>
        <w:t xml:space="preserve">please contact </w:t>
      </w:r>
      <w:r w:rsidR="003E5DF5">
        <w:rPr>
          <w:color w:val="242021"/>
        </w:rPr>
        <w:t>Gregory Cooke</w:t>
      </w:r>
      <w:r w:rsidRPr="004F0878">
        <w:rPr>
          <w:color w:val="242021"/>
        </w:rPr>
        <w:t xml:space="preserve">, </w:t>
      </w:r>
      <w:r w:rsidRPr="004F0878">
        <w:rPr>
          <w:color w:val="242021"/>
          <w:spacing w:val="-1"/>
        </w:rPr>
        <w:t>A</w:t>
      </w:r>
      <w:r w:rsidR="003E5DF5">
        <w:rPr>
          <w:color w:val="242021"/>
          <w:spacing w:val="-1"/>
        </w:rPr>
        <w:t xml:space="preserve">ssociate Chief, </w:t>
      </w:r>
      <w:r w:rsidRPr="004F0878">
        <w:rPr>
          <w:color w:val="242021"/>
          <w:spacing w:val="-1"/>
        </w:rPr>
        <w:t>Policy</w:t>
      </w:r>
      <w:r w:rsidRPr="004F0878">
        <w:rPr>
          <w:color w:val="242021"/>
        </w:rPr>
        <w:t xml:space="preserve"> and Licensing</w:t>
      </w:r>
      <w:r w:rsidRPr="004F0878">
        <w:rPr>
          <w:color w:val="242021"/>
          <w:spacing w:val="-1"/>
        </w:rPr>
        <w:t xml:space="preserve"> Division,</w:t>
      </w:r>
      <w:r w:rsidRPr="004F0878">
        <w:rPr>
          <w:color w:val="242021"/>
        </w:rPr>
        <w:t xml:space="preserve"> </w:t>
      </w:r>
      <w:r w:rsidRPr="004F0878">
        <w:rPr>
          <w:color w:val="242021"/>
          <w:spacing w:val="-1"/>
        </w:rPr>
        <w:t>Public Safety and Homeland</w:t>
      </w:r>
      <w:r w:rsidRPr="004F0878">
        <w:rPr>
          <w:color w:val="242021"/>
        </w:rPr>
        <w:t xml:space="preserve"> </w:t>
      </w:r>
      <w:r w:rsidRPr="004F0878">
        <w:rPr>
          <w:color w:val="242021"/>
          <w:spacing w:val="-1"/>
        </w:rPr>
        <w:t>Security</w:t>
      </w:r>
      <w:r w:rsidRPr="004F0878">
        <w:rPr>
          <w:color w:val="242021"/>
        </w:rPr>
        <w:t xml:space="preserve"> Bureau, (202) </w:t>
      </w:r>
      <w:r w:rsidR="00F41CF6">
        <w:rPr>
          <w:color w:val="242021"/>
          <w:spacing w:val="-1"/>
        </w:rPr>
        <w:t>418-</w:t>
      </w:r>
      <w:r w:rsidR="003E5DF5">
        <w:rPr>
          <w:color w:val="242021"/>
          <w:spacing w:val="-1"/>
        </w:rPr>
        <w:t>2351</w:t>
      </w:r>
      <w:r w:rsidRPr="004F0878">
        <w:rPr>
          <w:color w:val="242021"/>
        </w:rPr>
        <w:t xml:space="preserve"> </w:t>
      </w:r>
      <w:r w:rsidRPr="004F0878">
        <w:rPr>
          <w:color w:val="242021"/>
          <w:spacing w:val="-1"/>
        </w:rPr>
        <w:t>or</w:t>
      </w:r>
      <w:r w:rsidRPr="004F0878">
        <w:rPr>
          <w:color w:val="242021"/>
        </w:rPr>
        <w:t xml:space="preserve"> </w:t>
      </w:r>
      <w:r w:rsidRPr="004F0878">
        <w:rPr>
          <w:color w:val="242021"/>
          <w:spacing w:val="-1"/>
        </w:rPr>
        <w:t>by</w:t>
      </w:r>
      <w:r w:rsidR="00F41CF6">
        <w:rPr>
          <w:color w:val="242021"/>
        </w:rPr>
        <w:t xml:space="preserve"> email</w:t>
      </w:r>
      <w:r w:rsidR="00301C66">
        <w:rPr>
          <w:color w:val="242021"/>
        </w:rPr>
        <w:t xml:space="preserve"> at </w:t>
      </w:r>
      <w:r w:rsidR="003E5DF5">
        <w:rPr>
          <w:color w:val="242021"/>
        </w:rPr>
        <w:t>Gregory</w:t>
      </w:r>
      <w:r w:rsidR="00F41CF6">
        <w:rPr>
          <w:color w:val="242021"/>
        </w:rPr>
        <w:t>.</w:t>
      </w:r>
      <w:r w:rsidR="003E5DF5">
        <w:rPr>
          <w:color w:val="242021"/>
        </w:rPr>
        <w:t>Cooke</w:t>
      </w:r>
      <w:r w:rsidR="00F41CF6">
        <w:rPr>
          <w:color w:val="242021"/>
        </w:rPr>
        <w:t>@fcc.gov.</w:t>
      </w:r>
      <w:r w:rsidRPr="004F0878">
        <w:rPr>
          <w:color w:val="000000"/>
        </w:rPr>
        <w:t xml:space="preserve"> </w:t>
      </w:r>
    </w:p>
    <w:p w14:paraId="4A2EC4B9" w14:textId="77777777" w:rsidR="00E514F4" w:rsidRPr="00571F97" w:rsidRDefault="00E514F4" w:rsidP="00571F97">
      <w:pPr>
        <w:pStyle w:val="BodyText"/>
        <w:kinsoku w:val="0"/>
        <w:overflowPunct w:val="0"/>
        <w:spacing w:line="20" w:lineRule="atLeast"/>
        <w:ind w:left="111" w:firstLine="0"/>
        <w:rPr>
          <w:sz w:val="2"/>
        </w:rPr>
      </w:pPr>
    </w:p>
    <w:sectPr w:rsidR="00E514F4" w:rsidRPr="00571F97" w:rsidSect="00571F9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9CF3" w14:textId="77777777" w:rsidR="00F40C97" w:rsidRDefault="00F40C97" w:rsidP="00571F97">
      <w:pPr>
        <w:spacing w:line="20" w:lineRule="exact"/>
      </w:pPr>
    </w:p>
  </w:endnote>
  <w:endnote w:type="continuationSeparator" w:id="0">
    <w:p w14:paraId="7E1D9771" w14:textId="77777777" w:rsidR="00F40C97" w:rsidRDefault="00F40C97">
      <w:r>
        <w:t xml:space="preserve"> </w:t>
      </w:r>
    </w:p>
  </w:endnote>
  <w:endnote w:type="continuationNotice" w:id="1">
    <w:p w14:paraId="6C29FCBD" w14:textId="77777777" w:rsidR="00F40C97" w:rsidRDefault="00F40C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FCD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FD29780" w14:textId="77777777" w:rsidR="00D25FB5" w:rsidRDefault="00D25FB5">
    <w:pPr>
      <w:pStyle w:val="Footer"/>
    </w:pPr>
  </w:p>
  <w:p w14:paraId="0D0AE9B6" w14:textId="77777777" w:rsidR="003660ED" w:rsidRDefault="003660ED" w:rsidP="00571F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6FE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D611A">
      <w:rPr>
        <w:noProof/>
      </w:rPr>
      <w:t>2</w:t>
    </w:r>
    <w:r>
      <w:fldChar w:fldCharType="end"/>
    </w:r>
  </w:p>
  <w:p w14:paraId="260B45B0" w14:textId="77777777" w:rsidR="003660ED" w:rsidRDefault="003660ED" w:rsidP="00571F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61F80" w14:textId="364D1E46" w:rsidR="00400842" w:rsidRDefault="00E514F4" w:rsidP="00571F9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EA3A9" w14:textId="77777777" w:rsidR="00F40C97" w:rsidRDefault="00F40C97">
      <w:r>
        <w:separator/>
      </w:r>
    </w:p>
  </w:footnote>
  <w:footnote w:type="continuationSeparator" w:id="0">
    <w:p w14:paraId="07DE6F0E" w14:textId="77777777" w:rsidR="00F40C97" w:rsidRPr="00571F97" w:rsidRDefault="00F40C97" w:rsidP="00571F97">
      <w:pPr>
        <w:spacing w:before="120"/>
        <w:rPr>
          <w:sz w:val="20"/>
        </w:rPr>
      </w:pPr>
      <w:r>
        <w:rPr>
          <w:sz w:val="20"/>
        </w:rPr>
        <w:t xml:space="preserve">(Continued from previous page)  </w:t>
      </w:r>
      <w:r>
        <w:rPr>
          <w:sz w:val="20"/>
        </w:rPr>
        <w:separator/>
      </w:r>
    </w:p>
  </w:footnote>
  <w:footnote w:type="continuationNotice" w:id="1">
    <w:p w14:paraId="59797C70" w14:textId="77777777" w:rsidR="00F40C97" w:rsidRPr="00571F97" w:rsidRDefault="00F40C97" w:rsidP="00571F97">
      <w:pPr>
        <w:jc w:val="right"/>
        <w:rPr>
          <w:sz w:val="20"/>
        </w:rPr>
      </w:pPr>
      <w:r>
        <w:rPr>
          <w:sz w:val="20"/>
        </w:rPr>
        <w:t>(continued….)</w:t>
      </w:r>
    </w:p>
  </w:footnote>
  <w:footnote w:id="2">
    <w:p w14:paraId="659D0432" w14:textId="693A126A" w:rsidR="00464FA4" w:rsidRDefault="00464FA4" w:rsidP="00464FA4">
      <w:pPr>
        <w:pStyle w:val="FootnoteText"/>
      </w:pPr>
      <w:r>
        <w:rPr>
          <w:rStyle w:val="FootnoteReference"/>
        </w:rPr>
        <w:footnoteRef/>
      </w:r>
      <w:r>
        <w:t xml:space="preserve"> </w:t>
      </w:r>
      <w:r w:rsidR="008F1E4A" w:rsidRPr="008F1E4A">
        <w:t>Consolidated Appropriations Act, 2016, Pub. L. No. 114-113, 129 Stat 2242 (2015)</w:t>
      </w:r>
      <w:r w:rsidR="00764350">
        <w:t xml:space="preserve"> (201</w:t>
      </w:r>
      <w:r w:rsidR="008F1E4A">
        <w:t>6 Appropriations Act)</w:t>
      </w:r>
      <w:r w:rsidR="008F1E4A" w:rsidRPr="008F1E4A">
        <w:t>.</w:t>
      </w:r>
    </w:p>
  </w:footnote>
  <w:footnote w:id="3">
    <w:p w14:paraId="53B6D212" w14:textId="77777777" w:rsidR="00CC4D1B" w:rsidRPr="00A323F3" w:rsidRDefault="00CC4D1B" w:rsidP="00CC4D1B">
      <w:pPr>
        <w:pStyle w:val="FootnoteText"/>
        <w:rPr>
          <w:b/>
        </w:rPr>
      </w:pPr>
      <w:r>
        <w:rPr>
          <w:rStyle w:val="FootnoteReference"/>
        </w:rPr>
        <w:footnoteRef/>
      </w:r>
      <w:r>
        <w:t xml:space="preserve"> </w:t>
      </w:r>
      <w:r w:rsidR="008F1E4A" w:rsidRPr="005C0920">
        <w:rPr>
          <w:i/>
        </w:rPr>
        <w:t xml:space="preserve">See </w:t>
      </w:r>
      <w:r w:rsidR="008F1E4A" w:rsidRPr="005C0920">
        <w:t>S. Rep</w:t>
      </w:r>
      <w:r w:rsidR="008F1E4A">
        <w:t>t</w:t>
      </w:r>
      <w:r w:rsidR="008F1E4A" w:rsidRPr="005C0920">
        <w:t>. No. 114-097 (201</w:t>
      </w:r>
      <w:r w:rsidR="008F1E4A">
        <w:t>5</w:t>
      </w:r>
      <w:r w:rsidR="008F1E4A" w:rsidRPr="005C0920">
        <w:t xml:space="preserve">), included </w:t>
      </w:r>
      <w:r w:rsidR="008F1E4A">
        <w:t xml:space="preserve">in the 2016 Appropriations Act </w:t>
      </w:r>
      <w:r w:rsidR="008F1E4A" w:rsidRPr="005C0920">
        <w:t xml:space="preserve">by reference in the Explanatory Statement Submitted by Mr. Rogers of Kentucky, Chairman of the House Committee on Appropriations Regarding House Amendment No, 1 to the Senate Amendment on H.R. 2029, Consolidated Appropriations Act, 2016. </w:t>
      </w:r>
      <w:r w:rsidR="008F1E4A" w:rsidRPr="005C0920">
        <w:rPr>
          <w:i/>
        </w:rPr>
        <w:t>See</w:t>
      </w:r>
      <w:r w:rsidR="008F1E4A" w:rsidRPr="005C0920">
        <w:t xml:space="preserve"> Congressional Record, 114</w:t>
      </w:r>
      <w:r w:rsidR="008F1E4A" w:rsidRPr="005C0920">
        <w:rPr>
          <w:vertAlign w:val="superscript"/>
        </w:rPr>
        <w:t>th</w:t>
      </w:r>
      <w:r w:rsidR="008F1E4A" w:rsidRPr="005C0920">
        <w:t xml:space="preserve"> Congress, First Session, Issue: Vol. 161, No. 184, Daily Edition, December 17, 2015 (</w:t>
      </w:r>
      <w:r w:rsidR="008F1E4A" w:rsidRPr="005A7C22">
        <w:rPr>
          <w:i/>
        </w:rPr>
        <w:t>Explanatory Statement</w:t>
      </w:r>
      <w:r w:rsidR="008F1E4A" w:rsidRPr="005C0920">
        <w:t>).</w:t>
      </w:r>
      <w:r w:rsidR="008F1E4A">
        <w:rPr>
          <w:i/>
        </w:rPr>
        <w:t xml:space="preserve">  </w:t>
      </w:r>
      <w:r>
        <w:t>For the purposes of our discussion below, we refer to an earthquake-related emergency alert that can be delivered to the public within seconds as an “earthquake early warning” or “EEW.”</w:t>
      </w:r>
    </w:p>
  </w:footnote>
  <w:footnote w:id="4">
    <w:p w14:paraId="27A5E990" w14:textId="50827391" w:rsidR="00822144" w:rsidRDefault="00822144">
      <w:pPr>
        <w:pStyle w:val="FootnoteText"/>
      </w:pPr>
      <w:r>
        <w:rPr>
          <w:rStyle w:val="FootnoteReference"/>
        </w:rPr>
        <w:footnoteRef/>
      </w:r>
      <w:r>
        <w:t xml:space="preserve"> </w:t>
      </w:r>
      <w:r w:rsidRPr="006347E5">
        <w:t xml:space="preserve">To the extent commenters have provided information that they believe is responsive to the questions presented here in comments to other ongoing Commission </w:t>
      </w:r>
      <w:r w:rsidR="006F4E3C">
        <w:t xml:space="preserve">proceedings – for example, as to potential improvements to alerting mechanisms – commenters </w:t>
      </w:r>
      <w:r w:rsidRPr="006347E5">
        <w:t xml:space="preserve">are encouraged to incorporate those and other relevant filings into this docket by reference.  </w:t>
      </w:r>
      <w:r w:rsidRPr="006347E5">
        <w:rPr>
          <w:i/>
        </w:rPr>
        <w:t>See, e.g., Improving Wireless Emergency Alerts and Community-initiated Alerting</w:t>
      </w:r>
      <w:r w:rsidRPr="006347E5">
        <w:t>, Notice of Proposed Rulemaking, 30 FCC Rcd 13781 (2015) (</w:t>
      </w:r>
      <w:r w:rsidRPr="006347E5">
        <w:rPr>
          <w:i/>
        </w:rPr>
        <w:t>WEA Fourth NPRM</w:t>
      </w:r>
      <w:r w:rsidRPr="006347E5">
        <w:t>)</w:t>
      </w:r>
      <w:r w:rsidRPr="006347E5">
        <w:rPr>
          <w:i/>
        </w:rPr>
        <w:t xml:space="preserve"> </w:t>
      </w:r>
      <w:r w:rsidRPr="006347E5">
        <w:t xml:space="preserve">(seeking comment on proposed enhancements to Wireless Emergency Alerts); </w:t>
      </w:r>
      <w:r w:rsidRPr="006347E5">
        <w:rPr>
          <w:i/>
        </w:rPr>
        <w:t>Use of Spectrum Bands Above 24 GHz For Mobile Radio Services</w:t>
      </w:r>
      <w:r w:rsidRPr="006347E5">
        <w:t>, Notice of Proposed Rulemaking, 30 FCC Rcd 11878 (2015) (</w:t>
      </w:r>
      <w:r w:rsidRPr="006347E5">
        <w:rPr>
          <w:i/>
        </w:rPr>
        <w:t>Spectrum Frontiers NPRM</w:t>
      </w:r>
      <w:r w:rsidRPr="006347E5">
        <w:t>) (</w:t>
      </w:r>
      <w:r w:rsidR="00BA5E4B">
        <w:t>s</w:t>
      </w:r>
      <w:r w:rsidRPr="006347E5">
        <w:t xml:space="preserve">eeking comment regarding uses of spectrum bands above 24 GHz, including for public safety purposes); </w:t>
      </w:r>
      <w:r w:rsidRPr="006347E5">
        <w:rPr>
          <w:i/>
        </w:rPr>
        <w:t>Amendment of Part 11 of the Commission’s Rules Regarding the Emergency Alert System, Wireless Emergency Alerts</w:t>
      </w:r>
      <w:r w:rsidRPr="006347E5">
        <w:t>, Notice of Proposed Rulemaking, PS Docket Nos. 15-94; 15-91, FCC 16-5 (2016) (</w:t>
      </w:r>
      <w:r w:rsidRPr="006347E5">
        <w:rPr>
          <w:i/>
        </w:rPr>
        <w:t>Alerting Paradigm NPRM</w:t>
      </w:r>
      <w:r w:rsidRPr="006347E5">
        <w:t>) (considering various potential upgrades to the Emergency Alert System and Wireless Emergency Alerts).  By seeking comment on related topics intended to inform our report to Congress, the Commission in no way prejudges the outcome of these or other ongoing proceedings.</w:t>
      </w:r>
    </w:p>
  </w:footnote>
  <w:footnote w:id="5">
    <w:p w14:paraId="22FDF7CE" w14:textId="77777777" w:rsidR="00E514F4" w:rsidRDefault="00E514F4" w:rsidP="00E514F4">
      <w:pPr>
        <w:pStyle w:val="FootnoteText"/>
      </w:pPr>
      <w:r>
        <w:rPr>
          <w:rStyle w:val="FootnoteReference"/>
        </w:rPr>
        <w:footnoteRef/>
      </w:r>
      <w:r>
        <w:t xml:space="preserve"> </w:t>
      </w:r>
      <w:r>
        <w:rPr>
          <w:i/>
        </w:rPr>
        <w:t xml:space="preserve">See </w:t>
      </w:r>
      <w:r w:rsidRPr="003C590B">
        <w:rPr>
          <w:smallCaps/>
        </w:rPr>
        <w:t>Integrated Public Alert &amp; Warning System</w:t>
      </w:r>
      <w:r>
        <w:t xml:space="preserve">, </w:t>
      </w:r>
      <w:r w:rsidRPr="003C590B">
        <w:t>https://www.fema.gov/integrated-public-alert-warning-system</w:t>
      </w:r>
      <w:r>
        <w:t xml:space="preserve"> (last visited </w:t>
      </w:r>
      <w:r w:rsidR="00487383">
        <w:t>Feb. 11, 2016</w:t>
      </w:r>
      <w:r>
        <w:t xml:space="preserve">).  </w:t>
      </w:r>
    </w:p>
  </w:footnote>
  <w:footnote w:id="6">
    <w:p w14:paraId="0418600C" w14:textId="1E397DD5" w:rsidR="00181252" w:rsidRPr="00AE33C8" w:rsidRDefault="00181252" w:rsidP="00181252">
      <w:pPr>
        <w:pStyle w:val="FootnoteText"/>
        <w:rPr>
          <w:i/>
        </w:rPr>
      </w:pPr>
      <w:r>
        <w:rPr>
          <w:rStyle w:val="FootnoteReference"/>
        </w:rPr>
        <w:footnoteRef/>
      </w:r>
      <w:r>
        <w:t xml:space="preserve">  </w:t>
      </w:r>
      <w:r>
        <w:rPr>
          <w:i/>
        </w:rPr>
        <w:t>See</w:t>
      </w:r>
      <w:r w:rsidR="00BA5E4B">
        <w:rPr>
          <w:i/>
        </w:rPr>
        <w:t xml:space="preserve"> id.</w:t>
      </w:r>
      <w:r>
        <w:rPr>
          <w:i/>
        </w:rPr>
        <w:t xml:space="preserve"> </w:t>
      </w:r>
      <w:r w:rsidRPr="009C37E4">
        <w:t>The IPAWS Open Platform for Emergency Netwo</w:t>
      </w:r>
      <w:r>
        <w:t>rks (IPAWS-OPEN) is</w:t>
      </w:r>
      <w:r w:rsidRPr="009C37E4">
        <w:t xml:space="preserve"> an IP-based system that allows for efficient integration of Common Alerting Protocol (CAP)-based alerting platforms such as WEA with the IPAWS infrastructure.  </w:t>
      </w:r>
      <w:r w:rsidRPr="00487383">
        <w:rPr>
          <w:i/>
        </w:rPr>
        <w:t>See id.</w:t>
      </w:r>
      <w:r w:rsidRPr="009C37E4">
        <w:t xml:space="preserve">  CAP messages contain standardized fields that facilitate interoperability between and among devices, and are backwards-compatible with the EAS Protocol.  </w:t>
      </w:r>
      <w:r w:rsidRPr="003F1701">
        <w:rPr>
          <w:i/>
        </w:rPr>
        <w:t>See</w:t>
      </w:r>
      <w:r w:rsidRPr="009C37E4">
        <w:t xml:space="preserve"> </w:t>
      </w:r>
      <w:r w:rsidR="00BA5E4B" w:rsidRPr="00BA5E4B">
        <w:t>Review of the Emergency Alert System; Independent Spanish Broadcasters Association, The Office of Communication of the United Church of Christ, Inc., and the Minority Media and Telecommunications Council, Petition for Immediate Relief; Randy Graham Petition for Rulemaking, EB Docket No. 04-296,</w:t>
      </w:r>
      <w:r w:rsidR="00BA5E4B" w:rsidRPr="00BA5E4B">
        <w:rPr>
          <w:i/>
        </w:rPr>
        <w:t xml:space="preserve"> Fifth Report and Order</w:t>
      </w:r>
      <w:r w:rsidR="00BA5E4B" w:rsidRPr="00BA5E4B">
        <w:t>,</w:t>
      </w:r>
      <w:r w:rsidR="00BA5E4B" w:rsidRPr="00BA5E4B">
        <w:rPr>
          <w:i/>
        </w:rPr>
        <w:t xml:space="preserve"> </w:t>
      </w:r>
      <w:r w:rsidR="00BA5E4B" w:rsidRPr="00BA5E4B">
        <w:t>27 FCC Rcd 642,</w:t>
      </w:r>
      <w:r w:rsidR="00BA5E4B">
        <w:rPr>
          <w:iCs/>
        </w:rPr>
        <w:t xml:space="preserve"> 648</w:t>
      </w:r>
      <w:r w:rsidR="00BA5E4B" w:rsidRPr="00BA5E4B">
        <w:rPr>
          <w:iCs/>
        </w:rPr>
        <w:t xml:space="preserve"> </w:t>
      </w:r>
      <w:r w:rsidR="00BA5E4B" w:rsidRPr="00BA5E4B">
        <w:t>¶</w:t>
      </w:r>
      <w:r w:rsidR="00BA5E4B" w:rsidRPr="00BA5E4B">
        <w:rPr>
          <w:iCs/>
        </w:rPr>
        <w:t xml:space="preserve"> </w:t>
      </w:r>
      <w:r w:rsidR="00BA5E4B">
        <w:rPr>
          <w:iCs/>
        </w:rPr>
        <w:t>10</w:t>
      </w:r>
      <w:r w:rsidR="00BA5E4B" w:rsidRPr="00BA5E4B">
        <w:rPr>
          <w:iCs/>
        </w:rPr>
        <w:t xml:space="preserve"> (2012) (</w:t>
      </w:r>
      <w:r w:rsidR="00BA5E4B" w:rsidRPr="00BA5E4B">
        <w:rPr>
          <w:i/>
          <w:iCs/>
        </w:rPr>
        <w:t>Fifth Report and Order</w:t>
      </w:r>
      <w:r w:rsidR="00BA5E4B" w:rsidRPr="00BA5E4B">
        <w:rPr>
          <w:iCs/>
        </w:rPr>
        <w:t>)</w:t>
      </w:r>
      <w:r w:rsidRPr="009C37E4">
        <w:t>.  Under the EAS Protocol, an EAS alert uses a four-part message:  (1) preamble and EAS header codes (which contain information regarding the identity of the sender, the type of emergency, its location, and the valid time period of the alert); (2) audio Attention Signal; (3) audio message, if included by the alert originator; and (4) preamble and “end of message” (EOM) codes.  See 47 C.F.R. § 11.31(a).</w:t>
      </w:r>
    </w:p>
  </w:footnote>
  <w:footnote w:id="7">
    <w:p w14:paraId="36296767" w14:textId="77777777" w:rsidR="004D576A" w:rsidRDefault="004D576A" w:rsidP="004D576A">
      <w:pPr>
        <w:pStyle w:val="FootnoteText"/>
      </w:pPr>
      <w:r>
        <w:rPr>
          <w:rStyle w:val="FootnoteReference"/>
        </w:rPr>
        <w:footnoteRef/>
      </w:r>
      <w:r>
        <w:t xml:space="preserve"> </w:t>
      </w:r>
      <w:r w:rsidRPr="008233CE">
        <w:rPr>
          <w:i/>
        </w:rPr>
        <w:t>See</w:t>
      </w:r>
      <w:r w:rsidRPr="008233CE">
        <w:t xml:space="preserve">, </w:t>
      </w:r>
      <w:r w:rsidRPr="008233CE">
        <w:rPr>
          <w:i/>
        </w:rPr>
        <w:t>e.g.</w:t>
      </w:r>
      <w:r w:rsidRPr="008233CE">
        <w:t>,</w:t>
      </w:r>
      <w:r w:rsidRPr="008233CE">
        <w:rPr>
          <w:i/>
        </w:rPr>
        <w:t xml:space="preserve"> </w:t>
      </w:r>
      <w:r w:rsidRPr="008233CE">
        <w:t>47 C.F.R. § 10.450 (geo-targeting); 47 C.F.R. § 10.400 (classification</w:t>
      </w:r>
      <w:r w:rsidR="002D09C4">
        <w:t xml:space="preserve"> of WEA messages</w:t>
      </w:r>
      <w:r w:rsidRPr="008233CE">
        <w:t xml:space="preserve">).  </w:t>
      </w:r>
      <w:r w:rsidR="002D09C4" w:rsidRPr="002D09C4">
        <w:t xml:space="preserve">The Commission created the WEA system in 2008 pursuant to the Warning, Alert and Response Network (WARN) Act.  </w:t>
      </w:r>
      <w:r w:rsidR="002D09C4" w:rsidRPr="00487383">
        <w:rPr>
          <w:i/>
        </w:rPr>
        <w:t>See</w:t>
      </w:r>
      <w:r w:rsidR="002D09C4" w:rsidRPr="002D09C4">
        <w:t xml:space="preserve"> WARN Act, Title VI of the Security and Accountability For Every Port Act of 2006, Pub. L. No. 109-347, 120 Stat. 1884 (2006) (WARN Act).  Under the Commission’s WEA rules, participating Commercial Mobile Service (CMS) providers can voluntarily deliver timely and accurate emergency alerts to subscribers’ mobile devices.  </w:t>
      </w:r>
      <w:r w:rsidR="002D09C4" w:rsidRPr="00487383">
        <w:rPr>
          <w:i/>
        </w:rPr>
        <w:t xml:space="preserve">See </w:t>
      </w:r>
      <w:r w:rsidR="002D09C4" w:rsidRPr="002D09C4">
        <w:t xml:space="preserve">47 C.F.R. § 10, </w:t>
      </w:r>
      <w:r w:rsidR="002D09C4" w:rsidRPr="00487383">
        <w:rPr>
          <w:i/>
        </w:rPr>
        <w:t>et. seq</w:t>
      </w:r>
      <w:r w:rsidR="002D09C4" w:rsidRPr="002D09C4">
        <w:t xml:space="preserve">.  </w:t>
      </w:r>
    </w:p>
  </w:footnote>
  <w:footnote w:id="8">
    <w:p w14:paraId="6D70B95A" w14:textId="77777777" w:rsidR="004D576A" w:rsidRPr="008233CE" w:rsidRDefault="004D576A" w:rsidP="004D576A">
      <w:pPr>
        <w:pStyle w:val="FootnoteText"/>
      </w:pPr>
      <w:r>
        <w:rPr>
          <w:rStyle w:val="FootnoteReference"/>
        </w:rPr>
        <w:footnoteRef/>
      </w:r>
      <w:r>
        <w:t xml:space="preserve"> </w:t>
      </w:r>
      <w:r w:rsidR="00900F2F" w:rsidRPr="00595F76">
        <w:t xml:space="preserve">The primary purpose of the EAS is to provide the President with “the capability to provide immediate communications and information to the general public at the national, state and local levels during periods of national emergency.”  47 C.F.R. § 11.1.  The EAS also is used to distribute alerts issued by state and local governments, as well as weather alerts issued by the National Weather Service (NWS).  The Commission, FEMA, and the NWS implement the EAS at the federal level.  </w:t>
      </w:r>
      <w:r>
        <w:t xml:space="preserve">EAS Participants include </w:t>
      </w:r>
      <w:r w:rsidRPr="003315C3">
        <w:t>analog radio and television</w:t>
      </w:r>
      <w:r>
        <w:t xml:space="preserve"> providers</w:t>
      </w:r>
      <w:r w:rsidRPr="003315C3">
        <w:t>, wired and wireless cable television, DBS, DTV, SDARS, digital cable and DAB, and wireline video systems</w:t>
      </w:r>
      <w:r>
        <w:t xml:space="preserve">.  </w:t>
      </w:r>
      <w:r>
        <w:rPr>
          <w:i/>
        </w:rPr>
        <w:t>See</w:t>
      </w:r>
      <w:r>
        <w:t xml:space="preserve"> </w:t>
      </w:r>
      <w:r w:rsidRPr="00595F76">
        <w:t>47 C.F.R. § 11.</w:t>
      </w:r>
      <w:r>
        <w:t>1</w:t>
      </w:r>
      <w:r w:rsidRPr="00595F76">
        <w:t>1</w:t>
      </w:r>
      <w:r>
        <w:t>(d)</w:t>
      </w:r>
      <w:r w:rsidRPr="00595F76">
        <w:t>.</w:t>
      </w:r>
      <w:r w:rsidR="009C37E4">
        <w:t xml:space="preserve">  </w:t>
      </w:r>
    </w:p>
  </w:footnote>
  <w:footnote w:id="9">
    <w:p w14:paraId="188390DB" w14:textId="77777777" w:rsidR="009C37E4" w:rsidRDefault="009C37E4" w:rsidP="009C37E4">
      <w:pPr>
        <w:pStyle w:val="FootnoteText"/>
      </w:pPr>
      <w:r w:rsidRPr="002B361E">
        <w:rPr>
          <w:rStyle w:val="FootnoteReference"/>
        </w:rPr>
        <w:footnoteRef/>
      </w:r>
      <w:r w:rsidRPr="002B361E">
        <w:t xml:space="preserve"> </w:t>
      </w:r>
      <w:r w:rsidRPr="002B361E">
        <w:rPr>
          <w:smallCaps/>
        </w:rPr>
        <w:t>Integrated Public Alert &amp; Warning System Open Platform for Emergency Networks,</w:t>
      </w:r>
      <w:r w:rsidRPr="002B361E">
        <w:rPr>
          <w:i/>
        </w:rPr>
        <w:t xml:space="preserve"> </w:t>
      </w:r>
      <w:r w:rsidRPr="00297C11">
        <w:t xml:space="preserve">https://www.fema.gov/integrated-public-alert-warning-system-open-platform-emergency-networks </w:t>
      </w:r>
      <w:r w:rsidRPr="00297C11">
        <w:rPr>
          <w:smallCaps/>
        </w:rPr>
        <w:t>(</w:t>
      </w:r>
      <w:r w:rsidRPr="00297C11">
        <w:t>last visited Jun</w:t>
      </w:r>
      <w:r>
        <w:t>.</w:t>
      </w:r>
      <w:r w:rsidRPr="00297C11">
        <w:t xml:space="preserve"> 19, 2015).  </w:t>
      </w:r>
      <w:r>
        <w:t>For example, IPAWS has the ability to deliver CAP-formatted alerts to other associated alerting platforms such as s</w:t>
      </w:r>
      <w:r w:rsidRPr="008D60EF">
        <w:t>irens, highway signs, or emergency telephone notification system</w:t>
      </w:r>
      <w:r>
        <w:t xml:space="preserve">s. </w:t>
      </w:r>
      <w:r>
        <w:rPr>
          <w:i/>
        </w:rPr>
        <w:t>See</w:t>
      </w:r>
      <w:r>
        <w:t xml:space="preserve"> FEMA, IPAWS-OPEN Platform for Emergency Networks, Fact Sheet, </w:t>
      </w:r>
      <w:r w:rsidRPr="008D60EF">
        <w:t>http://www.fema.gov/media-library-data/1450108232296-68778bd35d59abc4040aaef3efc04d64/IPAWS-OPEN_Fact_Sheet_2016.pdf</w:t>
      </w:r>
      <w:r>
        <w:t xml:space="preserve"> (last visited Feb. 9, 2016). </w:t>
      </w:r>
    </w:p>
  </w:footnote>
  <w:footnote w:id="10">
    <w:p w14:paraId="0A58EF6A" w14:textId="10413F35" w:rsidR="00944452" w:rsidRDefault="00944452">
      <w:pPr>
        <w:pStyle w:val="FootnoteText"/>
      </w:pPr>
      <w:r>
        <w:rPr>
          <w:rStyle w:val="FootnoteReference"/>
        </w:rPr>
        <w:footnoteRef/>
      </w:r>
      <w:r>
        <w:t xml:space="preserve"> </w:t>
      </w:r>
      <w:r w:rsidR="00BA5E4B">
        <w:t xml:space="preserve">D.D. Given, </w:t>
      </w:r>
      <w:r w:rsidR="00BA5E4B" w:rsidRPr="00B84985">
        <w:rPr>
          <w:i/>
        </w:rPr>
        <w:t>et al</w:t>
      </w:r>
      <w:r w:rsidR="00BA5E4B">
        <w:t>., Technical Implementation Plan for the ShakeAlert Production System - An Earthquake Early Warning System for the Western United States, United States Geological Survey 12 (2014) (</w:t>
      </w:r>
      <w:r w:rsidR="00BA5E4B" w:rsidRPr="00B84985">
        <w:rPr>
          <w:i/>
        </w:rPr>
        <w:t>USGS Report</w:t>
      </w:r>
      <w:r w:rsidR="00BA5E4B">
        <w:t>)</w:t>
      </w:r>
    </w:p>
  </w:footnote>
  <w:footnote w:id="11">
    <w:p w14:paraId="10E55E6C" w14:textId="77777777" w:rsidR="000F69D1" w:rsidRDefault="000F69D1" w:rsidP="000F69D1">
      <w:pPr>
        <w:pStyle w:val="FootnoteText"/>
      </w:pPr>
      <w:r>
        <w:rPr>
          <w:rStyle w:val="FootnoteReference"/>
        </w:rPr>
        <w:footnoteRef/>
      </w:r>
      <w:r>
        <w:t xml:space="preserve"> </w:t>
      </w:r>
      <w:r w:rsidR="00547403" w:rsidRPr="003F1701">
        <w:rPr>
          <w:i/>
        </w:rPr>
        <w:t xml:space="preserve">See </w:t>
      </w:r>
      <w:r w:rsidR="00294C00" w:rsidRPr="003F1701">
        <w:rPr>
          <w:i/>
        </w:rPr>
        <w:t xml:space="preserve">Figure </w:t>
      </w:r>
      <w:r w:rsidR="00422DE7" w:rsidRPr="003F1701">
        <w:rPr>
          <w:i/>
        </w:rPr>
        <w:t>1</w:t>
      </w:r>
      <w:r w:rsidR="00294C00">
        <w:t>, number 4.</w:t>
      </w:r>
    </w:p>
  </w:footnote>
  <w:footnote w:id="12">
    <w:p w14:paraId="4A640F74" w14:textId="77777777" w:rsidR="00E514F4" w:rsidRPr="0064134B" w:rsidRDefault="00E514F4" w:rsidP="00E514F4">
      <w:pPr>
        <w:pStyle w:val="FootnoteText"/>
      </w:pPr>
      <w:r>
        <w:rPr>
          <w:rStyle w:val="FootnoteReference"/>
        </w:rPr>
        <w:footnoteRef/>
      </w:r>
      <w:r>
        <w:t xml:space="preserve"> </w:t>
      </w:r>
      <w:r>
        <w:rPr>
          <w:i/>
        </w:rPr>
        <w:t>See</w:t>
      </w:r>
      <w:r>
        <w:t xml:space="preserve">, </w:t>
      </w:r>
      <w:r>
        <w:rPr>
          <w:i/>
        </w:rPr>
        <w:t>e.g.</w:t>
      </w:r>
      <w:r>
        <w:t xml:space="preserve">, </w:t>
      </w:r>
      <w:r w:rsidRPr="005543DF">
        <w:rPr>
          <w:smallCaps/>
        </w:rPr>
        <w:t>InternetTrafficReport</w:t>
      </w:r>
      <w:r>
        <w:t>, www.</w:t>
      </w:r>
      <w:r w:rsidRPr="00CB47C0">
        <w:rPr>
          <w:szCs w:val="22"/>
        </w:rPr>
        <w:t>internettrafficreport.com</w:t>
      </w:r>
      <w:r>
        <w:rPr>
          <w:szCs w:val="22"/>
        </w:rPr>
        <w:t xml:space="preserve"> (last visited Feb. 4, 2016).</w:t>
      </w:r>
    </w:p>
  </w:footnote>
  <w:footnote w:id="13">
    <w:p w14:paraId="4E662A1A" w14:textId="783C9C6E" w:rsidR="005C7720" w:rsidRDefault="005C7720">
      <w:pPr>
        <w:pStyle w:val="FootnoteText"/>
      </w:pPr>
      <w:r>
        <w:rPr>
          <w:rStyle w:val="FootnoteReference"/>
        </w:rPr>
        <w:footnoteRef/>
      </w:r>
      <w:r>
        <w:t xml:space="preserve"> </w:t>
      </w:r>
      <w:r w:rsidRPr="005C7720">
        <w:t xml:space="preserve">This </w:t>
      </w:r>
      <w:r w:rsidR="004D7E92">
        <w:t>analysis should</w:t>
      </w:r>
      <w:r w:rsidRPr="005C7720">
        <w:t xml:space="preserve"> </w:t>
      </w:r>
      <w:r>
        <w:t>include</w:t>
      </w:r>
      <w:r w:rsidRPr="005C7720">
        <w:t xml:space="preserve"> any </w:t>
      </w:r>
      <w:r>
        <w:t xml:space="preserve">EEW-delivery </w:t>
      </w:r>
      <w:r w:rsidR="008D1C06">
        <w:t xml:space="preserve">delays </w:t>
      </w:r>
      <w:r w:rsidRPr="005C7720">
        <w:t xml:space="preserve">that </w:t>
      </w:r>
      <w:r w:rsidR="008D1C06">
        <w:t xml:space="preserve">customers may experience </w:t>
      </w:r>
      <w:r>
        <w:t xml:space="preserve">from using </w:t>
      </w:r>
      <w:r w:rsidR="00606A78">
        <w:t xml:space="preserve">mobile devices </w:t>
      </w:r>
      <w:r w:rsidRPr="005C7720">
        <w:t xml:space="preserve">that provide </w:t>
      </w:r>
      <w:r w:rsidR="00606A78">
        <w:t xml:space="preserve">only </w:t>
      </w:r>
      <w:r>
        <w:t xml:space="preserve">Wi-Fi </w:t>
      </w:r>
      <w:r w:rsidRPr="005C7720">
        <w:t xml:space="preserve">calling </w:t>
      </w:r>
      <w:r w:rsidR="00606A78">
        <w:t>or data (or both)</w:t>
      </w:r>
      <w:r>
        <w:t>.</w:t>
      </w:r>
    </w:p>
  </w:footnote>
  <w:footnote w:id="14">
    <w:p w14:paraId="7BB1B425" w14:textId="77777777" w:rsidR="003F5362" w:rsidRDefault="003F5362" w:rsidP="003F5362">
      <w:pPr>
        <w:pStyle w:val="FootnoteText"/>
      </w:pPr>
      <w:r>
        <w:rPr>
          <w:rStyle w:val="FootnoteReference"/>
        </w:rPr>
        <w:footnoteRef/>
      </w:r>
      <w:r>
        <w:t xml:space="preserve"> </w:t>
      </w:r>
      <w:r w:rsidRPr="00595F76">
        <w:t xml:space="preserve">The broadcast-based EAS is a hierarchical alert message distribution system through which an alert message originator at the local, state or federal level encodes (or arranges to have encoded) a message in the EAS Protocol.  If an alert originator, such as the NWS, initiates an alert using the EAS Protocol, it is transmitted from one EAS Participant to another in a process that is often referred as the “daisy chain.”  </w:t>
      </w:r>
      <w:r w:rsidRPr="00595F76">
        <w:rPr>
          <w:i/>
        </w:rPr>
        <w:t>See</w:t>
      </w:r>
      <w:r w:rsidRPr="00595F76">
        <w:t xml:space="preserve"> 47 C.F.R. § 11.31.  </w:t>
      </w:r>
      <w:r>
        <w:t xml:space="preserve">For a detailed explanation and illustration of the broadcast-based EAS architecture, </w:t>
      </w:r>
      <w:r w:rsidRPr="003F5362">
        <w:rPr>
          <w:i/>
        </w:rPr>
        <w:t>s</w:t>
      </w:r>
      <w:r w:rsidRPr="001A0930">
        <w:rPr>
          <w:i/>
        </w:rPr>
        <w:t xml:space="preserve">ee </w:t>
      </w:r>
      <w:r w:rsidRPr="001A0930">
        <w:t>Federal Communications Commission Public Safety and Homeland Security Bureau</w:t>
      </w:r>
      <w:r w:rsidRPr="001A0930">
        <w:rPr>
          <w:i/>
        </w:rPr>
        <w:t xml:space="preserve">, </w:t>
      </w:r>
      <w:r w:rsidRPr="001A0930">
        <w:t xml:space="preserve">Strengthening the Emergency Alert System (EAS): Lessons Learned from the First Nationwide EAS Test 3 (2013), </w:t>
      </w:r>
      <w:r w:rsidRPr="001A0930">
        <w:rPr>
          <w:i/>
        </w:rPr>
        <w:t xml:space="preserve">available at </w:t>
      </w:r>
      <w:r w:rsidRPr="001A0930">
        <w:t>http://www.fcc.gov/document/strengthening-emergency-alert-system (last visited Oct. 6, 2014) (</w:t>
      </w:r>
      <w:r w:rsidRPr="001A0930">
        <w:rPr>
          <w:i/>
        </w:rPr>
        <w:t>EAS Nationwide Test Report</w:t>
      </w:r>
      <w:r w:rsidRPr="001A0930">
        <w:t>)</w:t>
      </w:r>
      <w:r>
        <w:t>, at 6-8.</w:t>
      </w:r>
    </w:p>
  </w:footnote>
  <w:footnote w:id="15">
    <w:p w14:paraId="6B58FBEE" w14:textId="77777777" w:rsidR="001155EA" w:rsidRPr="00736B4B" w:rsidRDefault="001155EA" w:rsidP="00736B4B">
      <w:pPr>
        <w:spacing w:after="120"/>
        <w:rPr>
          <w:color w:val="1F497D"/>
        </w:rPr>
      </w:pPr>
      <w:r>
        <w:rPr>
          <w:rStyle w:val="FootnoteReference"/>
        </w:rPr>
        <w:footnoteRef/>
      </w:r>
      <w:r>
        <w:t xml:space="preserve"> </w:t>
      </w:r>
      <w:r w:rsidR="00BB6296">
        <w:rPr>
          <w:sz w:val="20"/>
        </w:rPr>
        <w:t xml:space="preserve">For example, </w:t>
      </w:r>
      <w:r w:rsidR="002336AF" w:rsidRPr="00EA1D42">
        <w:rPr>
          <w:sz w:val="20"/>
        </w:rPr>
        <w:t>Transport Layer Security (TLS)</w:t>
      </w:r>
      <w:r w:rsidR="002336AF" w:rsidRPr="002336AF">
        <w:rPr>
          <w:sz w:val="20"/>
        </w:rPr>
        <w:t>, Public Key Infrastructure (PKI)</w:t>
      </w:r>
      <w:r w:rsidR="002336AF">
        <w:rPr>
          <w:sz w:val="20"/>
        </w:rPr>
        <w:t xml:space="preserve"> </w:t>
      </w:r>
      <w:r w:rsidR="002336AF" w:rsidRPr="002336AF">
        <w:rPr>
          <w:sz w:val="20"/>
        </w:rPr>
        <w:t>and Transmission Control Protocol (TCP)</w:t>
      </w:r>
      <w:r w:rsidR="002336AF">
        <w:rPr>
          <w:sz w:val="20"/>
        </w:rPr>
        <w:t xml:space="preserve"> are used</w:t>
      </w:r>
      <w:r w:rsidR="002336AF" w:rsidRPr="002336AF">
        <w:rPr>
          <w:sz w:val="20"/>
        </w:rPr>
        <w:t xml:space="preserve"> for Internet transmission, </w:t>
      </w:r>
      <w:r w:rsidR="002336AF" w:rsidRPr="00EA1D42">
        <w:rPr>
          <w:sz w:val="20"/>
        </w:rPr>
        <w:t>Global System for Mobile Communications 7 (GSM-7)</w:t>
      </w:r>
      <w:r w:rsidR="002336AF" w:rsidRPr="002336AF">
        <w:rPr>
          <w:sz w:val="20"/>
        </w:rPr>
        <w:t xml:space="preserve"> </w:t>
      </w:r>
      <w:r w:rsidR="002336AF">
        <w:rPr>
          <w:sz w:val="20"/>
        </w:rPr>
        <w:t xml:space="preserve">is used </w:t>
      </w:r>
      <w:r w:rsidR="002336AF" w:rsidRPr="002336AF">
        <w:rPr>
          <w:sz w:val="20"/>
        </w:rPr>
        <w:t xml:space="preserve">for wireless transmission </w:t>
      </w:r>
      <w:r w:rsidR="002336AF">
        <w:rPr>
          <w:sz w:val="20"/>
        </w:rPr>
        <w:t xml:space="preserve">of text, </w:t>
      </w:r>
      <w:r w:rsidR="002336AF" w:rsidRPr="002336AF">
        <w:rPr>
          <w:sz w:val="20"/>
        </w:rPr>
        <w:t xml:space="preserve">and Data Over Cable Service Interface Specification (DOCSIS) </w:t>
      </w:r>
      <w:r w:rsidR="002336AF">
        <w:rPr>
          <w:sz w:val="20"/>
        </w:rPr>
        <w:t xml:space="preserve">is used </w:t>
      </w:r>
      <w:r w:rsidR="002336AF" w:rsidRPr="002336AF">
        <w:rPr>
          <w:sz w:val="20"/>
        </w:rPr>
        <w:t>for cable</w:t>
      </w:r>
      <w:r w:rsidR="002336AF">
        <w:rPr>
          <w:sz w:val="20"/>
        </w:rPr>
        <w:t xml:space="preserve"> transmission.  </w:t>
      </w:r>
      <w:r w:rsidR="00BB6296" w:rsidRPr="002336AF">
        <w:rPr>
          <w:sz w:val="20"/>
        </w:rPr>
        <w:t>TLS</w:t>
      </w:r>
      <w:r w:rsidR="004C402D" w:rsidRPr="002336AF">
        <w:rPr>
          <w:sz w:val="20"/>
        </w:rPr>
        <w:t xml:space="preserve"> is</w:t>
      </w:r>
      <w:r w:rsidR="004C402D" w:rsidRPr="002336AF">
        <w:rPr>
          <w:color w:val="1F497D"/>
          <w:sz w:val="20"/>
          <w:shd w:val="clear" w:color="auto" w:fill="FFFFFF"/>
        </w:rPr>
        <w:t xml:space="preserve"> </w:t>
      </w:r>
      <w:r w:rsidR="004C402D" w:rsidRPr="002336AF">
        <w:rPr>
          <w:sz w:val="20"/>
        </w:rPr>
        <w:t>a protocol that ensures privacy between communicating applications and their users on the Internet. When a server and client communicate, TLS ensures that no third party may eavesdrop or tamper with any message. </w:t>
      </w:r>
      <w:r w:rsidR="004C402D" w:rsidRPr="00736B4B">
        <w:rPr>
          <w:bCs/>
          <w:sz w:val="20"/>
        </w:rPr>
        <w:t>TLS</w:t>
      </w:r>
      <w:r w:rsidR="004C402D" w:rsidRPr="002336AF">
        <w:rPr>
          <w:sz w:val="20"/>
        </w:rPr>
        <w:t xml:space="preserve"> is the successor to the Secure Sockets Layer (SSL).  </w:t>
      </w:r>
      <w:r w:rsidR="004C402D" w:rsidRPr="002336AF">
        <w:rPr>
          <w:i/>
          <w:sz w:val="20"/>
        </w:rPr>
        <w:t xml:space="preserve">See </w:t>
      </w:r>
      <w:r w:rsidR="004C402D" w:rsidRPr="002336AF">
        <w:rPr>
          <w:sz w:val="20"/>
        </w:rPr>
        <w:t xml:space="preserve">Definition of TLS, PCMag Encyclopedia, </w:t>
      </w:r>
      <w:r w:rsidR="00BB6296" w:rsidRPr="00497E6A">
        <w:rPr>
          <w:sz w:val="20"/>
        </w:rPr>
        <w:t>http://www.pcmag.com/encyclopedia/term/52944/tls</w:t>
      </w:r>
      <w:r w:rsidR="004C402D" w:rsidRPr="002336AF">
        <w:rPr>
          <w:sz w:val="20"/>
        </w:rPr>
        <w:t xml:space="preserve"> (last visited Mar. 2, 2016).  </w:t>
      </w:r>
      <w:r w:rsidR="002336AF">
        <w:rPr>
          <w:sz w:val="20"/>
        </w:rPr>
        <w:t>PKI</w:t>
      </w:r>
      <w:r w:rsidR="004C402D" w:rsidRPr="002336AF">
        <w:rPr>
          <w:sz w:val="20"/>
        </w:rPr>
        <w:t xml:space="preserve"> is a set of roles, policies, and procedures needed to create, manage, distribute, use, store, and revoke digital certificates and manage public-key encryption.  </w:t>
      </w:r>
      <w:r w:rsidR="004C402D" w:rsidRPr="002336AF">
        <w:rPr>
          <w:i/>
          <w:sz w:val="20"/>
        </w:rPr>
        <w:t>See</w:t>
      </w:r>
      <w:r w:rsidR="004C402D" w:rsidRPr="002336AF">
        <w:rPr>
          <w:sz w:val="20"/>
        </w:rPr>
        <w:t xml:space="preserve"> Definition of PKI, PCMag Encyclopedia, </w:t>
      </w:r>
      <w:r w:rsidR="00BB6296" w:rsidRPr="00497E6A">
        <w:rPr>
          <w:sz w:val="20"/>
        </w:rPr>
        <w:t>http://www.pcmag.com/encyclopedia/term/49333/</w:t>
      </w:r>
      <w:r w:rsidR="00BB6296" w:rsidRPr="00736B4B">
        <w:t>pki</w:t>
      </w:r>
      <w:r w:rsidR="004C402D" w:rsidRPr="002336AF">
        <w:rPr>
          <w:sz w:val="20"/>
        </w:rPr>
        <w:t xml:space="preserve"> (last visited Mar. 2, 2016).  </w:t>
      </w:r>
      <w:r w:rsidR="002336AF">
        <w:rPr>
          <w:sz w:val="20"/>
        </w:rPr>
        <w:t>TCP</w:t>
      </w:r>
      <w:r w:rsidR="004C402D" w:rsidRPr="002336AF">
        <w:rPr>
          <w:sz w:val="20"/>
        </w:rPr>
        <w:t xml:space="preserve"> is a protocol that enables two hosts to establish a connection and exchange streams of data. TCP guarantees delivery of data and also guarantees that packets will be delivered in the same order in which they were sent. </w:t>
      </w:r>
      <w:r w:rsidR="004C402D" w:rsidRPr="002336AF">
        <w:rPr>
          <w:i/>
          <w:sz w:val="20"/>
        </w:rPr>
        <w:t>See</w:t>
      </w:r>
      <w:r w:rsidR="004C402D" w:rsidRPr="002336AF">
        <w:rPr>
          <w:sz w:val="20"/>
        </w:rPr>
        <w:t xml:space="preserve"> Definition of TCP/IP, PCMag Encyclopedia, </w:t>
      </w:r>
      <w:r w:rsidR="004C402D" w:rsidRPr="002336AF">
        <w:rPr>
          <w:i/>
          <w:sz w:val="20"/>
        </w:rPr>
        <w:t>See</w:t>
      </w:r>
      <w:r w:rsidR="004C402D" w:rsidRPr="002336AF">
        <w:rPr>
          <w:sz w:val="20"/>
        </w:rPr>
        <w:t xml:space="preserve"> Definition of PKI, PCMag Encyclopedia, http://www.pcmag.com/encyclopedia/term/52614/tcp-ip (last visited Mar. 2, 2016).  </w:t>
      </w:r>
      <w:r w:rsidR="002336AF" w:rsidRPr="00EA1D42">
        <w:rPr>
          <w:sz w:val="20"/>
        </w:rPr>
        <w:t xml:space="preserve">GSM-7 is a 7-bit message encoding standard, defined in the </w:t>
      </w:r>
      <w:r w:rsidR="002336AF" w:rsidRPr="00EA1D42">
        <w:rPr>
          <w:sz w:val="20"/>
          <w:shd w:val="clear" w:color="auto" w:fill="FFFFFF"/>
        </w:rPr>
        <w:t>GSM</w:t>
      </w:r>
      <w:r w:rsidR="002336AF" w:rsidRPr="00EA1D42">
        <w:rPr>
          <w:rStyle w:val="apple-converted-space"/>
          <w:sz w:val="20"/>
          <w:shd w:val="clear" w:color="auto" w:fill="FFFFFF"/>
        </w:rPr>
        <w:t> </w:t>
      </w:r>
      <w:r w:rsidR="002336AF" w:rsidRPr="00EA1D42">
        <w:rPr>
          <w:sz w:val="20"/>
          <w:shd w:val="clear" w:color="auto" w:fill="FFFFFF"/>
        </w:rPr>
        <w:t>03.38/ 3GPP 23.038.</w:t>
      </w:r>
      <w:r w:rsidR="002336AF" w:rsidRPr="00EA1D42">
        <w:rPr>
          <w:rFonts w:ascii="Arial" w:hAnsi="Arial" w:cs="Arial"/>
          <w:sz w:val="20"/>
          <w:shd w:val="clear" w:color="auto" w:fill="FFFFFF"/>
        </w:rPr>
        <w:t xml:space="preserve"> </w:t>
      </w:r>
      <w:r w:rsidR="002336AF" w:rsidRPr="00EA1D42">
        <w:rPr>
          <w:i/>
          <w:sz w:val="20"/>
          <w:shd w:val="clear" w:color="auto" w:fill="FFFFFF"/>
        </w:rPr>
        <w:t xml:space="preserve">See </w:t>
      </w:r>
      <w:r w:rsidR="002336AF" w:rsidRPr="00EA1D42">
        <w:rPr>
          <w:sz w:val="20"/>
          <w:shd w:val="clear" w:color="auto" w:fill="FFFFFF"/>
        </w:rPr>
        <w:t xml:space="preserve">ETSI, </w:t>
      </w:r>
      <w:r w:rsidR="002336AF">
        <w:rPr>
          <w:sz w:val="20"/>
          <w:shd w:val="clear" w:color="auto" w:fill="FFFFFF"/>
        </w:rPr>
        <w:t>Digital Cellular Telecommunications S</w:t>
      </w:r>
      <w:r w:rsidR="002336AF" w:rsidRPr="00EA1D42">
        <w:rPr>
          <w:sz w:val="20"/>
          <w:shd w:val="clear" w:color="auto" w:fill="FFFFFF"/>
        </w:rPr>
        <w:t>y</w:t>
      </w:r>
      <w:r w:rsidR="002336AF">
        <w:rPr>
          <w:sz w:val="20"/>
          <w:shd w:val="clear" w:color="auto" w:fill="FFFFFF"/>
        </w:rPr>
        <w:t>stem (Phase 2+); Alphabets and Language-specific I</w:t>
      </w:r>
      <w:r w:rsidR="002336AF" w:rsidRPr="00EA1D42">
        <w:rPr>
          <w:sz w:val="20"/>
          <w:shd w:val="clear" w:color="auto" w:fill="FFFFFF"/>
        </w:rPr>
        <w:t>nformation (GSM 03.38 version 7.2.0 Release 1998),</w:t>
      </w:r>
      <w:r w:rsidR="002336AF" w:rsidRPr="00EA1D42">
        <w:rPr>
          <w:i/>
          <w:sz w:val="20"/>
          <w:shd w:val="clear" w:color="auto" w:fill="FFFFFF"/>
        </w:rPr>
        <w:t xml:space="preserve"> </w:t>
      </w:r>
      <w:r w:rsidR="002336AF" w:rsidRPr="00EA1D42">
        <w:rPr>
          <w:sz w:val="20"/>
          <w:shd w:val="clear" w:color="auto" w:fill="FFFFFF"/>
        </w:rPr>
        <w:t>https://www.etsi.org/deliver/etsi_ts/100900_100999/100900/07.02.00_60/ts_100900v070200p.pdf (last visited Mar. 2, 2016).</w:t>
      </w:r>
      <w:r w:rsidR="002336AF">
        <w:rPr>
          <w:sz w:val="20"/>
          <w:shd w:val="clear" w:color="auto" w:fill="FFFFFF"/>
        </w:rPr>
        <w:t xml:space="preserve">  </w:t>
      </w:r>
      <w:r w:rsidR="002336AF">
        <w:rPr>
          <w:sz w:val="20"/>
        </w:rPr>
        <w:t>DOCSIS</w:t>
      </w:r>
      <w:r w:rsidR="004C402D" w:rsidRPr="002336AF">
        <w:rPr>
          <w:sz w:val="20"/>
        </w:rPr>
        <w:t xml:space="preserve"> is an international telecommunications standard that permits the addition of high-bandwidth data transfer to an existing cable TV (CATV) system. </w:t>
      </w:r>
      <w:r w:rsidR="004C402D" w:rsidRPr="002336AF">
        <w:rPr>
          <w:i/>
          <w:sz w:val="20"/>
        </w:rPr>
        <w:t>See</w:t>
      </w:r>
      <w:r w:rsidR="004C402D" w:rsidRPr="002336AF">
        <w:rPr>
          <w:sz w:val="20"/>
        </w:rPr>
        <w:t xml:space="preserve"> Definition of DOCSIS, PCMag Encyclopedia, http://www.pcmag.com/encyclopedia/term/41635/docsis (last visited Mar. 2, 2016).  </w:t>
      </w:r>
      <w:r w:rsidR="00BB6296">
        <w:rPr>
          <w:i/>
          <w:sz w:val="20"/>
          <w:shd w:val="clear" w:color="auto" w:fill="FFFFFF"/>
        </w:rPr>
        <w:t xml:space="preserve">See also supra </w:t>
      </w:r>
      <w:r w:rsidR="00BB6296">
        <w:rPr>
          <w:sz w:val="20"/>
          <w:shd w:val="clear" w:color="auto" w:fill="FFFFFF"/>
        </w:rPr>
        <w:t>note 7 (defining CAP, an alert configuration protocol).</w:t>
      </w:r>
    </w:p>
  </w:footnote>
  <w:footnote w:id="16">
    <w:p w14:paraId="4FC5C97A" w14:textId="53025EBA" w:rsidR="00462CEB" w:rsidRDefault="00462CEB">
      <w:pPr>
        <w:pStyle w:val="FootnoteText"/>
      </w:pPr>
      <w:r>
        <w:rPr>
          <w:rStyle w:val="FootnoteReference"/>
        </w:rPr>
        <w:footnoteRef/>
      </w:r>
      <w:r>
        <w:t xml:space="preserve"> </w:t>
      </w:r>
      <w:r w:rsidRPr="00462CEB">
        <w:rPr>
          <w:i/>
        </w:rPr>
        <w:t>See, e.g.</w:t>
      </w:r>
      <w:r w:rsidR="004D7E92">
        <w:t>,</w:t>
      </w:r>
      <w:r>
        <w:t xml:space="preserve"> 4</w:t>
      </w:r>
      <w:r w:rsidR="004D7E92">
        <w:t>7</w:t>
      </w:r>
      <w:r>
        <w:t xml:space="preserve"> C</w:t>
      </w:r>
      <w:r w:rsidR="004D7E92">
        <w:t>.</w:t>
      </w:r>
      <w:r>
        <w:t>F</w:t>
      </w:r>
      <w:r w:rsidR="004D7E92">
        <w:t>.</w:t>
      </w:r>
      <w:r>
        <w:t xml:space="preserve">R </w:t>
      </w:r>
      <w:r w:rsidR="004D7E92" w:rsidRPr="00595F76">
        <w:t>§</w:t>
      </w:r>
      <w:r w:rsidR="004D7E92">
        <w:t xml:space="preserve"> </w:t>
      </w:r>
      <w:r>
        <w:t>11.31(e)</w:t>
      </w:r>
      <w:r w:rsidR="00854C9E">
        <w:t xml:space="preserve"> </w:t>
      </w:r>
      <w:r>
        <w:t>(</w:t>
      </w:r>
      <w:r w:rsidR="00854C9E">
        <w:t>t</w:t>
      </w:r>
      <w:r>
        <w:t>he EAS rule</w:t>
      </w:r>
      <w:r w:rsidR="00854C9E">
        <w:t>s</w:t>
      </w:r>
      <w:r>
        <w:t xml:space="preserve"> contain the event code “EQW” for earthquake.)</w:t>
      </w:r>
    </w:p>
  </w:footnote>
  <w:footnote w:id="17">
    <w:p w14:paraId="71CF3C70" w14:textId="77777777" w:rsidR="00B57549" w:rsidRDefault="00B57549" w:rsidP="00B57549">
      <w:pPr>
        <w:pStyle w:val="FootnoteText"/>
      </w:pPr>
      <w:r>
        <w:rPr>
          <w:rStyle w:val="FootnoteReference"/>
        </w:rPr>
        <w:footnoteRef/>
      </w:r>
      <w:r>
        <w:t xml:space="preserve"> </w:t>
      </w:r>
      <w:r w:rsidRPr="005543DF">
        <w:rPr>
          <w:i/>
        </w:rPr>
        <w:t>USGS Report</w:t>
      </w:r>
      <w:r>
        <w:t xml:space="preserve"> at 4.</w:t>
      </w:r>
    </w:p>
  </w:footnote>
  <w:footnote w:id="18">
    <w:p w14:paraId="364E7CD7" w14:textId="12A8306E" w:rsidR="00B57549" w:rsidRDefault="00B57549" w:rsidP="00B57549">
      <w:pPr>
        <w:pStyle w:val="FootnoteText"/>
      </w:pPr>
      <w:r>
        <w:rPr>
          <w:rStyle w:val="FootnoteReference"/>
        </w:rPr>
        <w:footnoteRef/>
      </w:r>
      <w:r>
        <w:t xml:space="preserve"> </w:t>
      </w:r>
      <w:r>
        <w:rPr>
          <w:i/>
        </w:rPr>
        <w:t xml:space="preserve">See </w:t>
      </w:r>
      <w:r w:rsidRPr="005543DF">
        <w:rPr>
          <w:i/>
        </w:rPr>
        <w:t>USGS Report</w:t>
      </w:r>
      <w:r>
        <w:t xml:space="preserve"> at 4, 6 (stating that a detection module “</w:t>
      </w:r>
      <w:r w:rsidRPr="005C6D80">
        <w:t xml:space="preserve">uses estimates of source parameters and uncertainties </w:t>
      </w:r>
      <w:r w:rsidR="004D7E92">
        <w:t>[</w:t>
      </w:r>
      <w:r w:rsidRPr="005C6D80">
        <w:t>determined by the algorithms</w:t>
      </w:r>
      <w:r w:rsidR="004D7E92">
        <w:t>]</w:t>
      </w:r>
      <w:r w:rsidRPr="005C6D80">
        <w:t xml:space="preserve"> to calculate, update, and report the most probable earthquake location and magnitude</w:t>
      </w:r>
      <w:r>
        <w:t>”).</w:t>
      </w:r>
    </w:p>
  </w:footnote>
  <w:footnote w:id="19">
    <w:p w14:paraId="7C180A29" w14:textId="77777777" w:rsidR="00B57549" w:rsidRDefault="00B57549" w:rsidP="00B57549">
      <w:pPr>
        <w:pStyle w:val="FootnoteText"/>
      </w:pPr>
      <w:r>
        <w:rPr>
          <w:rStyle w:val="FootnoteReference"/>
        </w:rPr>
        <w:footnoteRef/>
      </w:r>
      <w:r>
        <w:t xml:space="preserve"> </w:t>
      </w:r>
      <w:r>
        <w:rPr>
          <w:i/>
        </w:rPr>
        <w:t xml:space="preserve">See </w:t>
      </w:r>
      <w:r w:rsidRPr="005543DF">
        <w:rPr>
          <w:i/>
        </w:rPr>
        <w:t>USGS Report</w:t>
      </w:r>
      <w:r>
        <w:t xml:space="preserve"> at 14.</w:t>
      </w:r>
      <w:r w:rsidR="00854C9E">
        <w:t xml:space="preserve"> </w:t>
      </w:r>
    </w:p>
  </w:footnote>
  <w:footnote w:id="20">
    <w:p w14:paraId="414AC0BA" w14:textId="4F64AE15" w:rsidR="00B57549" w:rsidRDefault="00B57549" w:rsidP="00B57549">
      <w:pPr>
        <w:pStyle w:val="FootnoteText"/>
      </w:pPr>
      <w:r>
        <w:rPr>
          <w:rStyle w:val="FootnoteReference"/>
        </w:rPr>
        <w:footnoteRef/>
      </w:r>
      <w:r>
        <w:t xml:space="preserve"> </w:t>
      </w:r>
      <w:r w:rsidR="00854C9E" w:rsidRPr="00854C9E">
        <w:t>Feasibility Study for Earthquake Early Warning System (ATIS-0700020)</w:t>
      </w:r>
      <w:r w:rsidR="00AF4EFA">
        <w:t xml:space="preserve">, at 9 </w:t>
      </w:r>
      <w:r w:rsidR="00854C9E" w:rsidRPr="00854C9E">
        <w:t xml:space="preserve">(July 2015), </w:t>
      </w:r>
      <w:r w:rsidR="00854C9E" w:rsidRPr="003F1701">
        <w:rPr>
          <w:i/>
        </w:rPr>
        <w:t>available at</w:t>
      </w:r>
      <w:r w:rsidR="00854C9E" w:rsidRPr="00854C9E">
        <w:t xml:space="preserve"> https://access.atis.org/apps/group_public/download.php/24638/Feasibilitystudy-for-earthquake-early-warning-system.pdf (last visited </w:t>
      </w:r>
      <w:r w:rsidR="00854C9E">
        <w:t>Feb. 29</w:t>
      </w:r>
      <w:r w:rsidR="00854C9E" w:rsidRPr="00854C9E">
        <w:t>, 2016)</w:t>
      </w:r>
      <w:r w:rsidR="00854C9E">
        <w:t xml:space="preserve"> (</w:t>
      </w:r>
      <w:r w:rsidRPr="005543DF">
        <w:rPr>
          <w:i/>
        </w:rPr>
        <w:t>ATIS Study</w:t>
      </w:r>
      <w:r w:rsidR="00854C9E" w:rsidRPr="00854C9E">
        <w:t>)</w:t>
      </w:r>
      <w:r w:rsidR="00AF4EFA">
        <w:t>.</w:t>
      </w:r>
    </w:p>
  </w:footnote>
  <w:footnote w:id="21">
    <w:p w14:paraId="6BD086E5" w14:textId="77777777" w:rsidR="00B57549" w:rsidRDefault="00B57549" w:rsidP="00B57549">
      <w:pPr>
        <w:pStyle w:val="FootnoteText"/>
      </w:pPr>
      <w:r>
        <w:rPr>
          <w:rStyle w:val="FootnoteReference"/>
        </w:rPr>
        <w:footnoteRef/>
      </w:r>
      <w:r>
        <w:t xml:space="preserve"> </w:t>
      </w:r>
      <w:r>
        <w:rPr>
          <w:i/>
        </w:rPr>
        <w:t xml:space="preserve">See </w:t>
      </w:r>
      <w:r w:rsidRPr="005543DF">
        <w:rPr>
          <w:i/>
        </w:rPr>
        <w:t>ATIS Study</w:t>
      </w:r>
      <w:r>
        <w:t xml:space="preserve"> at 24, 26.</w:t>
      </w:r>
    </w:p>
  </w:footnote>
  <w:footnote w:id="22">
    <w:p w14:paraId="39D3EB8A" w14:textId="77777777" w:rsidR="00CC3AEF" w:rsidRDefault="00CC3AEF" w:rsidP="00CC3AEF">
      <w:pPr>
        <w:pStyle w:val="FootnoteText"/>
      </w:pPr>
      <w:r>
        <w:rPr>
          <w:rStyle w:val="FootnoteReference"/>
        </w:rPr>
        <w:footnoteRef/>
      </w:r>
      <w:r>
        <w:t xml:space="preserve">  </w:t>
      </w:r>
      <w:r w:rsidRPr="00C455DF">
        <w:t>ETWS uses a network of over 4,000 seismic detectors to sense and confirm seismic activity (P-waves) generated by an earthquake in advance of the more destructive, but slower waves (S-waves).</w:t>
      </w:r>
      <w:r>
        <w:t xml:space="preserve">  </w:t>
      </w:r>
      <w:r>
        <w:rPr>
          <w:i/>
        </w:rPr>
        <w:t xml:space="preserve">See </w:t>
      </w:r>
      <w:r w:rsidRPr="005543DF">
        <w:rPr>
          <w:i/>
        </w:rPr>
        <w:t>ATIS Study</w:t>
      </w:r>
      <w:r>
        <w:t xml:space="preserve"> at 11, 15.  </w:t>
      </w:r>
      <w:r w:rsidRPr="00C455DF">
        <w:t>The data produced by these sensors is automatically aggregated and analyzed by a central earthquake alerting authority, the Japan Meteorological Agency (JMA), which determines whether an earthquake of sufficient severity to warrant an early warning is occurring.</w:t>
      </w:r>
      <w:r>
        <w:t xml:space="preserve">  </w:t>
      </w:r>
      <w:r>
        <w:rPr>
          <w:i/>
        </w:rPr>
        <w:t xml:space="preserve">See </w:t>
      </w:r>
      <w:r w:rsidRPr="005543DF">
        <w:rPr>
          <w:i/>
        </w:rPr>
        <w:t>ATIS Study</w:t>
      </w:r>
      <w:r>
        <w:t xml:space="preserve"> at 15.  </w:t>
      </w:r>
      <w:r w:rsidRPr="00C455DF">
        <w:t>If so, ETWS automatically sends a short alert directly to the communications provider gateway that indicates whether earthquake tremors, tsunami waves, or both are imminent</w:t>
      </w:r>
      <w:r>
        <w:t xml:space="preserve">.  </w:t>
      </w:r>
      <w:r>
        <w:rPr>
          <w:i/>
        </w:rPr>
        <w:t xml:space="preserve">See </w:t>
      </w:r>
      <w:r w:rsidRPr="00855D11">
        <w:rPr>
          <w:i/>
        </w:rPr>
        <w:t>ATIS Study</w:t>
      </w:r>
      <w:r>
        <w:t xml:space="preserve"> at 15.  </w:t>
      </w:r>
      <w:r w:rsidRPr="004F0878">
        <w:t>The communications provider then uses its network to disseminate the alert to the public in four to ten seconds</w:t>
      </w:r>
      <w:r>
        <w:t xml:space="preserve">.  </w:t>
      </w:r>
      <w:r>
        <w:rPr>
          <w:i/>
        </w:rPr>
        <w:t xml:space="preserve">See </w:t>
      </w:r>
      <w:r w:rsidRPr="00855D11">
        <w:rPr>
          <w:i/>
        </w:rPr>
        <w:t>ATIS Study</w:t>
      </w:r>
      <w:r>
        <w:t xml:space="preserve"> at 15.  </w:t>
      </w:r>
      <w:r w:rsidRPr="004F0878">
        <w:t xml:space="preserve">After the primary notification has reached </w:t>
      </w:r>
      <w:r>
        <w:t xml:space="preserve">the </w:t>
      </w:r>
      <w:r w:rsidRPr="004F0878">
        <w:t>public, ETWS then issues a secondary notification in a less time-sensitive manner that can contain a larger amount of information designed to assist the public in taking effective protective action</w:t>
      </w:r>
      <w:r>
        <w:t xml:space="preserve">.  </w:t>
      </w:r>
      <w:r>
        <w:rPr>
          <w:i/>
        </w:rPr>
        <w:t xml:space="preserve">See </w:t>
      </w:r>
      <w:r w:rsidRPr="00855D11">
        <w:rPr>
          <w:i/>
        </w:rPr>
        <w:t>ATIS Study</w:t>
      </w:r>
      <w:r>
        <w:t xml:space="preserve"> at 15.</w:t>
      </w:r>
    </w:p>
  </w:footnote>
  <w:footnote w:id="23">
    <w:p w14:paraId="11FFD9CA" w14:textId="77777777" w:rsidR="00076B1B" w:rsidRDefault="00076B1B">
      <w:pPr>
        <w:pStyle w:val="FootnoteText"/>
      </w:pPr>
      <w:r>
        <w:rPr>
          <w:rStyle w:val="FootnoteReference"/>
        </w:rPr>
        <w:footnoteRef/>
      </w:r>
      <w:r>
        <w:t xml:space="preserve"> </w:t>
      </w:r>
      <w:r w:rsidR="007037E6" w:rsidRPr="007037E6">
        <w:t>“Geo-targeting” aler</w:t>
      </w:r>
      <w:r w:rsidR="007037E6">
        <w:t xml:space="preserve">ts refers to the ability of an alerting platform </w:t>
      </w:r>
      <w:r w:rsidR="007037E6" w:rsidRPr="007037E6">
        <w:t xml:space="preserve">to direct an alert to a geographic area that matches that desired by the alert originator.  </w:t>
      </w:r>
      <w:r w:rsidR="007037E6" w:rsidRPr="007037E6">
        <w:rPr>
          <w:i/>
        </w:rPr>
        <w:t xml:space="preserve">See </w:t>
      </w:r>
      <w:r w:rsidR="007037E6" w:rsidRPr="007037E6">
        <w:t xml:space="preserve">CSRIC IV, Working Group Two, Wireless Emergency Alerts, Geo-targeting, Message Content and Character Limitation Subcommittee, Final Report 8 (2014), </w:t>
      </w:r>
      <w:r w:rsidR="007037E6" w:rsidRPr="007037E6">
        <w:rPr>
          <w:i/>
        </w:rPr>
        <w:t xml:space="preserve">available at </w:t>
      </w:r>
      <w:r w:rsidR="007037E6" w:rsidRPr="007037E6">
        <w:t xml:space="preserve">https://transition.fcc.gov/pshs/advisory/csric4/CSRIC_CMAS_Geo-Target_Msg_Content_Msg_Len_Rpt_Final.pdf (last visited Jun. 9, 2015) </w:t>
      </w:r>
    </w:p>
  </w:footnote>
  <w:footnote w:id="24">
    <w:p w14:paraId="1F52C6E4" w14:textId="4729FBF0" w:rsidR="00301C66" w:rsidRDefault="00301C66" w:rsidP="00301C66">
      <w:pPr>
        <w:pStyle w:val="FootnoteText"/>
      </w:pPr>
      <w:r>
        <w:rPr>
          <w:rStyle w:val="FootnoteReference"/>
        </w:rPr>
        <w:footnoteRef/>
      </w:r>
      <w:r w:rsidR="00AF4EFA">
        <w:rPr>
          <w:i/>
        </w:rPr>
        <w:t xml:space="preserve"> </w:t>
      </w:r>
      <w:r w:rsidRPr="005543DF">
        <w:rPr>
          <w:i/>
        </w:rPr>
        <w:t>ATIS Study</w:t>
      </w:r>
      <w:r>
        <w:t xml:space="preserve"> at 21.</w:t>
      </w:r>
      <w:r w:rsidR="00076B1B">
        <w:t xml:space="preserve">   </w:t>
      </w:r>
      <w:r w:rsidR="007037E6">
        <w:t xml:space="preserve">The area to which an alert is geo-targeted is specified by a geocode, circle or polygon.  </w:t>
      </w:r>
      <w:r w:rsidR="007037E6">
        <w:rPr>
          <w:i/>
        </w:rPr>
        <w:t xml:space="preserve">See </w:t>
      </w:r>
      <w:r w:rsidR="007037E6">
        <w:t xml:space="preserve">47 C.F.R. </w:t>
      </w:r>
      <w:r w:rsidR="007037E6" w:rsidRPr="000F69D1">
        <w:t>§</w:t>
      </w:r>
      <w:r w:rsidR="007037E6">
        <w:t xml:space="preserve"> 10.450 (“</w:t>
      </w:r>
      <w:r w:rsidR="007037E6" w:rsidRPr="007037E6">
        <w:t>A Participating CMS Provider must transmit any Alert Message that is specified by a geocode, circle, or polygon to an area not larger than the provider's approximation of coverage for the Counties or County Equivalents with which that geocode, circle, or polygon intersects.</w:t>
      </w:r>
      <w:r w:rsidR="007037E6">
        <w:t xml:space="preserve">”); </w:t>
      </w:r>
      <w:r w:rsidR="007037E6">
        <w:rPr>
          <w:i/>
        </w:rPr>
        <w:t>see also</w:t>
      </w:r>
      <w:r w:rsidR="007037E6">
        <w:t xml:space="preserve"> 47 C.F.R. </w:t>
      </w:r>
      <w:r w:rsidR="007037E6" w:rsidRPr="000F69D1">
        <w:t>§</w:t>
      </w:r>
      <w:r w:rsidR="007037E6">
        <w:t xml:space="preserve"> 11.31(c) (stating that the EAS Protocol includes the location code “PSSCCC” to indicate the geographic area affected by the EAS alert). </w:t>
      </w:r>
    </w:p>
  </w:footnote>
  <w:footnote w:id="25">
    <w:p w14:paraId="45A4EE9F" w14:textId="77777777" w:rsidR="003F61B2" w:rsidRDefault="003F61B2">
      <w:pPr>
        <w:pStyle w:val="FootnoteText"/>
      </w:pPr>
      <w:r>
        <w:rPr>
          <w:rStyle w:val="FootnoteReference"/>
        </w:rPr>
        <w:footnoteRef/>
      </w:r>
      <w:r>
        <w:t xml:space="preserve"> </w:t>
      </w:r>
      <w:r w:rsidR="00630FCE">
        <w:t xml:space="preserve">The transmission of coordinates may be necessary to enable devices to geo-fence a more broadly targeted warning. </w:t>
      </w:r>
      <w:r>
        <w:t xml:space="preserve"> </w:t>
      </w:r>
      <w:r w:rsidR="00630FCE">
        <w:rPr>
          <w:i/>
        </w:rPr>
        <w:t>See WEA Fourth NPRM</w:t>
      </w:r>
      <w:r w:rsidR="00630FCE" w:rsidRPr="00F72D1B">
        <w:t>,</w:t>
      </w:r>
      <w:r w:rsidR="00630FCE">
        <w:t xml:space="preserve"> 30 FCC Rcd at 13802, para. 39.</w:t>
      </w:r>
      <w:r w:rsidR="00630FCE">
        <w:rPr>
          <w:i/>
        </w:rPr>
        <w:t xml:space="preserve"> </w:t>
      </w:r>
    </w:p>
  </w:footnote>
  <w:footnote w:id="26">
    <w:p w14:paraId="636322C6" w14:textId="77777777" w:rsidR="003F61B2" w:rsidRDefault="003F61B2">
      <w:pPr>
        <w:pStyle w:val="FootnoteText"/>
      </w:pPr>
      <w:r>
        <w:rPr>
          <w:rStyle w:val="FootnoteReference"/>
        </w:rPr>
        <w:footnoteRef/>
      </w:r>
      <w:r>
        <w:t xml:space="preserve"> </w:t>
      </w:r>
      <w:r w:rsidR="00630FCE">
        <w:rPr>
          <w:i/>
        </w:rPr>
        <w:t xml:space="preserve">See </w:t>
      </w:r>
      <w:r w:rsidR="00630FCE">
        <w:t xml:space="preserve">47 C.F.R. </w:t>
      </w:r>
      <w:r w:rsidR="00630FCE" w:rsidRPr="000F69D1">
        <w:t>§</w:t>
      </w:r>
      <w:r w:rsidR="00630FCE">
        <w:t xml:space="preserve"> 10.450; </w:t>
      </w:r>
      <w:r w:rsidR="00630FCE" w:rsidRPr="00630FCE">
        <w:t>47 C.F.R. § 11.31(c)</w:t>
      </w:r>
      <w:r w:rsidR="00630FCE">
        <w:t xml:space="preserve">. </w:t>
      </w:r>
    </w:p>
  </w:footnote>
  <w:footnote w:id="27">
    <w:p w14:paraId="6D39FE0A" w14:textId="77777777" w:rsidR="008233CE" w:rsidRPr="0039158C" w:rsidRDefault="008233CE" w:rsidP="008233CE">
      <w:pPr>
        <w:pStyle w:val="FootnoteText"/>
      </w:pPr>
      <w:r>
        <w:rPr>
          <w:rStyle w:val="FootnoteReference"/>
        </w:rPr>
        <w:footnoteRef/>
      </w:r>
      <w:r>
        <w:t xml:space="preserve"> </w:t>
      </w:r>
      <w:r>
        <w:rPr>
          <w:i/>
        </w:rPr>
        <w:t>See</w:t>
      </w:r>
      <w:r>
        <w:t xml:space="preserve"> 47 C</w:t>
      </w:r>
      <w:r w:rsidR="007037E6">
        <w:t>.</w:t>
      </w:r>
      <w:r>
        <w:t>F</w:t>
      </w:r>
      <w:r w:rsidR="007037E6">
        <w:t>.</w:t>
      </w:r>
      <w:r>
        <w:t>R</w:t>
      </w:r>
      <w:r w:rsidR="007037E6">
        <w:t>.</w:t>
      </w:r>
      <w:r>
        <w:t xml:space="preserve"> </w:t>
      </w:r>
      <w:r w:rsidRPr="000F69D1">
        <w:t>§</w:t>
      </w:r>
      <w:r>
        <w:t xml:space="preserve"> 10.430 (90-character limit for WEA); 47 C</w:t>
      </w:r>
      <w:r w:rsidR="007037E6">
        <w:t>.</w:t>
      </w:r>
      <w:r>
        <w:t>F</w:t>
      </w:r>
      <w:r w:rsidR="007037E6">
        <w:t>.</w:t>
      </w:r>
      <w:r>
        <w:t xml:space="preserve">R. </w:t>
      </w:r>
      <w:r w:rsidRPr="000F69D1">
        <w:t>§</w:t>
      </w:r>
      <w:r>
        <w:t xml:space="preserve"> 11.33(a)(9) (two-minute duration limit for non-presidential EAS).</w:t>
      </w:r>
    </w:p>
  </w:footnote>
  <w:footnote w:id="28">
    <w:p w14:paraId="64D3A5FD" w14:textId="77777777" w:rsidR="008233CE" w:rsidRDefault="008233CE" w:rsidP="008233CE">
      <w:pPr>
        <w:pStyle w:val="FootnoteText"/>
      </w:pPr>
      <w:r>
        <w:rPr>
          <w:rStyle w:val="FootnoteReference"/>
        </w:rPr>
        <w:footnoteRef/>
      </w:r>
      <w:r>
        <w:t xml:space="preserve"> </w:t>
      </w:r>
      <w:r w:rsidR="00630FCE">
        <w:rPr>
          <w:i/>
        </w:rPr>
        <w:t xml:space="preserve">See </w:t>
      </w:r>
      <w:r w:rsidRPr="005543DF">
        <w:rPr>
          <w:i/>
        </w:rPr>
        <w:t>ATIS Study</w:t>
      </w:r>
      <w:r>
        <w:t xml:space="preserve"> at 15</w:t>
      </w:r>
      <w:r w:rsidR="00630FCE">
        <w:t xml:space="preserve">; </w:t>
      </w:r>
      <w:r w:rsidR="00630FCE">
        <w:rPr>
          <w:i/>
        </w:rPr>
        <w:t>see also WEA Fourth NPRM</w:t>
      </w:r>
      <w:r w:rsidR="00630FCE">
        <w:t xml:space="preserve">, 30 FCC Rcd at 13792-93, para 18-19 (proposing to adopt “Emergency Government Information” as a new classification of WEA message, and seeking comment on whether it should be used as a secondary message in support of Imminent Threat Alerts). </w:t>
      </w:r>
      <w:r w:rsidR="003F61B2">
        <w:t xml:space="preserve"> </w:t>
      </w:r>
    </w:p>
  </w:footnote>
  <w:footnote w:id="29">
    <w:p w14:paraId="2693CB87" w14:textId="77777777" w:rsidR="00840C91" w:rsidRPr="00AF4EFA" w:rsidRDefault="00840C91" w:rsidP="00840C91">
      <w:pPr>
        <w:pStyle w:val="FootnoteText"/>
      </w:pPr>
      <w:r>
        <w:rPr>
          <w:rStyle w:val="FootnoteReference"/>
        </w:rPr>
        <w:footnoteRef/>
      </w:r>
      <w:r>
        <w:t xml:space="preserve"> </w:t>
      </w:r>
      <w:r>
        <w:rPr>
          <w:i/>
        </w:rPr>
        <w:t xml:space="preserve">See </w:t>
      </w:r>
      <w:r w:rsidRPr="00855D11">
        <w:rPr>
          <w:i/>
        </w:rPr>
        <w:t>USGS Report</w:t>
      </w:r>
      <w:r>
        <w:t xml:space="preserve"> at 2 (stating that FEMA estimates earthquakes cost the country </w:t>
      </w:r>
      <w:r w:rsidRPr="00A24748">
        <w:t xml:space="preserve">$5.3 billion </w:t>
      </w:r>
      <w:r>
        <w:t xml:space="preserve">annually).  </w:t>
      </w:r>
      <w:r w:rsidRPr="00A24748">
        <w:t xml:space="preserve">USGS estimates that full deployment of ShakeAlert would entail an initial capital investment of $38.3 million, and an annual cost of $16.1 million in order to, </w:t>
      </w:r>
      <w:r w:rsidRPr="00A24748">
        <w:rPr>
          <w:i/>
        </w:rPr>
        <w:t>inter alia</w:t>
      </w:r>
      <w:r w:rsidRPr="00A24748">
        <w:t>, replace sensor equipment that has a 10-year operational life.</w:t>
      </w:r>
      <w:r>
        <w:t xml:space="preserve">  </w:t>
      </w:r>
      <w:r w:rsidRPr="00A24748">
        <w:rPr>
          <w:i/>
        </w:rPr>
        <w:t>USGS Report</w:t>
      </w:r>
      <w:r w:rsidRPr="00A24748">
        <w:t xml:space="preserve"> at 8, 18.  These costs are posited </w:t>
      </w:r>
      <w:r w:rsidRPr="00A24748">
        <w:rPr>
          <w:i/>
        </w:rPr>
        <w:t>in addition</w:t>
      </w:r>
      <w:r w:rsidRPr="00A24748">
        <w:t xml:space="preserve"> to current project funding.  </w:t>
      </w:r>
      <w:r w:rsidRPr="00A24748">
        <w:rPr>
          <w:i/>
        </w:rPr>
        <w:t>See id.</w:t>
      </w:r>
    </w:p>
  </w:footnote>
  <w:footnote w:id="30">
    <w:p w14:paraId="0EF3D41C" w14:textId="77777777" w:rsidR="00AB053D" w:rsidRPr="00A24748" w:rsidRDefault="00AB053D" w:rsidP="00AB053D">
      <w:pPr>
        <w:pStyle w:val="FootnoteText"/>
      </w:pPr>
      <w:r>
        <w:rPr>
          <w:rStyle w:val="FootnoteReference"/>
        </w:rPr>
        <w:footnoteRef/>
      </w:r>
      <w:r>
        <w:t xml:space="preserve"> </w:t>
      </w:r>
      <w:r>
        <w:rPr>
          <w:i/>
        </w:rPr>
        <w:t xml:space="preserve">Compare </w:t>
      </w:r>
      <w:r w:rsidRPr="00A24748">
        <w:rPr>
          <w:i/>
        </w:rPr>
        <w:t>USGS Report</w:t>
      </w:r>
      <w:r w:rsidRPr="00A24748">
        <w:t xml:space="preserve"> at 19</w:t>
      </w:r>
      <w:r>
        <w:t xml:space="preserve"> (positing</w:t>
      </w:r>
      <w:r w:rsidRPr="00A24748">
        <w:t xml:space="preserve"> that it would take three years to hire personnel, build production infrastructure, and test and certify this already partially developed system to the point of issuing public notifications</w:t>
      </w:r>
      <w:r>
        <w:t xml:space="preserve">) </w:t>
      </w:r>
      <w:r>
        <w:rPr>
          <w:i/>
        </w:rPr>
        <w:t xml:space="preserve">with </w:t>
      </w:r>
      <w:r w:rsidRPr="00924746">
        <w:rPr>
          <w:i/>
        </w:rPr>
        <w:t>ATIS Study</w:t>
      </w:r>
      <w:r w:rsidRPr="00924746">
        <w:t xml:space="preserve"> at 6, 26-27</w:t>
      </w:r>
      <w:r>
        <w:t xml:space="preserve"> (estimating that it would take</w:t>
      </w:r>
      <w:r w:rsidRPr="00A24748">
        <w:t xml:space="preserve"> approximately ten years to achieve eighty-five percent deployment of earthquake alerting capabilities in</w:t>
      </w:r>
      <w:r>
        <w:t xml:space="preserve"> mobile devices).</w:t>
      </w:r>
    </w:p>
  </w:footnote>
  <w:footnote w:id="31">
    <w:p w14:paraId="3B1CF663" w14:textId="739DA383" w:rsidR="0056017E" w:rsidRDefault="0056017E">
      <w:pPr>
        <w:pStyle w:val="FootnoteText"/>
      </w:pPr>
      <w:r>
        <w:rPr>
          <w:rStyle w:val="FootnoteReference"/>
        </w:rPr>
        <w:footnoteRef/>
      </w:r>
      <w:r>
        <w:t xml:space="preserve"> 47 C</w:t>
      </w:r>
      <w:r w:rsidR="00AF4EFA">
        <w:t>.</w:t>
      </w:r>
      <w:r>
        <w:t>F</w:t>
      </w:r>
      <w:r w:rsidR="00AF4EFA">
        <w:t>.</w:t>
      </w:r>
      <w:r>
        <w:t>R</w:t>
      </w:r>
      <w:r w:rsidR="00AF4EFA">
        <w:t>.</w:t>
      </w:r>
      <w:r>
        <w:t xml:space="preserve"> § </w:t>
      </w:r>
      <w:r>
        <w:rPr>
          <w:color w:val="242021"/>
        </w:rPr>
        <w:t xml:space="preserve">11.1, </w:t>
      </w:r>
      <w:r w:rsidRPr="0056017E">
        <w:rPr>
          <w:i/>
          <w:color w:val="242021"/>
        </w:rPr>
        <w:t>et seq.</w:t>
      </w:r>
      <w:r>
        <w:rPr>
          <w:color w:val="242021"/>
        </w:rPr>
        <w:t xml:space="preserve"> </w:t>
      </w:r>
    </w:p>
  </w:footnote>
  <w:footnote w:id="32">
    <w:p w14:paraId="612500FD" w14:textId="7E7D8C71" w:rsidR="0056017E" w:rsidRDefault="0056017E">
      <w:pPr>
        <w:pStyle w:val="FootnoteText"/>
      </w:pPr>
      <w:r>
        <w:rPr>
          <w:rStyle w:val="FootnoteReference"/>
        </w:rPr>
        <w:footnoteRef/>
      </w:r>
      <w:r>
        <w:t xml:space="preserve"> 47 C</w:t>
      </w:r>
      <w:r w:rsidR="00AF4EFA">
        <w:t>.</w:t>
      </w:r>
      <w:r>
        <w:t>F</w:t>
      </w:r>
      <w:r w:rsidR="00AF4EFA">
        <w:t>.</w:t>
      </w:r>
      <w:r>
        <w:t>R</w:t>
      </w:r>
      <w:r w:rsidR="00AF4EFA">
        <w:t>.</w:t>
      </w:r>
      <w:r>
        <w:t xml:space="preserve"> </w:t>
      </w:r>
      <w:r w:rsidRPr="004F0878">
        <w:rPr>
          <w:color w:val="242021"/>
        </w:rPr>
        <w:t>§</w:t>
      </w:r>
      <w:r>
        <w:rPr>
          <w:color w:val="242021"/>
        </w:rPr>
        <w:t xml:space="preserve"> 10.1 </w:t>
      </w:r>
      <w:r w:rsidRPr="00482A05">
        <w:rPr>
          <w:i/>
          <w:color w:val="242021"/>
        </w:rPr>
        <w:t>et seq</w:t>
      </w:r>
      <w:r>
        <w:rPr>
          <w:color w:val="242021"/>
        </w:rPr>
        <w:t>.</w:t>
      </w:r>
    </w:p>
  </w:footnote>
  <w:footnote w:id="33">
    <w:p w14:paraId="63A3DF9F" w14:textId="1FF17F9C" w:rsidR="00742F59" w:rsidRDefault="00742F59" w:rsidP="00742F59">
      <w:pPr>
        <w:pStyle w:val="FootnoteText"/>
      </w:pPr>
      <w:r>
        <w:rPr>
          <w:rStyle w:val="FootnoteReference"/>
        </w:rPr>
        <w:footnoteRef/>
      </w:r>
      <w:r>
        <w:t xml:space="preserve"> </w:t>
      </w:r>
      <w:r w:rsidR="0088319D">
        <w:t>For the EAS, the Commission</w:t>
      </w:r>
      <w:r w:rsidR="000F0A40">
        <w:t xml:space="preserve"> has previously relied on</w:t>
      </w:r>
      <w:r w:rsidR="0088319D">
        <w:t xml:space="preserve"> </w:t>
      </w:r>
      <w:r w:rsidRPr="000F69D1">
        <w:t>47 U.S.C §§ 151, 152, 154(i), 154(o), 301, 303(b), (g) and (r), 303(v), 307, 309, 335, 403, 544(g), 606, 613, 615 and 1302</w:t>
      </w:r>
      <w:r w:rsidR="0088319D">
        <w:t>.  For WEA, the Commission</w:t>
      </w:r>
      <w:r w:rsidR="000F0A40">
        <w:t xml:space="preserve"> has also </w:t>
      </w:r>
      <w:r w:rsidR="00A958AA">
        <w:t>cited The</w:t>
      </w:r>
      <w:r w:rsidRPr="000F69D1">
        <w:t xml:space="preserve"> Warning, Alert and Response Network (WARN) Act, WARN Act §§ 602(a), (b), (c), (d), (f), 603, 604, and 606</w:t>
      </w:r>
      <w:r w:rsidR="000F0A40">
        <w:t>, to support related rulemaking</w:t>
      </w:r>
      <w:r w:rsidR="0088319D">
        <w:t xml:space="preserve">.  Both the EAS and WEA conform to other relevant statutes.  </w:t>
      </w:r>
      <w:r w:rsidR="0088319D" w:rsidRPr="0088319D">
        <w:rPr>
          <w:i/>
        </w:rPr>
        <w:t>See</w:t>
      </w:r>
      <w:r w:rsidR="0088319D">
        <w:t xml:space="preserve"> </w:t>
      </w:r>
      <w:r w:rsidRPr="000F69D1">
        <w:rPr>
          <w:i/>
          <w:iCs/>
        </w:rPr>
        <w:t>Twenty-First Century Communications and Video Accessibility Act of 2010</w:t>
      </w:r>
      <w:r w:rsidRPr="000F69D1">
        <w:t>, Pub. L. No. 111-260 and Pub. L. No. 111-265</w:t>
      </w:r>
      <w:r w:rsidR="0088319D">
        <w:t xml:space="preserve">.  For a more detailed discussion of </w:t>
      </w:r>
      <w:r w:rsidR="000F0A40">
        <w:t xml:space="preserve">legal authorities relating to </w:t>
      </w:r>
      <w:r w:rsidR="0088319D">
        <w:t>EAS and WEA, see the</w:t>
      </w:r>
      <w:r w:rsidR="00666424">
        <w:t xml:space="preserve"> </w:t>
      </w:r>
      <w:r w:rsidR="00666424">
        <w:rPr>
          <w:i/>
        </w:rPr>
        <w:t>Alerting Paradigm NPRM</w:t>
      </w:r>
      <w:r w:rsidR="00497E6A">
        <w:t xml:space="preserve"> at 71-72</w:t>
      </w:r>
      <w:r w:rsidR="0088319D" w:rsidRPr="00497E6A">
        <w:t>,</w:t>
      </w:r>
      <w:r w:rsidR="0088319D">
        <w:t xml:space="preserve"> paras 184-86</w:t>
      </w:r>
      <w:r w:rsidR="0056017E">
        <w:t>.</w:t>
      </w:r>
    </w:p>
  </w:footnote>
  <w:footnote w:id="34">
    <w:p w14:paraId="73473F38" w14:textId="17AA3840" w:rsidR="005C7720" w:rsidRDefault="005C7720">
      <w:pPr>
        <w:pStyle w:val="FootnoteText"/>
      </w:pPr>
      <w:r>
        <w:rPr>
          <w:rStyle w:val="FootnoteReference"/>
        </w:rPr>
        <w:footnoteRef/>
      </w:r>
      <w:r>
        <w:t xml:space="preserve"> </w:t>
      </w:r>
      <w:r w:rsidRPr="005C7720">
        <w:rPr>
          <w:i/>
        </w:rPr>
        <w:t>See</w:t>
      </w:r>
      <w:r w:rsidRPr="005C7720">
        <w:t xml:space="preserve"> WARN Act, Pub. L. No. 109-347, 120 Stat. at 1885; 47 C.F.R. § 10.210 (WEA participation election procedures for CMS providers).</w:t>
      </w:r>
      <w:r w:rsidR="00D9322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9F50" w14:textId="77777777" w:rsidR="00763EF9" w:rsidRDefault="00763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4A05" w14:textId="77777777" w:rsidR="00763EF9" w:rsidRDefault="00763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C5BE" w14:textId="77777777" w:rsidR="00A66517" w:rsidRDefault="00A66517" w:rsidP="00A66517">
    <w:pPr>
      <w:pStyle w:val="Header"/>
      <w:spacing w:before="0"/>
    </w:pPr>
    <w:r>
      <w:rPr>
        <w:noProof/>
      </w:rPr>
      <mc:AlternateContent>
        <mc:Choice Requires="wps">
          <w:drawing>
            <wp:anchor distT="0" distB="0" distL="114300" distR="114300" simplePos="0" relativeHeight="251656192" behindDoc="0" locked="0" layoutInCell="0" allowOverlap="1" wp14:anchorId="2FCE65E6" wp14:editId="1C27F86E">
              <wp:simplePos x="0" y="0"/>
              <wp:positionH relativeFrom="margin">
                <wp:posOffset>-57150</wp:posOffset>
              </wp:positionH>
              <wp:positionV relativeFrom="paragraph">
                <wp:posOffset>741045</wp:posOffset>
              </wp:positionV>
              <wp:extent cx="3108960"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299C7" w14:textId="77777777" w:rsidR="00A66517" w:rsidRDefault="00A66517" w:rsidP="00A66517">
                          <w:pPr>
                            <w:rPr>
                              <w:rFonts w:ascii="Arial" w:hAnsi="Arial"/>
                              <w:b/>
                            </w:rPr>
                          </w:pPr>
                          <w:r>
                            <w:rPr>
                              <w:rFonts w:ascii="Arial" w:hAnsi="Arial"/>
                              <w:b/>
                            </w:rPr>
                            <w:t>Federal Communications Commission</w:t>
                          </w:r>
                        </w:p>
                        <w:p w14:paraId="568253B7" w14:textId="77777777" w:rsidR="00A66517" w:rsidRDefault="00A66517" w:rsidP="00A665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0D266F3" w14:textId="77777777" w:rsidR="00A66517" w:rsidRDefault="00A66517" w:rsidP="00A6651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CE65E6" id="_x0000_t202" coordsize="21600,21600" o:spt="202" path="m,l,21600r21600,l21600,xe">
              <v:stroke joinstyle="miter"/>
              <v:path gradientshapeok="t" o:connecttype="rect"/>
            </v:shapetype>
            <v:shape id="Text Box 4"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" o:allowincell="f" stroked="f">
              <v:textbox>
                <w:txbxContent>
                  <w:p w14:paraId="5B7299C7" w14:textId="77777777" w:rsidR="00A66517" w:rsidRDefault="00A66517" w:rsidP="00A66517">
                    <w:pPr>
                      <w:rPr>
                        <w:rFonts w:ascii="Arial" w:hAnsi="Arial"/>
                        <w:b/>
                      </w:rPr>
                    </w:pPr>
                    <w:r>
                      <w:rPr>
                        <w:rFonts w:ascii="Arial" w:hAnsi="Arial"/>
                        <w:b/>
                      </w:rPr>
                      <w:t>Federal Communications Commission</w:t>
                    </w:r>
                  </w:p>
                  <w:p w14:paraId="568253B7" w14:textId="77777777" w:rsidR="00A66517" w:rsidRDefault="00A66517" w:rsidP="00A665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0D266F3" w14:textId="77777777" w:rsidR="00A66517" w:rsidRDefault="00A66517" w:rsidP="00A665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7216" behindDoc="0" locked="0" layoutInCell="0" allowOverlap="1" wp14:anchorId="44725F90" wp14:editId="72C8FBB7">
          <wp:simplePos x="0" y="0"/>
          <wp:positionH relativeFrom="column">
            <wp:posOffset>-650875</wp:posOffset>
          </wp:positionH>
          <wp:positionV relativeFrom="paragraph">
            <wp:posOffset>136525</wp:posOffset>
          </wp:positionV>
          <wp:extent cx="530225" cy="530225"/>
          <wp:effectExtent l="0" t="0" r="3175" b="3175"/>
          <wp:wrapTopAndBottom/>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t>PUBLIC NOTICE</w:t>
    </w:r>
  </w:p>
  <w:p w14:paraId="0B98F8C5" w14:textId="77777777" w:rsidR="00D47505" w:rsidRPr="00E514F4" w:rsidRDefault="00A66517" w:rsidP="00E514F4">
    <w:pPr>
      <w:pStyle w:val="Header"/>
    </w:pPr>
    <w:r>
      <w:rPr>
        <w:noProof/>
      </w:rPr>
      <mc:AlternateContent>
        <mc:Choice Requires="wps">
          <w:drawing>
            <wp:anchor distT="0" distB="0" distL="114300" distR="114300" simplePos="0" relativeHeight="251658240" behindDoc="0" locked="0" layoutInCell="0" allowOverlap="1" wp14:anchorId="236D849B" wp14:editId="3B850227">
              <wp:simplePos x="0" y="0"/>
              <wp:positionH relativeFrom="margin">
                <wp:align>right</wp:align>
              </wp:positionH>
              <wp:positionV relativeFrom="paragraph">
                <wp:posOffset>720090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4E03A6" id="Straight Connector 1"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" o:allowincell="f">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78B075D2" wp14:editId="24A4E975">
              <wp:simplePos x="0" y="0"/>
              <wp:positionH relativeFrom="column">
                <wp:posOffset>2552700</wp:posOffset>
              </wp:positionH>
              <wp:positionV relativeFrom="paragraph">
                <wp:posOffset>178435</wp:posOffset>
              </wp:positionV>
              <wp:extent cx="2640965" cy="447675"/>
              <wp:effectExtent l="0" t="0"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EC38D" w14:textId="77777777" w:rsidR="00A66517" w:rsidRDefault="00A66517" w:rsidP="00A66517">
                          <w:pPr>
                            <w:spacing w:before="40"/>
                            <w:jc w:val="right"/>
                            <w:rPr>
                              <w:rFonts w:ascii="Arial" w:hAnsi="Arial"/>
                              <w:b/>
                              <w:sz w:val="16"/>
                            </w:rPr>
                          </w:pPr>
                          <w:r>
                            <w:rPr>
                              <w:rFonts w:ascii="Arial" w:hAnsi="Arial"/>
                              <w:b/>
                              <w:sz w:val="16"/>
                            </w:rPr>
                            <w:t>News Media Information 202 / 418-0500</w:t>
                          </w:r>
                        </w:p>
                        <w:p w14:paraId="79F0CCF7" w14:textId="199D4DF8" w:rsidR="00A66517" w:rsidRDefault="00A66517" w:rsidP="00A66517">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8D611A">
                            <w:rPr>
                              <w:rFonts w:ascii="Arial" w:hAnsi="Arial"/>
                              <w:b/>
                              <w:sz w:val="16"/>
                            </w:rPr>
                            <w:instrText>HYPERLINK "https://www.fcc.gov/"</w:instrText>
                          </w:r>
                          <w:r w:rsidR="008D611A">
                            <w:rPr>
                              <w:rFonts w:ascii="Arial" w:hAnsi="Arial"/>
                              <w:b/>
                              <w:sz w:val="16"/>
                            </w:rPr>
                          </w:r>
                          <w:r>
                            <w:rPr>
                              <w:rFonts w:ascii="Arial" w:hAnsi="Arial"/>
                              <w:b/>
                              <w:sz w:val="16"/>
                            </w:rPr>
                            <w:fldChar w:fldCharType="separate"/>
                          </w:r>
                          <w:r>
                            <w:rPr>
                              <w:rStyle w:val="Hyperlink"/>
                              <w:rFonts w:ascii="Arial" w:hAnsi="Arial"/>
                              <w:b/>
                              <w:sz w:val="16"/>
                            </w:rPr>
                            <w:t>h</w:t>
                          </w:r>
                          <w:bookmarkEnd w:id="1"/>
                          <w:r>
                            <w:rPr>
                              <w:rStyle w:val="Hyperlink"/>
                              <w:rFonts w:ascii="Arial" w:hAnsi="Arial"/>
                              <w:b/>
                              <w:sz w:val="16"/>
                            </w:rPr>
                            <w:t>ttps://www.fcc.gov</w:t>
                          </w:r>
                          <w:r>
                            <w:rPr>
                              <w:rFonts w:ascii="Arial" w:hAnsi="Arial"/>
                              <w:b/>
                              <w:sz w:val="16"/>
                            </w:rPr>
                            <w:fldChar w:fldCharType="end"/>
                          </w:r>
                        </w:p>
                        <w:p w14:paraId="25F42149" w14:textId="77777777" w:rsidR="00A66517" w:rsidRDefault="00A66517" w:rsidP="00A66517">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01pt;margin-top:14.05pt;width:207.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fpggIAAA4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" o:allowincell="f" stroked="f">
              <v:textbox inset=",0,,0">
                <w:txbxContent>
                  <w:p w14:paraId="428EC38D" w14:textId="77777777" w:rsidR="00A66517" w:rsidRDefault="00A66517" w:rsidP="00A66517">
                    <w:pPr>
                      <w:spacing w:before="40"/>
                      <w:jc w:val="right"/>
                      <w:rPr>
                        <w:rFonts w:ascii="Arial" w:hAnsi="Arial"/>
                        <w:b/>
                        <w:sz w:val="16"/>
                      </w:rPr>
                    </w:pPr>
                    <w:r>
                      <w:rPr>
                        <w:rFonts w:ascii="Arial" w:hAnsi="Arial"/>
                        <w:b/>
                        <w:sz w:val="16"/>
                      </w:rPr>
                      <w:t>News Media Information 202 / 418-0500</w:t>
                    </w:r>
                  </w:p>
                  <w:p w14:paraId="79F0CCF7" w14:textId="199D4DF8" w:rsidR="00A66517" w:rsidRDefault="00A66517" w:rsidP="00A66517">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8D611A">
                      <w:rPr>
                        <w:rFonts w:ascii="Arial" w:hAnsi="Arial"/>
                        <w:b/>
                        <w:sz w:val="16"/>
                      </w:rPr>
                      <w:instrText>HYPERLINK "https://www.fcc.gov/"</w:instrText>
                    </w:r>
                    <w:r w:rsidR="008D611A">
                      <w:rPr>
                        <w:rFonts w:ascii="Arial" w:hAnsi="Arial"/>
                        <w:b/>
                        <w:sz w:val="16"/>
                      </w:rPr>
                    </w:r>
                    <w:r>
                      <w:rPr>
                        <w:rFonts w:ascii="Arial" w:hAnsi="Arial"/>
                        <w:b/>
                        <w:sz w:val="16"/>
                      </w:rPr>
                      <w:fldChar w:fldCharType="separate"/>
                    </w:r>
                    <w:r>
                      <w:rPr>
                        <w:rStyle w:val="Hyperlink"/>
                        <w:rFonts w:ascii="Arial" w:hAnsi="Arial"/>
                        <w:b/>
                        <w:sz w:val="16"/>
                      </w:rPr>
                      <w:t>h</w:t>
                    </w:r>
                    <w:bookmarkEnd w:id="2"/>
                    <w:r>
                      <w:rPr>
                        <w:rStyle w:val="Hyperlink"/>
                        <w:rFonts w:ascii="Arial" w:hAnsi="Arial"/>
                        <w:b/>
                        <w:sz w:val="16"/>
                      </w:rPr>
                      <w:t>ttps://www.fcc.gov</w:t>
                    </w:r>
                    <w:r>
                      <w:rPr>
                        <w:rFonts w:ascii="Arial" w:hAnsi="Arial"/>
                        <w:b/>
                        <w:sz w:val="16"/>
                      </w:rPr>
                      <w:fldChar w:fldCharType="end"/>
                    </w:r>
                  </w:p>
                  <w:p w14:paraId="25F42149" w14:textId="77777777" w:rsidR="00A66517" w:rsidRDefault="00A66517" w:rsidP="00A665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upperRoman"/>
      <w:lvlText w:val="%1."/>
      <w:lvlJc w:val="left"/>
      <w:pPr>
        <w:ind w:left="60" w:hanging="720"/>
      </w:pPr>
      <w:rPr>
        <w:rFonts w:ascii="Times New Roman" w:hAnsi="Times New Roman" w:cs="Times New Roman"/>
        <w:b/>
        <w:bCs/>
        <w:color w:val="242021"/>
        <w:sz w:val="22"/>
        <w:szCs w:val="22"/>
      </w:rPr>
    </w:lvl>
    <w:lvl w:ilvl="1">
      <w:numFmt w:val="bullet"/>
      <w:lvlText w:val=""/>
      <w:lvlJc w:val="left"/>
      <w:pPr>
        <w:ind w:left="420" w:hanging="360"/>
      </w:pPr>
      <w:rPr>
        <w:rFonts w:ascii="Symbol" w:hAnsi="Symbol"/>
        <w:b w:val="0"/>
        <w:color w:val="242021"/>
        <w:sz w:val="22"/>
      </w:rPr>
    </w:lvl>
    <w:lvl w:ilvl="2">
      <w:numFmt w:val="bullet"/>
      <w:lvlText w:val="•"/>
      <w:lvlJc w:val="left"/>
      <w:pPr>
        <w:ind w:left="1346" w:hanging="360"/>
      </w:pPr>
    </w:lvl>
    <w:lvl w:ilvl="3">
      <w:numFmt w:val="bullet"/>
      <w:lvlText w:val="•"/>
      <w:lvlJc w:val="left"/>
      <w:pPr>
        <w:ind w:left="2273" w:hanging="360"/>
      </w:pPr>
    </w:lvl>
    <w:lvl w:ilvl="4">
      <w:numFmt w:val="bullet"/>
      <w:lvlText w:val="•"/>
      <w:lvlJc w:val="left"/>
      <w:pPr>
        <w:ind w:left="3200" w:hanging="360"/>
      </w:pPr>
    </w:lvl>
    <w:lvl w:ilvl="5">
      <w:numFmt w:val="bullet"/>
      <w:lvlText w:val="•"/>
      <w:lvlJc w:val="left"/>
      <w:pPr>
        <w:ind w:left="4126" w:hanging="360"/>
      </w:pPr>
    </w:lvl>
    <w:lvl w:ilvl="6">
      <w:numFmt w:val="bullet"/>
      <w:lvlText w:val="•"/>
      <w:lvlJc w:val="left"/>
      <w:pPr>
        <w:ind w:left="5053" w:hanging="360"/>
      </w:pPr>
    </w:lvl>
    <w:lvl w:ilvl="7">
      <w:numFmt w:val="bullet"/>
      <w:lvlText w:val="•"/>
      <w:lvlJc w:val="left"/>
      <w:pPr>
        <w:ind w:left="5980" w:hanging="360"/>
      </w:pPr>
    </w:lvl>
    <w:lvl w:ilvl="8">
      <w:numFmt w:val="bullet"/>
      <w:lvlText w:val="•"/>
      <w:lvlJc w:val="left"/>
      <w:pPr>
        <w:ind w:left="6906" w:hanging="360"/>
      </w:pPr>
    </w:lvl>
  </w:abstractNum>
  <w:abstractNum w:abstractNumId="1">
    <w:nsid w:val="00000404"/>
    <w:multiLevelType w:val="multilevel"/>
    <w:tmpl w:val="00000887"/>
    <w:lvl w:ilvl="0">
      <w:start w:val="1"/>
      <w:numFmt w:val="upperLetter"/>
      <w:lvlText w:val="%1."/>
      <w:lvlJc w:val="left"/>
      <w:pPr>
        <w:ind w:left="1560" w:hanging="720"/>
      </w:pPr>
      <w:rPr>
        <w:rFonts w:ascii="Times New Roman" w:hAnsi="Times New Roman" w:cs="Times New Roman"/>
        <w:b w:val="0"/>
        <w:bCs w:val="0"/>
        <w:color w:val="242021"/>
        <w:spacing w:val="-2"/>
        <w:sz w:val="22"/>
        <w:szCs w:val="22"/>
      </w:rPr>
    </w:lvl>
    <w:lvl w:ilvl="1">
      <w:numFmt w:val="bullet"/>
      <w:lvlText w:val="•"/>
      <w:lvlJc w:val="left"/>
      <w:pPr>
        <w:ind w:left="2362" w:hanging="720"/>
      </w:pPr>
    </w:lvl>
    <w:lvl w:ilvl="2">
      <w:numFmt w:val="bullet"/>
      <w:lvlText w:val="•"/>
      <w:lvlJc w:val="left"/>
      <w:pPr>
        <w:ind w:left="3164" w:hanging="720"/>
      </w:pPr>
    </w:lvl>
    <w:lvl w:ilvl="3">
      <w:numFmt w:val="bullet"/>
      <w:lvlText w:val="•"/>
      <w:lvlJc w:val="left"/>
      <w:pPr>
        <w:ind w:left="3966" w:hanging="720"/>
      </w:pPr>
    </w:lvl>
    <w:lvl w:ilvl="4">
      <w:numFmt w:val="bullet"/>
      <w:lvlText w:val="•"/>
      <w:lvlJc w:val="left"/>
      <w:pPr>
        <w:ind w:left="4768" w:hanging="720"/>
      </w:pPr>
    </w:lvl>
    <w:lvl w:ilvl="5">
      <w:numFmt w:val="bullet"/>
      <w:lvlText w:val="•"/>
      <w:lvlJc w:val="left"/>
      <w:pPr>
        <w:ind w:left="5570" w:hanging="720"/>
      </w:pPr>
    </w:lvl>
    <w:lvl w:ilvl="6">
      <w:numFmt w:val="bullet"/>
      <w:lvlText w:val="•"/>
      <w:lvlJc w:val="left"/>
      <w:pPr>
        <w:ind w:left="6372" w:hanging="720"/>
      </w:pPr>
    </w:lvl>
    <w:lvl w:ilvl="7">
      <w:numFmt w:val="bullet"/>
      <w:lvlText w:val="•"/>
      <w:lvlJc w:val="left"/>
      <w:pPr>
        <w:ind w:left="7174" w:hanging="720"/>
      </w:pPr>
    </w:lvl>
    <w:lvl w:ilvl="8">
      <w:numFmt w:val="bullet"/>
      <w:lvlText w:val="•"/>
      <w:lvlJc w:val="left"/>
      <w:pPr>
        <w:ind w:left="7976" w:hanging="720"/>
      </w:pPr>
    </w:lvl>
  </w:abstractNum>
  <w:abstractNum w:abstractNumId="2">
    <w:nsid w:val="00000405"/>
    <w:multiLevelType w:val="multilevel"/>
    <w:tmpl w:val="00000888"/>
    <w:lvl w:ilvl="0">
      <w:numFmt w:val="bullet"/>
      <w:lvlText w:val=""/>
      <w:lvlJc w:val="left"/>
      <w:pPr>
        <w:ind w:left="820" w:hanging="360"/>
      </w:pPr>
      <w:rPr>
        <w:rFonts w:ascii="Wingdings" w:hAnsi="Wingdings"/>
        <w:b w:val="0"/>
        <w:color w:val="242021"/>
        <w:sz w:val="22"/>
      </w:rPr>
    </w:lvl>
    <w:lvl w:ilvl="1">
      <w:numFmt w:val="bullet"/>
      <w:lvlText w:val=""/>
      <w:lvlJc w:val="left"/>
      <w:pPr>
        <w:ind w:left="1540" w:hanging="360"/>
      </w:pPr>
      <w:rPr>
        <w:rFonts w:ascii="Wingdings" w:hAnsi="Wingdings"/>
        <w:b w:val="0"/>
        <w:color w:val="242021"/>
        <w:sz w:val="22"/>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88F052E"/>
    <w:multiLevelType w:val="hybridMultilevel"/>
    <w:tmpl w:val="176839EA"/>
    <w:lvl w:ilvl="0" w:tplc="5D2E22D2">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B1F3F"/>
    <w:multiLevelType w:val="hybridMultilevel"/>
    <w:tmpl w:val="E9A8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200A6"/>
    <w:multiLevelType w:val="hybridMultilevel"/>
    <w:tmpl w:val="DBE80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6151D"/>
    <w:multiLevelType w:val="hybridMultilevel"/>
    <w:tmpl w:val="62C8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6656B0"/>
    <w:multiLevelType w:val="hybridMultilevel"/>
    <w:tmpl w:val="D782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33E2E2A6"/>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80E4BBE"/>
    <w:multiLevelType w:val="hybridMultilevel"/>
    <w:tmpl w:val="A31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A520B"/>
    <w:multiLevelType w:val="hybridMultilevel"/>
    <w:tmpl w:val="F714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2E4D0D2C"/>
    <w:multiLevelType w:val="hybridMultilevel"/>
    <w:tmpl w:val="22E0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1C73AF"/>
    <w:multiLevelType w:val="hybridMultilevel"/>
    <w:tmpl w:val="8BE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81E06"/>
    <w:multiLevelType w:val="hybridMultilevel"/>
    <w:tmpl w:val="94C6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F1F35"/>
    <w:multiLevelType w:val="hybridMultilevel"/>
    <w:tmpl w:val="4C5A8468"/>
    <w:lvl w:ilvl="0" w:tplc="1F6A734E">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3E72A36"/>
    <w:multiLevelType w:val="hybridMultilevel"/>
    <w:tmpl w:val="12E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A436E"/>
    <w:multiLevelType w:val="hybridMultilevel"/>
    <w:tmpl w:val="1C38F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E36AC"/>
    <w:multiLevelType w:val="hybridMultilevel"/>
    <w:tmpl w:val="558080EC"/>
    <w:lvl w:ilvl="0" w:tplc="5D2E22D2">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2226F"/>
    <w:multiLevelType w:val="hybridMultilevel"/>
    <w:tmpl w:val="3130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F233E31"/>
    <w:multiLevelType w:val="hybridMultilevel"/>
    <w:tmpl w:val="537C3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EF42AE"/>
    <w:multiLevelType w:val="hybridMultilevel"/>
    <w:tmpl w:val="8BBC15C8"/>
    <w:lvl w:ilvl="0" w:tplc="101E8A28">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8">
    <w:nsid w:val="541F6B38"/>
    <w:multiLevelType w:val="multilevel"/>
    <w:tmpl w:val="5BD46BDE"/>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58962F63"/>
    <w:multiLevelType w:val="hybridMultilevel"/>
    <w:tmpl w:val="3986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E51F3D"/>
    <w:multiLevelType w:val="hybridMultilevel"/>
    <w:tmpl w:val="45CE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3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3">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34">
    <w:nsid w:val="61E434AB"/>
    <w:multiLevelType w:val="hybridMultilevel"/>
    <w:tmpl w:val="746E04D8"/>
    <w:lvl w:ilvl="0" w:tplc="9A3A2C1E">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B7FD0"/>
    <w:multiLevelType w:val="hybridMultilevel"/>
    <w:tmpl w:val="0674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81908"/>
    <w:multiLevelType w:val="hybridMultilevel"/>
    <w:tmpl w:val="D1E0F3BC"/>
    <w:lvl w:ilvl="0" w:tplc="5D2E22D2">
      <w:start w:val="1"/>
      <w:numFmt w:val="decimal"/>
      <w:lvlText w:val="%1."/>
      <w:lvlJc w:val="left"/>
      <w:pPr>
        <w:ind w:left="2160" w:hanging="360"/>
      </w:pPr>
      <w:rPr>
        <w:rFonts w:ascii="Times New Roman" w:hAnsi="Times New Roman" w:cs="Times New Roman"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F752B0"/>
    <w:multiLevelType w:val="hybridMultilevel"/>
    <w:tmpl w:val="1680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11"/>
  </w:num>
  <w:num w:numId="4">
    <w:abstractNumId w:val="24"/>
  </w:num>
  <w:num w:numId="5">
    <w:abstractNumId w:val="10"/>
  </w:num>
  <w:num w:numId="6">
    <w:abstractNumId w:val="3"/>
  </w:num>
  <w:num w:numId="7">
    <w:abstractNumId w:val="28"/>
  </w:num>
  <w:num w:numId="8">
    <w:abstractNumId w:val="32"/>
  </w:num>
  <w:num w:numId="9">
    <w:abstractNumId w:val="2"/>
  </w:num>
  <w:num w:numId="10">
    <w:abstractNumId w:val="0"/>
  </w:num>
  <w:num w:numId="11">
    <w:abstractNumId w:val="30"/>
  </w:num>
  <w:num w:numId="12">
    <w:abstractNumId w:val="17"/>
  </w:num>
  <w:num w:numId="13">
    <w:abstractNumId w:val="7"/>
  </w:num>
  <w:num w:numId="14">
    <w:abstractNumId w:val="16"/>
  </w:num>
  <w:num w:numId="15">
    <w:abstractNumId w:val="5"/>
  </w:num>
  <w:num w:numId="16">
    <w:abstractNumId w:val="8"/>
  </w:num>
  <w:num w:numId="17">
    <w:abstractNumId w:val="31"/>
  </w:num>
  <w:num w:numId="18">
    <w:abstractNumId w:val="14"/>
  </w:num>
  <w:num w:numId="19">
    <w:abstractNumId w:val="27"/>
  </w:num>
  <w:num w:numId="20">
    <w:abstractNumId w:val="19"/>
  </w:num>
  <w:num w:numId="21">
    <w:abstractNumId w:val="1"/>
  </w:num>
  <w:num w:numId="22">
    <w:abstractNumId w:val="29"/>
  </w:num>
  <w:num w:numId="23">
    <w:abstractNumId w:val="15"/>
  </w:num>
  <w:num w:numId="24">
    <w:abstractNumId w:val="20"/>
  </w:num>
  <w:num w:numId="25">
    <w:abstractNumId w:val="4"/>
  </w:num>
  <w:num w:numId="26">
    <w:abstractNumId w:val="22"/>
  </w:num>
  <w:num w:numId="27">
    <w:abstractNumId w:val="36"/>
  </w:num>
  <w:num w:numId="28">
    <w:abstractNumId w:val="25"/>
  </w:num>
  <w:num w:numId="29">
    <w:abstractNumId w:val="18"/>
  </w:num>
  <w:num w:numId="30">
    <w:abstractNumId w:val="6"/>
  </w:num>
  <w:num w:numId="31">
    <w:abstractNumId w:val="21"/>
  </w:num>
  <w:num w:numId="32">
    <w:abstractNumId w:val="34"/>
  </w:num>
  <w:num w:numId="33">
    <w:abstractNumId w:val="26"/>
  </w:num>
  <w:num w:numId="34">
    <w:abstractNumId w:val="11"/>
  </w:num>
  <w:num w:numId="35">
    <w:abstractNumId w:val="11"/>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 w:numId="40">
    <w:abstractNumId w:val="11"/>
  </w:num>
  <w:num w:numId="41">
    <w:abstractNumId w:val="11"/>
  </w:num>
  <w:num w:numId="42">
    <w:abstractNumId w:val="23"/>
  </w:num>
  <w:num w:numId="43">
    <w:abstractNumId w:val="35"/>
  </w:num>
  <w:num w:numId="44">
    <w:abstractNumId w:val="12"/>
  </w:num>
  <w:num w:numId="45">
    <w:abstractNumId w:val="3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F4"/>
    <w:rsid w:val="000054D3"/>
    <w:rsid w:val="0000561C"/>
    <w:rsid w:val="00007169"/>
    <w:rsid w:val="00007577"/>
    <w:rsid w:val="0001254B"/>
    <w:rsid w:val="0001351B"/>
    <w:rsid w:val="0001659F"/>
    <w:rsid w:val="000221C8"/>
    <w:rsid w:val="000246AC"/>
    <w:rsid w:val="000255C7"/>
    <w:rsid w:val="00026003"/>
    <w:rsid w:val="000265AE"/>
    <w:rsid w:val="0003528D"/>
    <w:rsid w:val="00036039"/>
    <w:rsid w:val="00037500"/>
    <w:rsid w:val="00037F90"/>
    <w:rsid w:val="000527DE"/>
    <w:rsid w:val="00055B40"/>
    <w:rsid w:val="00060EDA"/>
    <w:rsid w:val="00074B6D"/>
    <w:rsid w:val="00076B1B"/>
    <w:rsid w:val="00081420"/>
    <w:rsid w:val="0008366B"/>
    <w:rsid w:val="00086327"/>
    <w:rsid w:val="000875BF"/>
    <w:rsid w:val="00087D2D"/>
    <w:rsid w:val="000928F5"/>
    <w:rsid w:val="00096D8C"/>
    <w:rsid w:val="00097501"/>
    <w:rsid w:val="000A05C6"/>
    <w:rsid w:val="000A2C20"/>
    <w:rsid w:val="000A730F"/>
    <w:rsid w:val="000B3F0C"/>
    <w:rsid w:val="000B5BCD"/>
    <w:rsid w:val="000C0B65"/>
    <w:rsid w:val="000C3064"/>
    <w:rsid w:val="000D1E43"/>
    <w:rsid w:val="000D28A9"/>
    <w:rsid w:val="000D2BD7"/>
    <w:rsid w:val="000E05FE"/>
    <w:rsid w:val="000E3D42"/>
    <w:rsid w:val="000F0A40"/>
    <w:rsid w:val="000F69D1"/>
    <w:rsid w:val="00101B47"/>
    <w:rsid w:val="001155EA"/>
    <w:rsid w:val="00115CDE"/>
    <w:rsid w:val="001165FF"/>
    <w:rsid w:val="00122BD5"/>
    <w:rsid w:val="001237BF"/>
    <w:rsid w:val="0012488D"/>
    <w:rsid w:val="00133F79"/>
    <w:rsid w:val="00174743"/>
    <w:rsid w:val="00180D04"/>
    <w:rsid w:val="00181252"/>
    <w:rsid w:val="0019457E"/>
    <w:rsid w:val="00194A66"/>
    <w:rsid w:val="00196AEF"/>
    <w:rsid w:val="001A0930"/>
    <w:rsid w:val="001A6603"/>
    <w:rsid w:val="001B1832"/>
    <w:rsid w:val="001B2614"/>
    <w:rsid w:val="001D470C"/>
    <w:rsid w:val="001D497B"/>
    <w:rsid w:val="001D6BCF"/>
    <w:rsid w:val="001D7960"/>
    <w:rsid w:val="001E01CA"/>
    <w:rsid w:val="001E1478"/>
    <w:rsid w:val="001F0BD3"/>
    <w:rsid w:val="001F2196"/>
    <w:rsid w:val="001F66E8"/>
    <w:rsid w:val="001F6F4E"/>
    <w:rsid w:val="002012F6"/>
    <w:rsid w:val="00202E53"/>
    <w:rsid w:val="00214078"/>
    <w:rsid w:val="00216C50"/>
    <w:rsid w:val="00216EE2"/>
    <w:rsid w:val="00220C84"/>
    <w:rsid w:val="00225634"/>
    <w:rsid w:val="00226D97"/>
    <w:rsid w:val="002336A2"/>
    <w:rsid w:val="002336AF"/>
    <w:rsid w:val="002348FA"/>
    <w:rsid w:val="00244129"/>
    <w:rsid w:val="00245A17"/>
    <w:rsid w:val="002500BB"/>
    <w:rsid w:val="0025200D"/>
    <w:rsid w:val="00267928"/>
    <w:rsid w:val="00267E10"/>
    <w:rsid w:val="00267F44"/>
    <w:rsid w:val="0027272B"/>
    <w:rsid w:val="00275CF5"/>
    <w:rsid w:val="0028301F"/>
    <w:rsid w:val="00285017"/>
    <w:rsid w:val="0028687B"/>
    <w:rsid w:val="00293E42"/>
    <w:rsid w:val="00294C00"/>
    <w:rsid w:val="00297CCE"/>
    <w:rsid w:val="002A2D2E"/>
    <w:rsid w:val="002B0B49"/>
    <w:rsid w:val="002B5E83"/>
    <w:rsid w:val="002C00E8"/>
    <w:rsid w:val="002C3E5B"/>
    <w:rsid w:val="002C667F"/>
    <w:rsid w:val="002C72F7"/>
    <w:rsid w:val="002D09C4"/>
    <w:rsid w:val="002D78D4"/>
    <w:rsid w:val="002F4FB7"/>
    <w:rsid w:val="002F656E"/>
    <w:rsid w:val="00301C66"/>
    <w:rsid w:val="0030236E"/>
    <w:rsid w:val="00306402"/>
    <w:rsid w:val="00310D34"/>
    <w:rsid w:val="00312682"/>
    <w:rsid w:val="00314A4B"/>
    <w:rsid w:val="00321260"/>
    <w:rsid w:val="00326CC7"/>
    <w:rsid w:val="003315C3"/>
    <w:rsid w:val="00336A5D"/>
    <w:rsid w:val="00341380"/>
    <w:rsid w:val="00343749"/>
    <w:rsid w:val="00343E2A"/>
    <w:rsid w:val="00362E0D"/>
    <w:rsid w:val="003660ED"/>
    <w:rsid w:val="003744FA"/>
    <w:rsid w:val="00377592"/>
    <w:rsid w:val="00377B29"/>
    <w:rsid w:val="0039158C"/>
    <w:rsid w:val="00395C76"/>
    <w:rsid w:val="003B0550"/>
    <w:rsid w:val="003B56A5"/>
    <w:rsid w:val="003B694F"/>
    <w:rsid w:val="003D5BB7"/>
    <w:rsid w:val="003E5DF5"/>
    <w:rsid w:val="003F1701"/>
    <w:rsid w:val="003F171C"/>
    <w:rsid w:val="003F2B49"/>
    <w:rsid w:val="003F4BAA"/>
    <w:rsid w:val="003F5362"/>
    <w:rsid w:val="003F5DF1"/>
    <w:rsid w:val="003F61B2"/>
    <w:rsid w:val="00400842"/>
    <w:rsid w:val="00407AD3"/>
    <w:rsid w:val="00412FC5"/>
    <w:rsid w:val="00422276"/>
    <w:rsid w:val="00422DE7"/>
    <w:rsid w:val="00423B14"/>
    <w:rsid w:val="004242F1"/>
    <w:rsid w:val="00431CC4"/>
    <w:rsid w:val="00433511"/>
    <w:rsid w:val="0043439B"/>
    <w:rsid w:val="00445A00"/>
    <w:rsid w:val="00451B0F"/>
    <w:rsid w:val="004537A1"/>
    <w:rsid w:val="0045680C"/>
    <w:rsid w:val="00462CEB"/>
    <w:rsid w:val="00464FA4"/>
    <w:rsid w:val="00474F4A"/>
    <w:rsid w:val="00475032"/>
    <w:rsid w:val="00476FD5"/>
    <w:rsid w:val="00481F8B"/>
    <w:rsid w:val="00482550"/>
    <w:rsid w:val="00482A05"/>
    <w:rsid w:val="0048377C"/>
    <w:rsid w:val="00483B46"/>
    <w:rsid w:val="00483DEC"/>
    <w:rsid w:val="00485CDC"/>
    <w:rsid w:val="00487383"/>
    <w:rsid w:val="00494871"/>
    <w:rsid w:val="00497105"/>
    <w:rsid w:val="00497E6A"/>
    <w:rsid w:val="004A0642"/>
    <w:rsid w:val="004A24B4"/>
    <w:rsid w:val="004A44F2"/>
    <w:rsid w:val="004A4E89"/>
    <w:rsid w:val="004B0C12"/>
    <w:rsid w:val="004B6F22"/>
    <w:rsid w:val="004C2EE3"/>
    <w:rsid w:val="004C402D"/>
    <w:rsid w:val="004C605E"/>
    <w:rsid w:val="004D13FB"/>
    <w:rsid w:val="004D576A"/>
    <w:rsid w:val="004D5B54"/>
    <w:rsid w:val="004D60A4"/>
    <w:rsid w:val="004D7E92"/>
    <w:rsid w:val="004E4A22"/>
    <w:rsid w:val="004E684A"/>
    <w:rsid w:val="004E6C4A"/>
    <w:rsid w:val="004E6F7F"/>
    <w:rsid w:val="004E7202"/>
    <w:rsid w:val="004F0878"/>
    <w:rsid w:val="004F18BA"/>
    <w:rsid w:val="004F26AE"/>
    <w:rsid w:val="004F6DBD"/>
    <w:rsid w:val="00504076"/>
    <w:rsid w:val="00511968"/>
    <w:rsid w:val="00520C43"/>
    <w:rsid w:val="005369DF"/>
    <w:rsid w:val="00540377"/>
    <w:rsid w:val="005416EC"/>
    <w:rsid w:val="00545F09"/>
    <w:rsid w:val="00547403"/>
    <w:rsid w:val="00547719"/>
    <w:rsid w:val="005506D6"/>
    <w:rsid w:val="00550850"/>
    <w:rsid w:val="00552C22"/>
    <w:rsid w:val="005532E1"/>
    <w:rsid w:val="005543DF"/>
    <w:rsid w:val="005553E3"/>
    <w:rsid w:val="00555615"/>
    <w:rsid w:val="0055577E"/>
    <w:rsid w:val="0055614C"/>
    <w:rsid w:val="0056017E"/>
    <w:rsid w:val="00571F97"/>
    <w:rsid w:val="005773CE"/>
    <w:rsid w:val="005813AC"/>
    <w:rsid w:val="00586FB1"/>
    <w:rsid w:val="00595F76"/>
    <w:rsid w:val="005A2753"/>
    <w:rsid w:val="005A3267"/>
    <w:rsid w:val="005A32FD"/>
    <w:rsid w:val="005A4B5D"/>
    <w:rsid w:val="005A4F80"/>
    <w:rsid w:val="005A7C22"/>
    <w:rsid w:val="005B201D"/>
    <w:rsid w:val="005B73E1"/>
    <w:rsid w:val="005C0920"/>
    <w:rsid w:val="005C5A07"/>
    <w:rsid w:val="005C6D80"/>
    <w:rsid w:val="005C7720"/>
    <w:rsid w:val="005D094C"/>
    <w:rsid w:val="005D2553"/>
    <w:rsid w:val="005D2A99"/>
    <w:rsid w:val="005D3B18"/>
    <w:rsid w:val="005D54A7"/>
    <w:rsid w:val="005E14C2"/>
    <w:rsid w:val="005E4E0D"/>
    <w:rsid w:val="006012A2"/>
    <w:rsid w:val="00602577"/>
    <w:rsid w:val="00605394"/>
    <w:rsid w:val="00606A78"/>
    <w:rsid w:val="00607BA5"/>
    <w:rsid w:val="0061180A"/>
    <w:rsid w:val="006142EA"/>
    <w:rsid w:val="00615F77"/>
    <w:rsid w:val="00626EB6"/>
    <w:rsid w:val="00630FCE"/>
    <w:rsid w:val="00631225"/>
    <w:rsid w:val="006347E5"/>
    <w:rsid w:val="0064134B"/>
    <w:rsid w:val="00642A89"/>
    <w:rsid w:val="00655D03"/>
    <w:rsid w:val="00664A21"/>
    <w:rsid w:val="00666424"/>
    <w:rsid w:val="00683388"/>
    <w:rsid w:val="00683F84"/>
    <w:rsid w:val="006842EA"/>
    <w:rsid w:val="00684BC0"/>
    <w:rsid w:val="006856A9"/>
    <w:rsid w:val="006857E1"/>
    <w:rsid w:val="006865A6"/>
    <w:rsid w:val="00692465"/>
    <w:rsid w:val="00693530"/>
    <w:rsid w:val="006A18DA"/>
    <w:rsid w:val="006A1F49"/>
    <w:rsid w:val="006A29A7"/>
    <w:rsid w:val="006A6302"/>
    <w:rsid w:val="006A6A81"/>
    <w:rsid w:val="006B1456"/>
    <w:rsid w:val="006B1BA0"/>
    <w:rsid w:val="006B617D"/>
    <w:rsid w:val="006C1A40"/>
    <w:rsid w:val="006C218C"/>
    <w:rsid w:val="006D0AC0"/>
    <w:rsid w:val="006D2A93"/>
    <w:rsid w:val="006D7F2F"/>
    <w:rsid w:val="006E5AF4"/>
    <w:rsid w:val="006F4E3C"/>
    <w:rsid w:val="006F718D"/>
    <w:rsid w:val="006F7393"/>
    <w:rsid w:val="006F78EE"/>
    <w:rsid w:val="0070107E"/>
    <w:rsid w:val="00701E73"/>
    <w:rsid w:val="0070224F"/>
    <w:rsid w:val="00702866"/>
    <w:rsid w:val="00702A02"/>
    <w:rsid w:val="007037E6"/>
    <w:rsid w:val="007115F7"/>
    <w:rsid w:val="00727A03"/>
    <w:rsid w:val="00733DAB"/>
    <w:rsid w:val="007352FC"/>
    <w:rsid w:val="007360DB"/>
    <w:rsid w:val="00736B4B"/>
    <w:rsid w:val="00737A64"/>
    <w:rsid w:val="00742F59"/>
    <w:rsid w:val="007441F9"/>
    <w:rsid w:val="00753CA8"/>
    <w:rsid w:val="00754052"/>
    <w:rsid w:val="00763EF9"/>
    <w:rsid w:val="00764350"/>
    <w:rsid w:val="007675F0"/>
    <w:rsid w:val="0077067B"/>
    <w:rsid w:val="00785689"/>
    <w:rsid w:val="00786179"/>
    <w:rsid w:val="00793CEC"/>
    <w:rsid w:val="00794C88"/>
    <w:rsid w:val="0079754B"/>
    <w:rsid w:val="007A1E6D"/>
    <w:rsid w:val="007A5EA6"/>
    <w:rsid w:val="007B03E5"/>
    <w:rsid w:val="007B0EB2"/>
    <w:rsid w:val="007B24B1"/>
    <w:rsid w:val="007B3400"/>
    <w:rsid w:val="007B4142"/>
    <w:rsid w:val="007B5090"/>
    <w:rsid w:val="007C20E3"/>
    <w:rsid w:val="007C2D0C"/>
    <w:rsid w:val="007D27B1"/>
    <w:rsid w:val="007E50DD"/>
    <w:rsid w:val="007E7283"/>
    <w:rsid w:val="007F413A"/>
    <w:rsid w:val="00800B2D"/>
    <w:rsid w:val="00800D0A"/>
    <w:rsid w:val="008019F5"/>
    <w:rsid w:val="008058DF"/>
    <w:rsid w:val="00810B6F"/>
    <w:rsid w:val="00813463"/>
    <w:rsid w:val="00822144"/>
    <w:rsid w:val="00822CE0"/>
    <w:rsid w:val="008233CE"/>
    <w:rsid w:val="00827D2B"/>
    <w:rsid w:val="00827F15"/>
    <w:rsid w:val="0083031C"/>
    <w:rsid w:val="00835D69"/>
    <w:rsid w:val="008378AE"/>
    <w:rsid w:val="00840C91"/>
    <w:rsid w:val="00841AB1"/>
    <w:rsid w:val="00842BA2"/>
    <w:rsid w:val="00851C72"/>
    <w:rsid w:val="00853C37"/>
    <w:rsid w:val="00854C9E"/>
    <w:rsid w:val="008574A6"/>
    <w:rsid w:val="008628E0"/>
    <w:rsid w:val="00863F88"/>
    <w:rsid w:val="00866D55"/>
    <w:rsid w:val="008676A6"/>
    <w:rsid w:val="00875822"/>
    <w:rsid w:val="00876C36"/>
    <w:rsid w:val="00880C6E"/>
    <w:rsid w:val="0088178B"/>
    <w:rsid w:val="0088319D"/>
    <w:rsid w:val="00894839"/>
    <w:rsid w:val="0089726C"/>
    <w:rsid w:val="008A41F6"/>
    <w:rsid w:val="008A553F"/>
    <w:rsid w:val="008C68F1"/>
    <w:rsid w:val="008C6E64"/>
    <w:rsid w:val="008D1C06"/>
    <w:rsid w:val="008D60EF"/>
    <w:rsid w:val="008D611A"/>
    <w:rsid w:val="008E5CBE"/>
    <w:rsid w:val="008F1E4A"/>
    <w:rsid w:val="008F239F"/>
    <w:rsid w:val="008F726A"/>
    <w:rsid w:val="00900F2F"/>
    <w:rsid w:val="00915E5C"/>
    <w:rsid w:val="00921803"/>
    <w:rsid w:val="00924746"/>
    <w:rsid w:val="00926503"/>
    <w:rsid w:val="00931680"/>
    <w:rsid w:val="00932323"/>
    <w:rsid w:val="0093412D"/>
    <w:rsid w:val="0094032C"/>
    <w:rsid w:val="0094239F"/>
    <w:rsid w:val="00944452"/>
    <w:rsid w:val="00950F86"/>
    <w:rsid w:val="00951EC4"/>
    <w:rsid w:val="00955B23"/>
    <w:rsid w:val="00962A00"/>
    <w:rsid w:val="00963678"/>
    <w:rsid w:val="00965D1E"/>
    <w:rsid w:val="009726D8"/>
    <w:rsid w:val="009826D8"/>
    <w:rsid w:val="009878B1"/>
    <w:rsid w:val="009A22E5"/>
    <w:rsid w:val="009A2A93"/>
    <w:rsid w:val="009A58DB"/>
    <w:rsid w:val="009B1931"/>
    <w:rsid w:val="009B6610"/>
    <w:rsid w:val="009B78C3"/>
    <w:rsid w:val="009C2B19"/>
    <w:rsid w:val="009C2C05"/>
    <w:rsid w:val="009C37E4"/>
    <w:rsid w:val="009C3803"/>
    <w:rsid w:val="009E3BCF"/>
    <w:rsid w:val="009E472B"/>
    <w:rsid w:val="009E4D56"/>
    <w:rsid w:val="009E6083"/>
    <w:rsid w:val="009E64E1"/>
    <w:rsid w:val="009E7ADF"/>
    <w:rsid w:val="009F1E9A"/>
    <w:rsid w:val="009F76DB"/>
    <w:rsid w:val="009F79D9"/>
    <w:rsid w:val="00A069FA"/>
    <w:rsid w:val="00A1583A"/>
    <w:rsid w:val="00A20027"/>
    <w:rsid w:val="00A24748"/>
    <w:rsid w:val="00A30863"/>
    <w:rsid w:val="00A323F3"/>
    <w:rsid w:val="00A32C3B"/>
    <w:rsid w:val="00A373BA"/>
    <w:rsid w:val="00A45F4F"/>
    <w:rsid w:val="00A600A9"/>
    <w:rsid w:val="00A66517"/>
    <w:rsid w:val="00A67F9D"/>
    <w:rsid w:val="00A707F6"/>
    <w:rsid w:val="00A732CB"/>
    <w:rsid w:val="00A81FE7"/>
    <w:rsid w:val="00A847BB"/>
    <w:rsid w:val="00A8595C"/>
    <w:rsid w:val="00A908D5"/>
    <w:rsid w:val="00A958AA"/>
    <w:rsid w:val="00AA275C"/>
    <w:rsid w:val="00AA2D8B"/>
    <w:rsid w:val="00AA4D49"/>
    <w:rsid w:val="00AA55B7"/>
    <w:rsid w:val="00AA5B9E"/>
    <w:rsid w:val="00AA631A"/>
    <w:rsid w:val="00AB053D"/>
    <w:rsid w:val="00AB2407"/>
    <w:rsid w:val="00AB44D4"/>
    <w:rsid w:val="00AB53DF"/>
    <w:rsid w:val="00AB5760"/>
    <w:rsid w:val="00AB7284"/>
    <w:rsid w:val="00AC26A9"/>
    <w:rsid w:val="00AC31AC"/>
    <w:rsid w:val="00AC3D04"/>
    <w:rsid w:val="00AC424B"/>
    <w:rsid w:val="00AC4D31"/>
    <w:rsid w:val="00AD0463"/>
    <w:rsid w:val="00AD33B5"/>
    <w:rsid w:val="00AD45BC"/>
    <w:rsid w:val="00AD6E05"/>
    <w:rsid w:val="00AE0337"/>
    <w:rsid w:val="00AE33C8"/>
    <w:rsid w:val="00AE434F"/>
    <w:rsid w:val="00AE54AD"/>
    <w:rsid w:val="00AF0E86"/>
    <w:rsid w:val="00AF46DC"/>
    <w:rsid w:val="00AF4EFA"/>
    <w:rsid w:val="00AF6403"/>
    <w:rsid w:val="00AF7400"/>
    <w:rsid w:val="00B03683"/>
    <w:rsid w:val="00B04EBD"/>
    <w:rsid w:val="00B05AF6"/>
    <w:rsid w:val="00B06BD8"/>
    <w:rsid w:val="00B070AD"/>
    <w:rsid w:val="00B07E5C"/>
    <w:rsid w:val="00B11370"/>
    <w:rsid w:val="00B11B57"/>
    <w:rsid w:val="00B141C5"/>
    <w:rsid w:val="00B151FE"/>
    <w:rsid w:val="00B20363"/>
    <w:rsid w:val="00B21F7F"/>
    <w:rsid w:val="00B23F41"/>
    <w:rsid w:val="00B338A9"/>
    <w:rsid w:val="00B357C8"/>
    <w:rsid w:val="00B41E22"/>
    <w:rsid w:val="00B424DF"/>
    <w:rsid w:val="00B57549"/>
    <w:rsid w:val="00B679AB"/>
    <w:rsid w:val="00B741DD"/>
    <w:rsid w:val="00B76DB8"/>
    <w:rsid w:val="00B77ECA"/>
    <w:rsid w:val="00B811F7"/>
    <w:rsid w:val="00B84985"/>
    <w:rsid w:val="00BA09D1"/>
    <w:rsid w:val="00BA128E"/>
    <w:rsid w:val="00BA5DC6"/>
    <w:rsid w:val="00BA5E4B"/>
    <w:rsid w:val="00BA6196"/>
    <w:rsid w:val="00BA7B6C"/>
    <w:rsid w:val="00BB6296"/>
    <w:rsid w:val="00BB6815"/>
    <w:rsid w:val="00BC5D72"/>
    <w:rsid w:val="00BC6D8C"/>
    <w:rsid w:val="00BE0DDC"/>
    <w:rsid w:val="00BF5578"/>
    <w:rsid w:val="00BF5FB1"/>
    <w:rsid w:val="00BF69CE"/>
    <w:rsid w:val="00C05C7A"/>
    <w:rsid w:val="00C1008C"/>
    <w:rsid w:val="00C113EC"/>
    <w:rsid w:val="00C151B3"/>
    <w:rsid w:val="00C27AFE"/>
    <w:rsid w:val="00C31168"/>
    <w:rsid w:val="00C34006"/>
    <w:rsid w:val="00C35BB9"/>
    <w:rsid w:val="00C3697D"/>
    <w:rsid w:val="00C426B1"/>
    <w:rsid w:val="00C43008"/>
    <w:rsid w:val="00C43492"/>
    <w:rsid w:val="00C454ED"/>
    <w:rsid w:val="00C455DF"/>
    <w:rsid w:val="00C474F4"/>
    <w:rsid w:val="00C51191"/>
    <w:rsid w:val="00C54998"/>
    <w:rsid w:val="00C565F7"/>
    <w:rsid w:val="00C6363B"/>
    <w:rsid w:val="00C66160"/>
    <w:rsid w:val="00C66BA2"/>
    <w:rsid w:val="00C721AC"/>
    <w:rsid w:val="00C85A75"/>
    <w:rsid w:val="00C90D6A"/>
    <w:rsid w:val="00C932D7"/>
    <w:rsid w:val="00C93474"/>
    <w:rsid w:val="00CA0440"/>
    <w:rsid w:val="00CA247E"/>
    <w:rsid w:val="00CA4683"/>
    <w:rsid w:val="00CB39FE"/>
    <w:rsid w:val="00CB47C0"/>
    <w:rsid w:val="00CC183B"/>
    <w:rsid w:val="00CC3AEF"/>
    <w:rsid w:val="00CC4D1B"/>
    <w:rsid w:val="00CC569B"/>
    <w:rsid w:val="00CC72B6"/>
    <w:rsid w:val="00CC776F"/>
    <w:rsid w:val="00CD288A"/>
    <w:rsid w:val="00CF5A32"/>
    <w:rsid w:val="00CF5EE3"/>
    <w:rsid w:val="00CF6689"/>
    <w:rsid w:val="00CF6C1C"/>
    <w:rsid w:val="00D0218D"/>
    <w:rsid w:val="00D03AB1"/>
    <w:rsid w:val="00D03B07"/>
    <w:rsid w:val="00D176D7"/>
    <w:rsid w:val="00D17DC0"/>
    <w:rsid w:val="00D25FB5"/>
    <w:rsid w:val="00D329D9"/>
    <w:rsid w:val="00D36B06"/>
    <w:rsid w:val="00D44223"/>
    <w:rsid w:val="00D47505"/>
    <w:rsid w:val="00D47A43"/>
    <w:rsid w:val="00D50564"/>
    <w:rsid w:val="00D520BC"/>
    <w:rsid w:val="00D53E8F"/>
    <w:rsid w:val="00D54951"/>
    <w:rsid w:val="00D56CFA"/>
    <w:rsid w:val="00D60EFF"/>
    <w:rsid w:val="00D630D9"/>
    <w:rsid w:val="00D650EA"/>
    <w:rsid w:val="00D6795D"/>
    <w:rsid w:val="00D7166C"/>
    <w:rsid w:val="00D8105E"/>
    <w:rsid w:val="00D9249F"/>
    <w:rsid w:val="00D9322E"/>
    <w:rsid w:val="00D95B50"/>
    <w:rsid w:val="00DA2529"/>
    <w:rsid w:val="00DA747C"/>
    <w:rsid w:val="00DA7B10"/>
    <w:rsid w:val="00DB0239"/>
    <w:rsid w:val="00DB130A"/>
    <w:rsid w:val="00DB2EBB"/>
    <w:rsid w:val="00DB3411"/>
    <w:rsid w:val="00DC04BE"/>
    <w:rsid w:val="00DC10A1"/>
    <w:rsid w:val="00DC32FD"/>
    <w:rsid w:val="00DC3A9B"/>
    <w:rsid w:val="00DC655F"/>
    <w:rsid w:val="00DC6B60"/>
    <w:rsid w:val="00DC7202"/>
    <w:rsid w:val="00DD0B59"/>
    <w:rsid w:val="00DD7EBD"/>
    <w:rsid w:val="00DE15FD"/>
    <w:rsid w:val="00DE46D5"/>
    <w:rsid w:val="00DE4C8D"/>
    <w:rsid w:val="00DF0810"/>
    <w:rsid w:val="00DF54EF"/>
    <w:rsid w:val="00DF62B6"/>
    <w:rsid w:val="00DF6D3F"/>
    <w:rsid w:val="00E00DC7"/>
    <w:rsid w:val="00E07225"/>
    <w:rsid w:val="00E17458"/>
    <w:rsid w:val="00E2291D"/>
    <w:rsid w:val="00E2416B"/>
    <w:rsid w:val="00E26C0D"/>
    <w:rsid w:val="00E369DD"/>
    <w:rsid w:val="00E4173F"/>
    <w:rsid w:val="00E514F4"/>
    <w:rsid w:val="00E52087"/>
    <w:rsid w:val="00E524CD"/>
    <w:rsid w:val="00E53241"/>
    <w:rsid w:val="00E5409F"/>
    <w:rsid w:val="00E54A97"/>
    <w:rsid w:val="00E61238"/>
    <w:rsid w:val="00E63DDC"/>
    <w:rsid w:val="00E677E4"/>
    <w:rsid w:val="00E6790F"/>
    <w:rsid w:val="00E70C2E"/>
    <w:rsid w:val="00E80EA6"/>
    <w:rsid w:val="00E84289"/>
    <w:rsid w:val="00E870E3"/>
    <w:rsid w:val="00E93ED9"/>
    <w:rsid w:val="00EA0F7C"/>
    <w:rsid w:val="00EA2CA2"/>
    <w:rsid w:val="00EA2F87"/>
    <w:rsid w:val="00EA6110"/>
    <w:rsid w:val="00EB4ACC"/>
    <w:rsid w:val="00ED234B"/>
    <w:rsid w:val="00EE11B9"/>
    <w:rsid w:val="00EE6488"/>
    <w:rsid w:val="00EE7A58"/>
    <w:rsid w:val="00EF03A7"/>
    <w:rsid w:val="00F0167F"/>
    <w:rsid w:val="00F021FA"/>
    <w:rsid w:val="00F049FB"/>
    <w:rsid w:val="00F04C35"/>
    <w:rsid w:val="00F05A0F"/>
    <w:rsid w:val="00F2553C"/>
    <w:rsid w:val="00F369A6"/>
    <w:rsid w:val="00F40C97"/>
    <w:rsid w:val="00F41CF6"/>
    <w:rsid w:val="00F51147"/>
    <w:rsid w:val="00F55823"/>
    <w:rsid w:val="00F62E97"/>
    <w:rsid w:val="00F64209"/>
    <w:rsid w:val="00F652CB"/>
    <w:rsid w:val="00F65445"/>
    <w:rsid w:val="00F6681D"/>
    <w:rsid w:val="00F72D1B"/>
    <w:rsid w:val="00F80147"/>
    <w:rsid w:val="00F82781"/>
    <w:rsid w:val="00F84F37"/>
    <w:rsid w:val="00F8591E"/>
    <w:rsid w:val="00F91D13"/>
    <w:rsid w:val="00F92A8B"/>
    <w:rsid w:val="00F9331D"/>
    <w:rsid w:val="00F93BF5"/>
    <w:rsid w:val="00FA112D"/>
    <w:rsid w:val="00FA134B"/>
    <w:rsid w:val="00FC0DE0"/>
    <w:rsid w:val="00FC11A8"/>
    <w:rsid w:val="00FC2891"/>
    <w:rsid w:val="00FC2DBB"/>
    <w:rsid w:val="00FE2C64"/>
    <w:rsid w:val="00FE3535"/>
    <w:rsid w:val="00FE3638"/>
    <w:rsid w:val="00FF117F"/>
    <w:rsid w:val="00FF4B1B"/>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76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F4"/>
    <w:rPr>
      <w:sz w:val="22"/>
    </w:rPr>
  </w:style>
  <w:style w:type="paragraph" w:styleId="Heading1">
    <w:name w:val="heading 1"/>
    <w:basedOn w:val="Normal"/>
    <w:next w:val="ParaNum0"/>
    <w:link w:val="Heading1Char"/>
    <w:uiPriority w:val="1"/>
    <w:qFormat/>
    <w:rsid w:val="002012F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27272B"/>
    <w:pPr>
      <w:keepNext/>
      <w:numPr>
        <w:ilvl w:val="1"/>
        <w:numId w:val="7"/>
      </w:numPr>
      <w:spacing w:after="120"/>
      <w:outlineLvl w:val="1"/>
    </w:pPr>
    <w:rPr>
      <w:b/>
    </w:rPr>
  </w:style>
  <w:style w:type="paragraph" w:styleId="Heading3">
    <w:name w:val="heading 3"/>
    <w:basedOn w:val="Normal"/>
    <w:next w:val="ParaNum0"/>
    <w:qFormat/>
    <w:rsid w:val="002012F6"/>
    <w:pPr>
      <w:keepNext/>
      <w:numPr>
        <w:ilvl w:val="2"/>
        <w:numId w:val="3"/>
      </w:numPr>
      <w:tabs>
        <w:tab w:val="left" w:pos="2160"/>
      </w:tabs>
      <w:spacing w:after="120"/>
      <w:outlineLvl w:val="2"/>
    </w:pPr>
    <w:rPr>
      <w:b/>
    </w:rPr>
  </w:style>
  <w:style w:type="paragraph" w:styleId="Heading4">
    <w:name w:val="heading 4"/>
    <w:basedOn w:val="Normal"/>
    <w:next w:val="ParaNum0"/>
    <w:qFormat/>
    <w:rsid w:val="002012F6"/>
    <w:pPr>
      <w:keepNext/>
      <w:numPr>
        <w:ilvl w:val="3"/>
        <w:numId w:val="3"/>
      </w:numPr>
      <w:tabs>
        <w:tab w:val="left" w:pos="2880"/>
      </w:tabs>
      <w:spacing w:after="120"/>
      <w:outlineLvl w:val="3"/>
    </w:pPr>
    <w:rPr>
      <w:b/>
    </w:rPr>
  </w:style>
  <w:style w:type="paragraph" w:styleId="Heading5">
    <w:name w:val="heading 5"/>
    <w:basedOn w:val="Normal"/>
    <w:next w:val="ParaNum0"/>
    <w:qFormat/>
    <w:rsid w:val="002012F6"/>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2012F6"/>
    <w:pPr>
      <w:numPr>
        <w:ilvl w:val="5"/>
        <w:numId w:val="3"/>
      </w:numPr>
      <w:tabs>
        <w:tab w:val="left" w:pos="4320"/>
      </w:tabs>
      <w:spacing w:after="120"/>
      <w:outlineLvl w:val="5"/>
    </w:pPr>
    <w:rPr>
      <w:b/>
    </w:rPr>
  </w:style>
  <w:style w:type="paragraph" w:styleId="Heading7">
    <w:name w:val="heading 7"/>
    <w:basedOn w:val="Normal"/>
    <w:next w:val="ParaNum0"/>
    <w:qFormat/>
    <w:rsid w:val="002012F6"/>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2012F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2012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2012F6"/>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Footnote Text Char2,Footnote Text Char Char,Footnote Text Char1 Char Char,Footnote Text Char Char Char Char,Footnote Text Char1 Char Char Char Char,Footnote Text Char Char Char Char Char Char1,FOOTN"/>
    <w:link w:val="FootnoteTextChar"/>
    <w:uiPriority w:val="99"/>
    <w:rsid w:val="002012F6"/>
    <w:pPr>
      <w:spacing w:after="120"/>
    </w:pPr>
  </w:style>
  <w:style w:type="character" w:styleId="FootnoteReference">
    <w:name w:val="footnote reference"/>
    <w:aliases w:val="Style 12,(NECG) Footnote Reference,o,fr,Style 3,Appel note de bas de p,Style 124,Style 17,FR,Style 13,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rsid w:val="002012F6"/>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2012F6"/>
    <w:pPr>
      <w:spacing w:before="40"/>
    </w:pPr>
    <w:rPr>
      <w:rFonts w:ascii="Arial" w:hAnsi="Arial" w:cs="Arial"/>
      <w:b/>
      <w:sz w:val="96"/>
    </w:rPr>
  </w:style>
  <w:style w:type="paragraph" w:styleId="Footer">
    <w:name w:val="footer"/>
    <w:basedOn w:val="Normal"/>
    <w:link w:val="FooterChar"/>
    <w:rsid w:val="002012F6"/>
    <w:pPr>
      <w:tabs>
        <w:tab w:val="center" w:pos="4320"/>
        <w:tab w:val="right" w:pos="8640"/>
      </w:tabs>
    </w:pPr>
  </w:style>
  <w:style w:type="character" w:styleId="PageNumber">
    <w:name w:val="page number"/>
    <w:basedOn w:val="DefaultParagraphFont"/>
  </w:style>
  <w:style w:type="paragraph" w:styleId="BlockText">
    <w:name w:val="Block Text"/>
    <w:basedOn w:val="Normal"/>
    <w:rsid w:val="002012F6"/>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2012F6"/>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012F6"/>
    <w:rPr>
      <w:color w:val="0000FF"/>
      <w:u w:val="single"/>
    </w:rPr>
  </w:style>
  <w:style w:type="paragraph" w:styleId="BalloonText">
    <w:name w:val="Balloon Text"/>
    <w:basedOn w:val="Normal"/>
    <w:link w:val="BalloonTextChar"/>
    <w:uiPriority w:val="99"/>
    <w:rsid w:val="002012F6"/>
    <w:rPr>
      <w:rFonts w:ascii="Segoe UI" w:hAnsi="Segoe UI" w:cs="Segoe UI"/>
      <w:sz w:val="18"/>
      <w:szCs w:val="18"/>
    </w:rPr>
  </w:style>
  <w:style w:type="character" w:customStyle="1" w:styleId="BalloonTextChar">
    <w:name w:val="Balloon Text Char"/>
    <w:basedOn w:val="DefaultParagraphFont"/>
    <w:link w:val="BalloonText"/>
    <w:uiPriority w:val="99"/>
    <w:rsid w:val="00B338A9"/>
    <w:rPr>
      <w:rFonts w:ascii="Segoe UI" w:hAnsi="Segoe UI" w:cs="Segoe UI"/>
      <w:sz w:val="18"/>
      <w:szCs w:val="18"/>
    </w:rPr>
  </w:style>
  <w:style w:type="character" w:customStyle="1" w:styleId="FooterChar">
    <w:name w:val="Footer Char"/>
    <w:basedOn w:val="DefaultParagraphFont"/>
    <w:link w:val="Footer"/>
    <w:rsid w:val="00B338A9"/>
    <w:rPr>
      <w:sz w:val="22"/>
    </w:rPr>
  </w:style>
  <w:style w:type="character" w:customStyle="1" w:styleId="Heading1Char">
    <w:name w:val="Heading 1 Char"/>
    <w:basedOn w:val="DefaultParagraphFont"/>
    <w:link w:val="Heading1"/>
    <w:uiPriority w:val="1"/>
    <w:locked/>
    <w:rsid w:val="00E514F4"/>
    <w:rPr>
      <w:rFonts w:ascii="Times New Roman Bold" w:hAnsi="Times New Roman Bold"/>
      <w:b/>
      <w:caps/>
      <w:sz w:val="22"/>
    </w:rPr>
  </w:style>
  <w:style w:type="paragraph" w:styleId="BodyText">
    <w:name w:val="Body Text"/>
    <w:basedOn w:val="Normal"/>
    <w:link w:val="BodyTextChar"/>
    <w:uiPriority w:val="1"/>
    <w:qFormat/>
    <w:rsid w:val="00E514F4"/>
    <w:pPr>
      <w:widowControl w:val="0"/>
      <w:autoSpaceDE w:val="0"/>
      <w:autoSpaceDN w:val="0"/>
      <w:adjustRightInd w:val="0"/>
      <w:ind w:left="1200" w:hanging="360"/>
    </w:pPr>
    <w:rPr>
      <w:rFonts w:eastAsiaTheme="minorEastAsia"/>
      <w:szCs w:val="22"/>
    </w:rPr>
  </w:style>
  <w:style w:type="character" w:customStyle="1" w:styleId="BodyTextChar">
    <w:name w:val="Body Text Char"/>
    <w:basedOn w:val="DefaultParagraphFont"/>
    <w:link w:val="BodyText"/>
    <w:uiPriority w:val="1"/>
    <w:rsid w:val="00E514F4"/>
    <w:rPr>
      <w:rFonts w:eastAsiaTheme="minorEastAsia"/>
      <w:sz w:val="22"/>
      <w:szCs w:val="22"/>
    </w:rPr>
  </w:style>
  <w:style w:type="character" w:customStyle="1" w:styleId="FootnoteTextChar">
    <w:name w:val="Footnote Text Char"/>
    <w:aliases w:val="ALTS FOOTNOTE Char,fn Char,FOOTNOTE Char,Footnote Text Char2 Char,Footnote Text Char Char Char,Footnote Text Char1 Char Char Char,Footnote Text Char Char Char Char Char,Footnote Text Char1 Char Char Char Char Char,FOOTN Char"/>
    <w:basedOn w:val="DefaultParagraphFont"/>
    <w:link w:val="FootnoteText"/>
    <w:uiPriority w:val="99"/>
    <w:locked/>
    <w:rsid w:val="00E514F4"/>
  </w:style>
  <w:style w:type="character" w:styleId="CommentReference">
    <w:name w:val="annotation reference"/>
    <w:basedOn w:val="DefaultParagraphFont"/>
    <w:uiPriority w:val="99"/>
    <w:unhideWhenUsed/>
    <w:rsid w:val="002012F6"/>
    <w:rPr>
      <w:sz w:val="16"/>
      <w:szCs w:val="16"/>
    </w:rPr>
  </w:style>
  <w:style w:type="paragraph" w:styleId="CommentText">
    <w:name w:val="annotation text"/>
    <w:basedOn w:val="Normal"/>
    <w:link w:val="CommentTextChar"/>
    <w:uiPriority w:val="99"/>
    <w:unhideWhenUsed/>
    <w:rsid w:val="00E514F4"/>
    <w:rPr>
      <w:sz w:val="20"/>
    </w:rPr>
  </w:style>
  <w:style w:type="character" w:customStyle="1" w:styleId="CommentTextChar">
    <w:name w:val="Comment Text Char"/>
    <w:basedOn w:val="DefaultParagraphFont"/>
    <w:link w:val="CommentText"/>
    <w:uiPriority w:val="99"/>
    <w:rsid w:val="00E514F4"/>
  </w:style>
  <w:style w:type="paragraph" w:styleId="ListParagraph">
    <w:name w:val="List Paragraph"/>
    <w:basedOn w:val="Normal"/>
    <w:uiPriority w:val="34"/>
    <w:qFormat/>
    <w:rsid w:val="00E514F4"/>
    <w:pPr>
      <w:spacing w:after="200" w:line="276" w:lineRule="auto"/>
      <w:ind w:left="720"/>
      <w:contextualSpacing/>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66517"/>
    <w:rPr>
      <w:rFonts w:ascii="Arial" w:hAnsi="Arial" w:cs="Arial"/>
      <w:b/>
      <w:sz w:val="96"/>
    </w:rPr>
  </w:style>
  <w:style w:type="paragraph" w:styleId="CommentSubject">
    <w:name w:val="annotation subject"/>
    <w:basedOn w:val="CommentText"/>
    <w:next w:val="CommentText"/>
    <w:link w:val="CommentSubjectChar"/>
    <w:uiPriority w:val="99"/>
    <w:rsid w:val="002012F6"/>
    <w:rPr>
      <w:b/>
      <w:bCs/>
    </w:rPr>
  </w:style>
  <w:style w:type="character" w:customStyle="1" w:styleId="CommentSubjectChar">
    <w:name w:val="Comment Subject Char"/>
    <w:basedOn w:val="CommentTextChar"/>
    <w:link w:val="CommentSubject"/>
    <w:uiPriority w:val="99"/>
    <w:rsid w:val="008233CE"/>
    <w:rPr>
      <w:b/>
      <w:bCs/>
    </w:rPr>
  </w:style>
  <w:style w:type="paragraph" w:styleId="Caption">
    <w:name w:val="caption"/>
    <w:basedOn w:val="Normal"/>
    <w:next w:val="Normal"/>
    <w:qFormat/>
    <w:rsid w:val="002012F6"/>
    <w:pPr>
      <w:spacing w:before="120" w:after="120"/>
    </w:pPr>
    <w:rPr>
      <w:b/>
    </w:rPr>
  </w:style>
  <w:style w:type="paragraph" w:customStyle="1" w:styleId="NumberedList">
    <w:name w:val="Numbered List"/>
    <w:basedOn w:val="Normal"/>
    <w:rsid w:val="002012F6"/>
    <w:pPr>
      <w:numPr>
        <w:numId w:val="19"/>
      </w:numPr>
      <w:tabs>
        <w:tab w:val="clear" w:pos="1080"/>
      </w:tabs>
      <w:spacing w:after="220"/>
    </w:pPr>
  </w:style>
  <w:style w:type="paragraph" w:customStyle="1" w:styleId="Paranum">
    <w:name w:val="Paranum"/>
    <w:basedOn w:val="Normal"/>
    <w:rsid w:val="002012F6"/>
    <w:pPr>
      <w:widowControl w:val="0"/>
      <w:numPr>
        <w:numId w:val="20"/>
      </w:numPr>
      <w:tabs>
        <w:tab w:val="clear" w:pos="1080"/>
      </w:tabs>
      <w:spacing w:after="220"/>
      <w:jc w:val="both"/>
    </w:pPr>
  </w:style>
  <w:style w:type="paragraph" w:customStyle="1" w:styleId="TableFormat0">
    <w:name w:val="Table Format"/>
    <w:basedOn w:val="Normal"/>
    <w:rsid w:val="002012F6"/>
    <w:pPr>
      <w:widowControl w:val="0"/>
      <w:tabs>
        <w:tab w:val="left" w:pos="5040"/>
      </w:tabs>
      <w:spacing w:after="220"/>
      <w:ind w:left="5040" w:hanging="3600"/>
      <w:jc w:val="both"/>
    </w:pPr>
  </w:style>
  <w:style w:type="character" w:styleId="FollowedHyperlink">
    <w:name w:val="FollowedHyperlink"/>
    <w:rsid w:val="002012F6"/>
    <w:rPr>
      <w:color w:val="800080"/>
      <w:u w:val="single"/>
    </w:rPr>
  </w:style>
  <w:style w:type="character" w:customStyle="1" w:styleId="ParaNumChar">
    <w:name w:val="ParaNum Char"/>
    <w:link w:val="ParaNum0"/>
    <w:locked/>
    <w:rsid w:val="002012F6"/>
    <w:rPr>
      <w:sz w:val="22"/>
    </w:rPr>
  </w:style>
  <w:style w:type="paragraph" w:styleId="Revision">
    <w:name w:val="Revision"/>
    <w:hidden/>
    <w:uiPriority w:val="99"/>
    <w:semiHidden/>
    <w:rsid w:val="002012F6"/>
    <w:rPr>
      <w:sz w:val="22"/>
    </w:rPr>
  </w:style>
  <w:style w:type="character" w:customStyle="1" w:styleId="apple-converted-space">
    <w:name w:val="apple-converted-space"/>
    <w:basedOn w:val="DefaultParagraphFont"/>
    <w:rsid w:val="004C4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F4"/>
    <w:rPr>
      <w:sz w:val="22"/>
    </w:rPr>
  </w:style>
  <w:style w:type="paragraph" w:styleId="Heading1">
    <w:name w:val="heading 1"/>
    <w:basedOn w:val="Normal"/>
    <w:next w:val="ParaNum0"/>
    <w:link w:val="Heading1Char"/>
    <w:uiPriority w:val="1"/>
    <w:qFormat/>
    <w:rsid w:val="002012F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27272B"/>
    <w:pPr>
      <w:keepNext/>
      <w:numPr>
        <w:ilvl w:val="1"/>
        <w:numId w:val="7"/>
      </w:numPr>
      <w:spacing w:after="120"/>
      <w:outlineLvl w:val="1"/>
    </w:pPr>
    <w:rPr>
      <w:b/>
    </w:rPr>
  </w:style>
  <w:style w:type="paragraph" w:styleId="Heading3">
    <w:name w:val="heading 3"/>
    <w:basedOn w:val="Normal"/>
    <w:next w:val="ParaNum0"/>
    <w:qFormat/>
    <w:rsid w:val="002012F6"/>
    <w:pPr>
      <w:keepNext/>
      <w:numPr>
        <w:ilvl w:val="2"/>
        <w:numId w:val="3"/>
      </w:numPr>
      <w:tabs>
        <w:tab w:val="left" w:pos="2160"/>
      </w:tabs>
      <w:spacing w:after="120"/>
      <w:outlineLvl w:val="2"/>
    </w:pPr>
    <w:rPr>
      <w:b/>
    </w:rPr>
  </w:style>
  <w:style w:type="paragraph" w:styleId="Heading4">
    <w:name w:val="heading 4"/>
    <w:basedOn w:val="Normal"/>
    <w:next w:val="ParaNum0"/>
    <w:qFormat/>
    <w:rsid w:val="002012F6"/>
    <w:pPr>
      <w:keepNext/>
      <w:numPr>
        <w:ilvl w:val="3"/>
        <w:numId w:val="3"/>
      </w:numPr>
      <w:tabs>
        <w:tab w:val="left" w:pos="2880"/>
      </w:tabs>
      <w:spacing w:after="120"/>
      <w:outlineLvl w:val="3"/>
    </w:pPr>
    <w:rPr>
      <w:b/>
    </w:rPr>
  </w:style>
  <w:style w:type="paragraph" w:styleId="Heading5">
    <w:name w:val="heading 5"/>
    <w:basedOn w:val="Normal"/>
    <w:next w:val="ParaNum0"/>
    <w:qFormat/>
    <w:rsid w:val="002012F6"/>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2012F6"/>
    <w:pPr>
      <w:numPr>
        <w:ilvl w:val="5"/>
        <w:numId w:val="3"/>
      </w:numPr>
      <w:tabs>
        <w:tab w:val="left" w:pos="4320"/>
      </w:tabs>
      <w:spacing w:after="120"/>
      <w:outlineLvl w:val="5"/>
    </w:pPr>
    <w:rPr>
      <w:b/>
    </w:rPr>
  </w:style>
  <w:style w:type="paragraph" w:styleId="Heading7">
    <w:name w:val="heading 7"/>
    <w:basedOn w:val="Normal"/>
    <w:next w:val="ParaNum0"/>
    <w:qFormat/>
    <w:rsid w:val="002012F6"/>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2012F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2012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2012F6"/>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Footnote Text Char2,Footnote Text Char Char,Footnote Text Char1 Char Char,Footnote Text Char Char Char Char,Footnote Text Char1 Char Char Char Char,Footnote Text Char Char Char Char Char Char1,FOOTN"/>
    <w:link w:val="FootnoteTextChar"/>
    <w:uiPriority w:val="99"/>
    <w:rsid w:val="002012F6"/>
    <w:pPr>
      <w:spacing w:after="120"/>
    </w:pPr>
  </w:style>
  <w:style w:type="character" w:styleId="FootnoteReference">
    <w:name w:val="footnote reference"/>
    <w:aliases w:val="Style 12,(NECG) Footnote Reference,o,fr,Style 3,Appel note de bas de p,Style 124,Style 17,FR,Style 13,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rsid w:val="002012F6"/>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2012F6"/>
    <w:pPr>
      <w:spacing w:before="40"/>
    </w:pPr>
    <w:rPr>
      <w:rFonts w:ascii="Arial" w:hAnsi="Arial" w:cs="Arial"/>
      <w:b/>
      <w:sz w:val="96"/>
    </w:rPr>
  </w:style>
  <w:style w:type="paragraph" w:styleId="Footer">
    <w:name w:val="footer"/>
    <w:basedOn w:val="Normal"/>
    <w:link w:val="FooterChar"/>
    <w:rsid w:val="002012F6"/>
    <w:pPr>
      <w:tabs>
        <w:tab w:val="center" w:pos="4320"/>
        <w:tab w:val="right" w:pos="8640"/>
      </w:tabs>
    </w:pPr>
  </w:style>
  <w:style w:type="character" w:styleId="PageNumber">
    <w:name w:val="page number"/>
    <w:basedOn w:val="DefaultParagraphFont"/>
  </w:style>
  <w:style w:type="paragraph" w:styleId="BlockText">
    <w:name w:val="Block Text"/>
    <w:basedOn w:val="Normal"/>
    <w:rsid w:val="002012F6"/>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2012F6"/>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012F6"/>
    <w:rPr>
      <w:color w:val="0000FF"/>
      <w:u w:val="single"/>
    </w:rPr>
  </w:style>
  <w:style w:type="paragraph" w:styleId="BalloonText">
    <w:name w:val="Balloon Text"/>
    <w:basedOn w:val="Normal"/>
    <w:link w:val="BalloonTextChar"/>
    <w:uiPriority w:val="99"/>
    <w:rsid w:val="002012F6"/>
    <w:rPr>
      <w:rFonts w:ascii="Segoe UI" w:hAnsi="Segoe UI" w:cs="Segoe UI"/>
      <w:sz w:val="18"/>
      <w:szCs w:val="18"/>
    </w:rPr>
  </w:style>
  <w:style w:type="character" w:customStyle="1" w:styleId="BalloonTextChar">
    <w:name w:val="Balloon Text Char"/>
    <w:basedOn w:val="DefaultParagraphFont"/>
    <w:link w:val="BalloonText"/>
    <w:uiPriority w:val="99"/>
    <w:rsid w:val="00B338A9"/>
    <w:rPr>
      <w:rFonts w:ascii="Segoe UI" w:hAnsi="Segoe UI" w:cs="Segoe UI"/>
      <w:sz w:val="18"/>
      <w:szCs w:val="18"/>
    </w:rPr>
  </w:style>
  <w:style w:type="character" w:customStyle="1" w:styleId="FooterChar">
    <w:name w:val="Footer Char"/>
    <w:basedOn w:val="DefaultParagraphFont"/>
    <w:link w:val="Footer"/>
    <w:rsid w:val="00B338A9"/>
    <w:rPr>
      <w:sz w:val="22"/>
    </w:rPr>
  </w:style>
  <w:style w:type="character" w:customStyle="1" w:styleId="Heading1Char">
    <w:name w:val="Heading 1 Char"/>
    <w:basedOn w:val="DefaultParagraphFont"/>
    <w:link w:val="Heading1"/>
    <w:uiPriority w:val="1"/>
    <w:locked/>
    <w:rsid w:val="00E514F4"/>
    <w:rPr>
      <w:rFonts w:ascii="Times New Roman Bold" w:hAnsi="Times New Roman Bold"/>
      <w:b/>
      <w:caps/>
      <w:sz w:val="22"/>
    </w:rPr>
  </w:style>
  <w:style w:type="paragraph" w:styleId="BodyText">
    <w:name w:val="Body Text"/>
    <w:basedOn w:val="Normal"/>
    <w:link w:val="BodyTextChar"/>
    <w:uiPriority w:val="1"/>
    <w:qFormat/>
    <w:rsid w:val="00E514F4"/>
    <w:pPr>
      <w:widowControl w:val="0"/>
      <w:autoSpaceDE w:val="0"/>
      <w:autoSpaceDN w:val="0"/>
      <w:adjustRightInd w:val="0"/>
      <w:ind w:left="1200" w:hanging="360"/>
    </w:pPr>
    <w:rPr>
      <w:rFonts w:eastAsiaTheme="minorEastAsia"/>
      <w:szCs w:val="22"/>
    </w:rPr>
  </w:style>
  <w:style w:type="character" w:customStyle="1" w:styleId="BodyTextChar">
    <w:name w:val="Body Text Char"/>
    <w:basedOn w:val="DefaultParagraphFont"/>
    <w:link w:val="BodyText"/>
    <w:uiPriority w:val="1"/>
    <w:rsid w:val="00E514F4"/>
    <w:rPr>
      <w:rFonts w:eastAsiaTheme="minorEastAsia"/>
      <w:sz w:val="22"/>
      <w:szCs w:val="22"/>
    </w:rPr>
  </w:style>
  <w:style w:type="character" w:customStyle="1" w:styleId="FootnoteTextChar">
    <w:name w:val="Footnote Text Char"/>
    <w:aliases w:val="ALTS FOOTNOTE Char,fn Char,FOOTNOTE Char,Footnote Text Char2 Char,Footnote Text Char Char Char,Footnote Text Char1 Char Char Char,Footnote Text Char Char Char Char Char,Footnote Text Char1 Char Char Char Char Char,FOOTN Char"/>
    <w:basedOn w:val="DefaultParagraphFont"/>
    <w:link w:val="FootnoteText"/>
    <w:uiPriority w:val="99"/>
    <w:locked/>
    <w:rsid w:val="00E514F4"/>
  </w:style>
  <w:style w:type="character" w:styleId="CommentReference">
    <w:name w:val="annotation reference"/>
    <w:basedOn w:val="DefaultParagraphFont"/>
    <w:uiPriority w:val="99"/>
    <w:unhideWhenUsed/>
    <w:rsid w:val="002012F6"/>
    <w:rPr>
      <w:sz w:val="16"/>
      <w:szCs w:val="16"/>
    </w:rPr>
  </w:style>
  <w:style w:type="paragraph" w:styleId="CommentText">
    <w:name w:val="annotation text"/>
    <w:basedOn w:val="Normal"/>
    <w:link w:val="CommentTextChar"/>
    <w:uiPriority w:val="99"/>
    <w:unhideWhenUsed/>
    <w:rsid w:val="00E514F4"/>
    <w:rPr>
      <w:sz w:val="20"/>
    </w:rPr>
  </w:style>
  <w:style w:type="character" w:customStyle="1" w:styleId="CommentTextChar">
    <w:name w:val="Comment Text Char"/>
    <w:basedOn w:val="DefaultParagraphFont"/>
    <w:link w:val="CommentText"/>
    <w:uiPriority w:val="99"/>
    <w:rsid w:val="00E514F4"/>
  </w:style>
  <w:style w:type="paragraph" w:styleId="ListParagraph">
    <w:name w:val="List Paragraph"/>
    <w:basedOn w:val="Normal"/>
    <w:uiPriority w:val="34"/>
    <w:qFormat/>
    <w:rsid w:val="00E514F4"/>
    <w:pPr>
      <w:spacing w:after="200" w:line="276" w:lineRule="auto"/>
      <w:ind w:left="720"/>
      <w:contextualSpacing/>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66517"/>
    <w:rPr>
      <w:rFonts w:ascii="Arial" w:hAnsi="Arial" w:cs="Arial"/>
      <w:b/>
      <w:sz w:val="96"/>
    </w:rPr>
  </w:style>
  <w:style w:type="paragraph" w:styleId="CommentSubject">
    <w:name w:val="annotation subject"/>
    <w:basedOn w:val="CommentText"/>
    <w:next w:val="CommentText"/>
    <w:link w:val="CommentSubjectChar"/>
    <w:uiPriority w:val="99"/>
    <w:rsid w:val="002012F6"/>
    <w:rPr>
      <w:b/>
      <w:bCs/>
    </w:rPr>
  </w:style>
  <w:style w:type="character" w:customStyle="1" w:styleId="CommentSubjectChar">
    <w:name w:val="Comment Subject Char"/>
    <w:basedOn w:val="CommentTextChar"/>
    <w:link w:val="CommentSubject"/>
    <w:uiPriority w:val="99"/>
    <w:rsid w:val="008233CE"/>
    <w:rPr>
      <w:b/>
      <w:bCs/>
    </w:rPr>
  </w:style>
  <w:style w:type="paragraph" w:styleId="Caption">
    <w:name w:val="caption"/>
    <w:basedOn w:val="Normal"/>
    <w:next w:val="Normal"/>
    <w:qFormat/>
    <w:rsid w:val="002012F6"/>
    <w:pPr>
      <w:spacing w:before="120" w:after="120"/>
    </w:pPr>
    <w:rPr>
      <w:b/>
    </w:rPr>
  </w:style>
  <w:style w:type="paragraph" w:customStyle="1" w:styleId="NumberedList">
    <w:name w:val="Numbered List"/>
    <w:basedOn w:val="Normal"/>
    <w:rsid w:val="002012F6"/>
    <w:pPr>
      <w:numPr>
        <w:numId w:val="19"/>
      </w:numPr>
      <w:tabs>
        <w:tab w:val="clear" w:pos="1080"/>
      </w:tabs>
      <w:spacing w:after="220"/>
    </w:pPr>
  </w:style>
  <w:style w:type="paragraph" w:customStyle="1" w:styleId="Paranum">
    <w:name w:val="Paranum"/>
    <w:basedOn w:val="Normal"/>
    <w:rsid w:val="002012F6"/>
    <w:pPr>
      <w:widowControl w:val="0"/>
      <w:numPr>
        <w:numId w:val="20"/>
      </w:numPr>
      <w:tabs>
        <w:tab w:val="clear" w:pos="1080"/>
      </w:tabs>
      <w:spacing w:after="220"/>
      <w:jc w:val="both"/>
    </w:pPr>
  </w:style>
  <w:style w:type="paragraph" w:customStyle="1" w:styleId="TableFormat0">
    <w:name w:val="Table Format"/>
    <w:basedOn w:val="Normal"/>
    <w:rsid w:val="002012F6"/>
    <w:pPr>
      <w:widowControl w:val="0"/>
      <w:tabs>
        <w:tab w:val="left" w:pos="5040"/>
      </w:tabs>
      <w:spacing w:after="220"/>
      <w:ind w:left="5040" w:hanging="3600"/>
      <w:jc w:val="both"/>
    </w:pPr>
  </w:style>
  <w:style w:type="character" w:styleId="FollowedHyperlink">
    <w:name w:val="FollowedHyperlink"/>
    <w:rsid w:val="002012F6"/>
    <w:rPr>
      <w:color w:val="800080"/>
      <w:u w:val="single"/>
    </w:rPr>
  </w:style>
  <w:style w:type="character" w:customStyle="1" w:styleId="ParaNumChar">
    <w:name w:val="ParaNum Char"/>
    <w:link w:val="ParaNum0"/>
    <w:locked/>
    <w:rsid w:val="002012F6"/>
    <w:rPr>
      <w:sz w:val="22"/>
    </w:rPr>
  </w:style>
  <w:style w:type="paragraph" w:styleId="Revision">
    <w:name w:val="Revision"/>
    <w:hidden/>
    <w:uiPriority w:val="99"/>
    <w:semiHidden/>
    <w:rsid w:val="002012F6"/>
    <w:rPr>
      <w:sz w:val="22"/>
    </w:rPr>
  </w:style>
  <w:style w:type="character" w:customStyle="1" w:styleId="apple-converted-space">
    <w:name w:val="apple-converted-space"/>
    <w:basedOn w:val="DefaultParagraphFont"/>
    <w:rsid w:val="004C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6391">
      <w:bodyDiv w:val="1"/>
      <w:marLeft w:val="0"/>
      <w:marRight w:val="0"/>
      <w:marTop w:val="0"/>
      <w:marBottom w:val="0"/>
      <w:divBdr>
        <w:top w:val="none" w:sz="0" w:space="0" w:color="auto"/>
        <w:left w:val="none" w:sz="0" w:space="0" w:color="auto"/>
        <w:bottom w:val="none" w:sz="0" w:space="0" w:color="auto"/>
        <w:right w:val="none" w:sz="0" w:space="0" w:color="auto"/>
      </w:divBdr>
    </w:div>
    <w:div w:id="963199694">
      <w:bodyDiv w:val="1"/>
      <w:marLeft w:val="0"/>
      <w:marRight w:val="0"/>
      <w:marTop w:val="0"/>
      <w:marBottom w:val="0"/>
      <w:divBdr>
        <w:top w:val="none" w:sz="0" w:space="0" w:color="auto"/>
        <w:left w:val="none" w:sz="0" w:space="0" w:color="auto"/>
        <w:bottom w:val="none" w:sz="0" w:space="0" w:color="auto"/>
        <w:right w:val="none" w:sz="0" w:space="0" w:color="auto"/>
      </w:divBdr>
    </w:div>
    <w:div w:id="1132603360">
      <w:bodyDiv w:val="1"/>
      <w:marLeft w:val="0"/>
      <w:marRight w:val="0"/>
      <w:marTop w:val="0"/>
      <w:marBottom w:val="0"/>
      <w:divBdr>
        <w:top w:val="none" w:sz="0" w:space="0" w:color="auto"/>
        <w:left w:val="none" w:sz="0" w:space="0" w:color="auto"/>
        <w:bottom w:val="none" w:sz="0" w:space="0" w:color="auto"/>
        <w:right w:val="none" w:sz="0" w:space="0" w:color="auto"/>
      </w:divBdr>
    </w:div>
    <w:div w:id="1589970312">
      <w:bodyDiv w:val="1"/>
      <w:marLeft w:val="0"/>
      <w:marRight w:val="0"/>
      <w:marTop w:val="0"/>
      <w:marBottom w:val="0"/>
      <w:divBdr>
        <w:top w:val="none" w:sz="0" w:space="0" w:color="auto"/>
        <w:left w:val="none" w:sz="0" w:space="0" w:color="auto"/>
        <w:bottom w:val="none" w:sz="0" w:space="0" w:color="auto"/>
        <w:right w:val="none" w:sz="0" w:space="0" w:color="auto"/>
      </w:divBdr>
    </w:div>
    <w:div w:id="19626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3233</Words>
  <Characters>17769</Characters>
  <Application>Microsoft Office Word</Application>
  <DocSecurity>0</DocSecurity>
  <Lines>272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2016-04-08T13:49:00Z</dcterms:created>
  <dcterms:modified xsi:type="dcterms:W3CDTF">2016-04-08T13:49:00Z</dcterms:modified>
  <cp:category> </cp:category>
  <cp:contentStatus> </cp:contentStatus>
</cp:coreProperties>
</file>