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AA8C0" w14:textId="77777777" w:rsidR="00C8491A" w:rsidRDefault="00C8491A" w:rsidP="00C8491A">
      <w:pPr>
        <w:jc w:val="center"/>
        <w:rPr>
          <w:rFonts w:ascii="Times New Roman Bold" w:hAnsi="Times New Roman Bold"/>
          <w:b/>
          <w:kern w:val="0"/>
          <w:szCs w:val="22"/>
        </w:rPr>
      </w:pPr>
      <w:bookmarkStart w:id="0" w:name="_GoBack"/>
      <w:bookmarkEnd w:id="0"/>
    </w:p>
    <w:p w14:paraId="548D607F" w14:textId="77777777" w:rsidR="00C8491A" w:rsidRDefault="00C8491A" w:rsidP="00C8491A">
      <w:pPr>
        <w:jc w:val="center"/>
        <w:rPr>
          <w:b/>
        </w:rPr>
      </w:pPr>
      <w:r w:rsidRPr="0070224F">
        <w:rPr>
          <w:rFonts w:ascii="Times New Roman Bold" w:hAnsi="Times New Roman Bold"/>
          <w:b/>
          <w:kern w:val="0"/>
          <w:szCs w:val="22"/>
        </w:rPr>
        <w:t>Before</w:t>
      </w:r>
      <w:r>
        <w:rPr>
          <w:b/>
        </w:rPr>
        <w:t xml:space="preserve"> the</w:t>
      </w:r>
    </w:p>
    <w:p w14:paraId="4EBBDD2D" w14:textId="77777777" w:rsidR="00C8491A" w:rsidRDefault="00C8491A" w:rsidP="00C8491A">
      <w:pPr>
        <w:pStyle w:val="StyleBoldCentered"/>
      </w:pPr>
      <w:r>
        <w:t>F</w:t>
      </w:r>
      <w:r>
        <w:rPr>
          <w:caps w:val="0"/>
        </w:rPr>
        <w:t>ederal Communications Commission</w:t>
      </w:r>
    </w:p>
    <w:p w14:paraId="1820D68D" w14:textId="77777777" w:rsidR="00C8491A" w:rsidRDefault="00C8491A" w:rsidP="00C8491A">
      <w:pPr>
        <w:pStyle w:val="StyleBoldCentered"/>
      </w:pPr>
      <w:r>
        <w:rPr>
          <w:caps w:val="0"/>
        </w:rPr>
        <w:t>Washington, DC 20554</w:t>
      </w:r>
    </w:p>
    <w:p w14:paraId="3ED39279" w14:textId="77777777" w:rsidR="00C8491A" w:rsidRDefault="00C8491A" w:rsidP="00C8491A"/>
    <w:p w14:paraId="55A70F16" w14:textId="77777777" w:rsidR="00C8491A" w:rsidRDefault="00C8491A" w:rsidP="00C8491A"/>
    <w:tbl>
      <w:tblPr>
        <w:tblW w:w="0" w:type="auto"/>
        <w:tblLayout w:type="fixed"/>
        <w:tblLook w:val="0000" w:firstRow="0" w:lastRow="0" w:firstColumn="0" w:lastColumn="0" w:noHBand="0" w:noVBand="0"/>
      </w:tblPr>
      <w:tblGrid>
        <w:gridCol w:w="4698"/>
        <w:gridCol w:w="630"/>
        <w:gridCol w:w="4248"/>
      </w:tblGrid>
      <w:tr w:rsidR="00C8491A" w14:paraId="72F2B09B" w14:textId="77777777" w:rsidTr="005A39E9">
        <w:tc>
          <w:tcPr>
            <w:tcW w:w="4698" w:type="dxa"/>
          </w:tcPr>
          <w:p w14:paraId="04FAA4C0" w14:textId="77777777" w:rsidR="00C8491A" w:rsidRDefault="00C8491A" w:rsidP="005A39E9">
            <w:pPr>
              <w:tabs>
                <w:tab w:val="center" w:pos="4680"/>
              </w:tabs>
              <w:suppressAutoHyphens/>
              <w:rPr>
                <w:spacing w:val="-2"/>
              </w:rPr>
            </w:pPr>
            <w:r>
              <w:rPr>
                <w:spacing w:val="-2"/>
              </w:rPr>
              <w:t>In the Matter of</w:t>
            </w:r>
          </w:p>
          <w:p w14:paraId="1E8F007E" w14:textId="77777777" w:rsidR="00C8491A" w:rsidRDefault="00C8491A" w:rsidP="005A39E9">
            <w:pPr>
              <w:tabs>
                <w:tab w:val="center" w:pos="4680"/>
              </w:tabs>
              <w:suppressAutoHyphens/>
              <w:rPr>
                <w:spacing w:val="-2"/>
              </w:rPr>
            </w:pPr>
          </w:p>
          <w:p w14:paraId="1F6E8B57" w14:textId="41727030" w:rsidR="00C8491A" w:rsidRPr="007115F7" w:rsidRDefault="009F27F6" w:rsidP="007F3830">
            <w:pPr>
              <w:tabs>
                <w:tab w:val="center" w:pos="4680"/>
              </w:tabs>
              <w:suppressAutoHyphens/>
              <w:rPr>
                <w:spacing w:val="-2"/>
              </w:rPr>
            </w:pPr>
            <w:r>
              <w:rPr>
                <w:spacing w:val="-2"/>
              </w:rPr>
              <w:t>A</w:t>
            </w:r>
            <w:r w:rsidR="007F3830">
              <w:rPr>
                <w:spacing w:val="-2"/>
              </w:rPr>
              <w:t>lascom</w:t>
            </w:r>
            <w:r w:rsidR="00C8491A" w:rsidRPr="00E53D1B">
              <w:rPr>
                <w:spacing w:val="-2"/>
              </w:rPr>
              <w:t>, Inc.</w:t>
            </w:r>
          </w:p>
        </w:tc>
        <w:tc>
          <w:tcPr>
            <w:tcW w:w="630" w:type="dxa"/>
          </w:tcPr>
          <w:p w14:paraId="6EE44C30" w14:textId="77777777" w:rsidR="00C8491A" w:rsidRDefault="00C8491A" w:rsidP="005A39E9">
            <w:pPr>
              <w:tabs>
                <w:tab w:val="center" w:pos="4680"/>
              </w:tabs>
              <w:suppressAutoHyphens/>
              <w:rPr>
                <w:b/>
                <w:spacing w:val="-2"/>
              </w:rPr>
            </w:pPr>
            <w:r>
              <w:rPr>
                <w:b/>
                <w:spacing w:val="-2"/>
              </w:rPr>
              <w:t>)</w:t>
            </w:r>
          </w:p>
          <w:p w14:paraId="474BC77F" w14:textId="77777777" w:rsidR="00C8491A" w:rsidRDefault="00C8491A" w:rsidP="005A39E9">
            <w:pPr>
              <w:tabs>
                <w:tab w:val="center" w:pos="4680"/>
              </w:tabs>
              <w:suppressAutoHyphens/>
              <w:rPr>
                <w:b/>
                <w:spacing w:val="-2"/>
              </w:rPr>
            </w:pPr>
            <w:r>
              <w:rPr>
                <w:b/>
                <w:spacing w:val="-2"/>
              </w:rPr>
              <w:t>)</w:t>
            </w:r>
          </w:p>
          <w:p w14:paraId="413128EE" w14:textId="77777777" w:rsidR="00C8491A" w:rsidRDefault="00C8491A" w:rsidP="005A39E9">
            <w:pPr>
              <w:tabs>
                <w:tab w:val="center" w:pos="4680"/>
              </w:tabs>
              <w:suppressAutoHyphens/>
              <w:rPr>
                <w:b/>
                <w:spacing w:val="-2"/>
              </w:rPr>
            </w:pPr>
            <w:r>
              <w:rPr>
                <w:b/>
                <w:spacing w:val="-2"/>
              </w:rPr>
              <w:t>)</w:t>
            </w:r>
          </w:p>
          <w:p w14:paraId="15FC0B7B" w14:textId="77777777" w:rsidR="00C8491A" w:rsidRDefault="00C8491A" w:rsidP="005A39E9">
            <w:pPr>
              <w:tabs>
                <w:tab w:val="center" w:pos="4680"/>
              </w:tabs>
              <w:suppressAutoHyphens/>
              <w:rPr>
                <w:b/>
                <w:spacing w:val="-2"/>
              </w:rPr>
            </w:pPr>
            <w:r>
              <w:rPr>
                <w:b/>
                <w:spacing w:val="-2"/>
              </w:rPr>
              <w:t>)</w:t>
            </w:r>
          </w:p>
          <w:p w14:paraId="01511912" w14:textId="77777777" w:rsidR="00C8491A" w:rsidRDefault="00C8491A" w:rsidP="005A39E9">
            <w:pPr>
              <w:tabs>
                <w:tab w:val="center" w:pos="4680"/>
              </w:tabs>
              <w:suppressAutoHyphens/>
              <w:rPr>
                <w:b/>
                <w:spacing w:val="-2"/>
              </w:rPr>
            </w:pPr>
            <w:r>
              <w:rPr>
                <w:b/>
                <w:spacing w:val="-2"/>
              </w:rPr>
              <w:t>)</w:t>
            </w:r>
          </w:p>
          <w:p w14:paraId="1F3B8189" w14:textId="77777777" w:rsidR="00C8491A" w:rsidRDefault="00C8491A" w:rsidP="005A39E9">
            <w:pPr>
              <w:tabs>
                <w:tab w:val="center" w:pos="4680"/>
              </w:tabs>
              <w:suppressAutoHyphens/>
              <w:rPr>
                <w:b/>
                <w:spacing w:val="-2"/>
              </w:rPr>
            </w:pPr>
            <w:r>
              <w:rPr>
                <w:b/>
                <w:spacing w:val="-2"/>
              </w:rPr>
              <w:t>)</w:t>
            </w:r>
          </w:p>
          <w:p w14:paraId="48E52EE0" w14:textId="77777777" w:rsidR="00C8491A" w:rsidRDefault="00C8491A" w:rsidP="005A39E9">
            <w:pPr>
              <w:tabs>
                <w:tab w:val="center" w:pos="4680"/>
              </w:tabs>
              <w:suppressAutoHyphens/>
              <w:rPr>
                <w:spacing w:val="-2"/>
              </w:rPr>
            </w:pPr>
          </w:p>
        </w:tc>
        <w:tc>
          <w:tcPr>
            <w:tcW w:w="4248" w:type="dxa"/>
          </w:tcPr>
          <w:p w14:paraId="1B441F02" w14:textId="77777777" w:rsidR="00C8491A" w:rsidRPr="00AE7FB1" w:rsidRDefault="00C8491A" w:rsidP="00AE7FB1">
            <w:pPr>
              <w:pStyle w:val="TOAHeading"/>
              <w:widowControl/>
              <w:tabs>
                <w:tab w:val="clear" w:pos="9360"/>
                <w:tab w:val="center" w:pos="4680"/>
              </w:tabs>
              <w:ind w:firstLine="522"/>
              <w:rPr>
                <w:spacing w:val="-2"/>
                <w:szCs w:val="22"/>
                <w:lang w:val="es-ES_tradnl"/>
              </w:rPr>
            </w:pPr>
          </w:p>
          <w:p w14:paraId="1F66406F" w14:textId="2BA2547E" w:rsidR="00C8491A" w:rsidRDefault="00C8491A" w:rsidP="00AE7FB1">
            <w:pPr>
              <w:pStyle w:val="TOAHeading"/>
              <w:widowControl/>
              <w:tabs>
                <w:tab w:val="clear" w:pos="9360"/>
                <w:tab w:val="center" w:pos="4680"/>
              </w:tabs>
              <w:ind w:firstLine="522"/>
              <w:rPr>
                <w:spacing w:val="-2"/>
                <w:szCs w:val="22"/>
                <w:lang w:val="es-ES_tradnl"/>
              </w:rPr>
            </w:pPr>
            <w:r w:rsidRPr="00AE7FB1">
              <w:rPr>
                <w:spacing w:val="-2"/>
                <w:szCs w:val="22"/>
                <w:lang w:val="es-ES_tradnl"/>
              </w:rPr>
              <w:t xml:space="preserve">File No.:  </w:t>
            </w:r>
            <w:r w:rsidR="00AE7FB1" w:rsidRPr="00AE7FB1">
              <w:rPr>
                <w:spacing w:val="-2"/>
                <w:szCs w:val="22"/>
                <w:lang w:val="es-ES_tradnl"/>
              </w:rPr>
              <w:t>EB-SED-16-00020553</w:t>
            </w:r>
            <w:r w:rsidR="00176959">
              <w:rPr>
                <w:rStyle w:val="FootnoteReference"/>
                <w:spacing w:val="-2"/>
                <w:szCs w:val="22"/>
                <w:lang w:val="es-ES_tradnl"/>
              </w:rPr>
              <w:footnoteReference w:id="2"/>
            </w:r>
          </w:p>
          <w:p w14:paraId="3D6AAE93" w14:textId="77777777" w:rsidR="00176959" w:rsidRPr="00176959" w:rsidRDefault="00176959" w:rsidP="00176959">
            <w:pPr>
              <w:rPr>
                <w:lang w:val="es-ES_tradnl"/>
              </w:rPr>
            </w:pPr>
          </w:p>
          <w:p w14:paraId="345B66C0" w14:textId="5A43CE37" w:rsidR="00C8491A" w:rsidRDefault="00C8491A" w:rsidP="00AE7FB1">
            <w:pPr>
              <w:pStyle w:val="TOAHeading"/>
              <w:widowControl/>
              <w:tabs>
                <w:tab w:val="clear" w:pos="9360"/>
                <w:tab w:val="center" w:pos="4680"/>
              </w:tabs>
              <w:ind w:firstLine="522"/>
              <w:rPr>
                <w:spacing w:val="-2"/>
                <w:szCs w:val="22"/>
                <w:lang w:val="es-ES_tradnl"/>
              </w:rPr>
            </w:pPr>
            <w:r w:rsidRPr="00994E33">
              <w:rPr>
                <w:spacing w:val="-2"/>
                <w:szCs w:val="22"/>
                <w:lang w:val="es-ES_tradnl"/>
              </w:rPr>
              <w:t xml:space="preserve">Acct. No.: </w:t>
            </w:r>
            <w:r w:rsidR="006C7801">
              <w:rPr>
                <w:spacing w:val="-2"/>
                <w:szCs w:val="22"/>
                <w:lang w:val="es-ES_tradnl"/>
              </w:rPr>
              <w:t>201632100005</w:t>
            </w:r>
          </w:p>
          <w:p w14:paraId="3181941D" w14:textId="77777777" w:rsidR="00C8491A" w:rsidRPr="00AE7FB1" w:rsidRDefault="00C8491A" w:rsidP="00AE7FB1">
            <w:pPr>
              <w:pStyle w:val="TOAHeading"/>
              <w:widowControl/>
              <w:tabs>
                <w:tab w:val="clear" w:pos="9360"/>
                <w:tab w:val="center" w:pos="4680"/>
              </w:tabs>
              <w:ind w:firstLine="522"/>
              <w:rPr>
                <w:spacing w:val="-2"/>
                <w:szCs w:val="22"/>
                <w:lang w:val="es-ES_tradnl"/>
              </w:rPr>
            </w:pPr>
          </w:p>
          <w:p w14:paraId="479576D4" w14:textId="77777777" w:rsidR="00AE7FB1" w:rsidRPr="00AE7FB1" w:rsidRDefault="00C8491A" w:rsidP="00AE7FB1">
            <w:pPr>
              <w:pStyle w:val="TOAHeading"/>
              <w:widowControl/>
              <w:tabs>
                <w:tab w:val="clear" w:pos="9360"/>
                <w:tab w:val="center" w:pos="4680"/>
              </w:tabs>
              <w:ind w:firstLine="522"/>
              <w:rPr>
                <w:spacing w:val="-2"/>
                <w:szCs w:val="22"/>
                <w:lang w:val="es-ES_tradnl"/>
              </w:rPr>
            </w:pPr>
            <w:r w:rsidRPr="00994E33">
              <w:rPr>
                <w:spacing w:val="-2"/>
                <w:szCs w:val="22"/>
                <w:lang w:val="es-ES_tradnl"/>
              </w:rPr>
              <w:t xml:space="preserve">FRN:  </w:t>
            </w:r>
            <w:r w:rsidR="00AE7FB1" w:rsidRPr="00AE7FB1">
              <w:rPr>
                <w:spacing w:val="-2"/>
                <w:szCs w:val="22"/>
                <w:lang w:val="es-ES_tradnl"/>
              </w:rPr>
              <w:t>0001572676</w:t>
            </w:r>
          </w:p>
          <w:p w14:paraId="531BF77F" w14:textId="069F7CCB" w:rsidR="00C8491A" w:rsidRPr="00D45F75" w:rsidRDefault="00C8491A" w:rsidP="00AE7FB1">
            <w:pPr>
              <w:pStyle w:val="TOAHeading"/>
              <w:widowControl/>
              <w:tabs>
                <w:tab w:val="clear" w:pos="9360"/>
                <w:tab w:val="center" w:pos="4680"/>
              </w:tabs>
              <w:ind w:firstLine="522"/>
              <w:rPr>
                <w:spacing w:val="-2"/>
                <w:szCs w:val="22"/>
                <w:lang w:val="es-ES_tradnl"/>
              </w:rPr>
            </w:pPr>
          </w:p>
        </w:tc>
      </w:tr>
    </w:tbl>
    <w:p w14:paraId="636E129B" w14:textId="77777777" w:rsidR="00C8491A" w:rsidRDefault="00C8491A" w:rsidP="00C8491A">
      <w:pPr>
        <w:pStyle w:val="StyleBoldCentered"/>
      </w:pPr>
      <w:r>
        <w:t>Order</w:t>
      </w:r>
    </w:p>
    <w:p w14:paraId="10CCBE85" w14:textId="77777777" w:rsidR="00C8491A" w:rsidRDefault="00C8491A" w:rsidP="00C8491A">
      <w:pPr>
        <w:tabs>
          <w:tab w:val="left" w:pos="-720"/>
        </w:tabs>
        <w:suppressAutoHyphens/>
        <w:spacing w:line="227" w:lineRule="auto"/>
        <w:jc w:val="center"/>
        <w:rPr>
          <w:spacing w:val="-2"/>
        </w:rPr>
      </w:pPr>
    </w:p>
    <w:p w14:paraId="19B5B19C" w14:textId="60B83250" w:rsidR="00C8491A" w:rsidRDefault="00516CE9" w:rsidP="00C8491A">
      <w:pPr>
        <w:tabs>
          <w:tab w:val="left" w:pos="720"/>
          <w:tab w:val="right" w:pos="9360"/>
        </w:tabs>
        <w:suppressAutoHyphens/>
        <w:spacing w:line="227" w:lineRule="auto"/>
        <w:rPr>
          <w:spacing w:val="-2"/>
        </w:rPr>
      </w:pPr>
      <w:r>
        <w:rPr>
          <w:b/>
          <w:spacing w:val="-2"/>
        </w:rPr>
        <w:t xml:space="preserve">Adopted: </w:t>
      </w:r>
      <w:r w:rsidR="00B51411">
        <w:rPr>
          <w:b/>
          <w:spacing w:val="-2"/>
        </w:rPr>
        <w:t xml:space="preserve">April </w:t>
      </w:r>
      <w:r w:rsidR="006B0959">
        <w:rPr>
          <w:b/>
          <w:spacing w:val="-2"/>
        </w:rPr>
        <w:t>21</w:t>
      </w:r>
      <w:r>
        <w:rPr>
          <w:b/>
          <w:spacing w:val="-2"/>
        </w:rPr>
        <w:t>, 201</w:t>
      </w:r>
      <w:r w:rsidR="00B51411">
        <w:rPr>
          <w:b/>
          <w:spacing w:val="-2"/>
        </w:rPr>
        <w:t>6</w:t>
      </w:r>
      <w:r>
        <w:rPr>
          <w:b/>
          <w:spacing w:val="-2"/>
        </w:rPr>
        <w:tab/>
        <w:t xml:space="preserve">Released:  </w:t>
      </w:r>
      <w:r w:rsidR="006B0959">
        <w:rPr>
          <w:b/>
          <w:spacing w:val="-2"/>
        </w:rPr>
        <w:t>April 21</w:t>
      </w:r>
      <w:r w:rsidR="00C8491A">
        <w:rPr>
          <w:b/>
          <w:spacing w:val="-2"/>
        </w:rPr>
        <w:t>, 201</w:t>
      </w:r>
      <w:r w:rsidR="00B51411">
        <w:rPr>
          <w:b/>
          <w:spacing w:val="-2"/>
        </w:rPr>
        <w:t>6</w:t>
      </w:r>
    </w:p>
    <w:p w14:paraId="6A6B7779" w14:textId="77777777" w:rsidR="00C8491A" w:rsidRDefault="00C8491A" w:rsidP="00C8491A"/>
    <w:p w14:paraId="37D359F0" w14:textId="77777777" w:rsidR="00C8491A" w:rsidRDefault="00C8491A" w:rsidP="00C8491A">
      <w:pPr>
        <w:rPr>
          <w:spacing w:val="-2"/>
        </w:rPr>
      </w:pPr>
      <w:r>
        <w:t xml:space="preserve">By the </w:t>
      </w:r>
      <w:r>
        <w:rPr>
          <w:spacing w:val="-2"/>
        </w:rPr>
        <w:t>Chief, Enforcement Bureau:</w:t>
      </w:r>
    </w:p>
    <w:p w14:paraId="422E2521" w14:textId="77777777" w:rsidR="00C8491A" w:rsidRDefault="00C8491A" w:rsidP="00C8491A">
      <w:pPr>
        <w:pStyle w:val="MediumGrid21"/>
      </w:pPr>
    </w:p>
    <w:p w14:paraId="0CDFBA1B" w14:textId="167139B0" w:rsidR="00C8124A" w:rsidRPr="00C8124A" w:rsidRDefault="00C8491A" w:rsidP="00A75208">
      <w:pPr>
        <w:pStyle w:val="Paranum0"/>
        <w:tabs>
          <w:tab w:val="clear" w:pos="1080"/>
          <w:tab w:val="num" w:pos="1440"/>
        </w:tabs>
        <w:spacing w:after="120"/>
        <w:jc w:val="left"/>
        <w:rPr>
          <w:szCs w:val="22"/>
        </w:rPr>
      </w:pPr>
      <w:r w:rsidRPr="00C8124A">
        <w:rPr>
          <w:szCs w:val="22"/>
        </w:rPr>
        <w:t xml:space="preserve">The </w:t>
      </w:r>
      <w:r w:rsidRPr="00C8124A">
        <w:rPr>
          <w:bCs/>
          <w:szCs w:val="22"/>
        </w:rPr>
        <w:t xml:space="preserve">Enforcement Bureau (Bureau) </w:t>
      </w:r>
      <w:r w:rsidRPr="00C8124A">
        <w:rPr>
          <w:szCs w:val="22"/>
        </w:rPr>
        <w:t xml:space="preserve">of the Federal Communications Commission (Commission) has entered into a Consent Decree to </w:t>
      </w:r>
      <w:r w:rsidR="00AA216B" w:rsidRPr="00C8124A">
        <w:rPr>
          <w:szCs w:val="22"/>
        </w:rPr>
        <w:t xml:space="preserve">resolve </w:t>
      </w:r>
      <w:r w:rsidRPr="00C8124A">
        <w:rPr>
          <w:szCs w:val="22"/>
        </w:rPr>
        <w:t xml:space="preserve">its investigation into whether </w:t>
      </w:r>
      <w:r w:rsidR="007F3830" w:rsidRPr="00C8124A">
        <w:rPr>
          <w:szCs w:val="22"/>
        </w:rPr>
        <w:t>Alascom</w:t>
      </w:r>
      <w:r w:rsidRPr="00C8124A">
        <w:rPr>
          <w:szCs w:val="22"/>
        </w:rPr>
        <w:t xml:space="preserve">, Inc. </w:t>
      </w:r>
      <w:r w:rsidR="007F3830" w:rsidRPr="00C8124A">
        <w:rPr>
          <w:szCs w:val="22"/>
        </w:rPr>
        <w:t>(Alascom</w:t>
      </w:r>
      <w:r w:rsidRPr="00C8124A">
        <w:rPr>
          <w:szCs w:val="22"/>
        </w:rPr>
        <w:t xml:space="preserve">) </w:t>
      </w:r>
      <w:r w:rsidR="00C8124A">
        <w:t xml:space="preserve">operated common carrier point-to-point microwave stations WGF63, WHA411, and WOE33 on unauthorized frequencies. </w:t>
      </w:r>
      <w:r w:rsidR="008B4893" w:rsidRPr="00D84548">
        <w:rPr>
          <w:szCs w:val="22"/>
        </w:rPr>
        <w:t xml:space="preserve"> The</w:t>
      </w:r>
      <w:r w:rsidR="002755CB">
        <w:rPr>
          <w:szCs w:val="22"/>
        </w:rPr>
        <w:t xml:space="preserve"> regulations involved </w:t>
      </w:r>
      <w:r w:rsidR="008B4893" w:rsidRPr="00D84548">
        <w:rPr>
          <w:szCs w:val="22"/>
        </w:rPr>
        <w:t>ensure that devices that emit radio frequency radiation comply with the Commission’s technical requirements and do not interfere with authorized communications.</w:t>
      </w:r>
      <w:r w:rsidR="002755CB">
        <w:rPr>
          <w:szCs w:val="22"/>
        </w:rPr>
        <w:t xml:space="preserve">  </w:t>
      </w:r>
      <w:r w:rsidR="00C8124A">
        <w:t>To settle this matter, Alascom admits that it operated stations WGF63, WHA411, and WOE33 on unauthorized frequencies from April 3, 2014 until approximately April 26, 2015</w:t>
      </w:r>
      <w:r w:rsidR="00CA3B5A">
        <w:t xml:space="preserve"> and</w:t>
      </w:r>
      <w:r w:rsidR="00C8124A">
        <w:t xml:space="preserve"> that it implemented major modifications to the stations without prior Commission approval</w:t>
      </w:r>
      <w:r w:rsidR="00CA3B5A">
        <w:t>.  Alascom agrees that it</w:t>
      </w:r>
      <w:r w:rsidR="00C8124A">
        <w:t xml:space="preserve"> </w:t>
      </w:r>
      <w:r w:rsidR="00C8124A" w:rsidRPr="00C8124A">
        <w:rPr>
          <w:szCs w:val="22"/>
        </w:rPr>
        <w:t xml:space="preserve">will implement a compliance plan to ensure </w:t>
      </w:r>
      <w:r w:rsidR="00C8124A">
        <w:rPr>
          <w:szCs w:val="22"/>
        </w:rPr>
        <w:t xml:space="preserve">there is no reoccurrence of these violations and </w:t>
      </w:r>
      <w:r w:rsidR="00C8124A" w:rsidRPr="00C8124A">
        <w:rPr>
          <w:szCs w:val="22"/>
        </w:rPr>
        <w:t>will pay a $36,000 civil penalty</w:t>
      </w:r>
      <w:r w:rsidR="00C8124A">
        <w:t>.</w:t>
      </w:r>
      <w:r w:rsidR="00C8124A" w:rsidRPr="00C8124A">
        <w:rPr>
          <w:szCs w:val="22"/>
        </w:rPr>
        <w:t xml:space="preserve">  </w:t>
      </w:r>
    </w:p>
    <w:p w14:paraId="350F9CAF" w14:textId="1632C009" w:rsidR="00C8491A" w:rsidRDefault="00C8491A" w:rsidP="00C8491A">
      <w:pPr>
        <w:pStyle w:val="Paranum0"/>
        <w:tabs>
          <w:tab w:val="clear" w:pos="1080"/>
          <w:tab w:val="num" w:pos="1440"/>
        </w:tabs>
        <w:spacing w:after="120"/>
        <w:jc w:val="left"/>
        <w:rPr>
          <w:szCs w:val="22"/>
        </w:rPr>
      </w:pPr>
      <w:r>
        <w:rPr>
          <w:szCs w:val="22"/>
        </w:rPr>
        <w:t>After reviewing the terms of the Consent Decree and evaluating the facts before us, we find that the public interest would be served by adopting the Consent Decree and terminating the</w:t>
      </w:r>
      <w:r w:rsidR="00C8124A">
        <w:rPr>
          <w:szCs w:val="22"/>
        </w:rPr>
        <w:t xml:space="preserve"> referenced</w:t>
      </w:r>
      <w:r>
        <w:rPr>
          <w:szCs w:val="22"/>
        </w:rPr>
        <w:t xml:space="preserve"> investigation </w:t>
      </w:r>
      <w:r>
        <w:rPr>
          <w:bCs/>
          <w:szCs w:val="22"/>
        </w:rPr>
        <w:t xml:space="preserve">into </w:t>
      </w:r>
      <w:r w:rsidR="00182208">
        <w:rPr>
          <w:bCs/>
          <w:szCs w:val="22"/>
        </w:rPr>
        <w:t xml:space="preserve">Alascom’s </w:t>
      </w:r>
      <w:r>
        <w:rPr>
          <w:szCs w:val="22"/>
        </w:rPr>
        <w:t xml:space="preserve">compliance with </w:t>
      </w:r>
      <w:r w:rsidR="007A547E">
        <w:t xml:space="preserve">Section 301 of the </w:t>
      </w:r>
      <w:r w:rsidR="00C8124A">
        <w:t xml:space="preserve">Communications </w:t>
      </w:r>
      <w:r w:rsidR="007A547E">
        <w:t>Act</w:t>
      </w:r>
      <w:r w:rsidR="00C8124A">
        <w:t>, as amended</w:t>
      </w:r>
      <w:r w:rsidR="007A547E">
        <w:t xml:space="preserve"> (Act),</w:t>
      </w:r>
      <w:r w:rsidR="007A547E">
        <w:rPr>
          <w:vertAlign w:val="superscript"/>
        </w:rPr>
        <w:footnoteReference w:id="3"/>
      </w:r>
      <w:r w:rsidR="007A547E">
        <w:t xml:space="preserve"> and Sections 1.903(a) and 1.947(a) of the Commission’s rules.</w:t>
      </w:r>
      <w:r w:rsidR="007A547E">
        <w:rPr>
          <w:vertAlign w:val="superscript"/>
        </w:rPr>
        <w:footnoteReference w:id="4"/>
      </w:r>
      <w:r w:rsidR="007A547E">
        <w:t xml:space="preserve">  </w:t>
      </w:r>
    </w:p>
    <w:p w14:paraId="32FAAF61" w14:textId="0DE42DAD" w:rsidR="00C8491A" w:rsidRDefault="00C8491A" w:rsidP="00C8491A">
      <w:pPr>
        <w:pStyle w:val="Paranum0"/>
        <w:tabs>
          <w:tab w:val="clear" w:pos="1080"/>
          <w:tab w:val="num" w:pos="1440"/>
        </w:tabs>
        <w:spacing w:after="120"/>
        <w:jc w:val="left"/>
        <w:rPr>
          <w:szCs w:val="22"/>
        </w:rPr>
      </w:pPr>
      <w:r>
        <w:rPr>
          <w:szCs w:val="22"/>
        </w:rPr>
        <w:t xml:space="preserve">In the absence of material new evidence relating to this matter, we do not set for hearing the question of </w:t>
      </w:r>
      <w:r w:rsidR="007A547E">
        <w:rPr>
          <w:szCs w:val="22"/>
        </w:rPr>
        <w:t>Alascom</w:t>
      </w:r>
      <w:r>
        <w:rPr>
          <w:szCs w:val="22"/>
        </w:rPr>
        <w:t>’s basic qualifications to hold or obtain any Commission license or authorization.</w:t>
      </w:r>
      <w:r>
        <w:rPr>
          <w:rStyle w:val="FootnoteReference"/>
          <w:szCs w:val="22"/>
        </w:rPr>
        <w:footnoteReference w:id="5"/>
      </w:r>
    </w:p>
    <w:p w14:paraId="5626F2DB" w14:textId="6CCB2FAC" w:rsidR="00C8491A" w:rsidRDefault="00C8491A" w:rsidP="00C8491A">
      <w:pPr>
        <w:pStyle w:val="Paranum0"/>
        <w:tabs>
          <w:tab w:val="clear" w:pos="1080"/>
          <w:tab w:val="num" w:pos="1440"/>
        </w:tabs>
        <w:spacing w:after="120"/>
        <w:jc w:val="left"/>
        <w:rPr>
          <w:szCs w:val="22"/>
        </w:rPr>
      </w:pPr>
      <w:r>
        <w:rPr>
          <w:szCs w:val="22"/>
        </w:rPr>
        <w:t xml:space="preserve">Accordingly, </w:t>
      </w:r>
      <w:r>
        <w:rPr>
          <w:b/>
          <w:szCs w:val="22"/>
        </w:rPr>
        <w:t>IT IS ORDERED</w:t>
      </w:r>
      <w:r>
        <w:rPr>
          <w:szCs w:val="22"/>
        </w:rPr>
        <w:t xml:space="preserve"> that, pursuant to Section 4(i) of the Act,</w:t>
      </w:r>
      <w:r>
        <w:rPr>
          <w:rStyle w:val="FootnoteReference"/>
          <w:szCs w:val="22"/>
        </w:rPr>
        <w:footnoteReference w:id="6"/>
      </w:r>
      <w:r>
        <w:rPr>
          <w:szCs w:val="22"/>
        </w:rPr>
        <w:t xml:space="preserve"> </w:t>
      </w:r>
      <w:r>
        <w:rPr>
          <w:bCs/>
          <w:szCs w:val="22"/>
        </w:rPr>
        <w:t>and</w:t>
      </w:r>
      <w:r w:rsidR="008B4893">
        <w:rPr>
          <w:bCs/>
          <w:szCs w:val="22"/>
        </w:rPr>
        <w:t xml:space="preserve"> the authority delegated by</w:t>
      </w:r>
      <w:r>
        <w:rPr>
          <w:bCs/>
          <w:szCs w:val="22"/>
        </w:rPr>
        <w:t xml:space="preserve"> Sections 0.111 and 0.311 of the </w:t>
      </w:r>
      <w:r w:rsidR="00766539">
        <w:rPr>
          <w:bCs/>
          <w:szCs w:val="22"/>
        </w:rPr>
        <w:t>Commission’s r</w:t>
      </w:r>
      <w:r>
        <w:rPr>
          <w:bCs/>
          <w:szCs w:val="22"/>
        </w:rPr>
        <w:t>ules,</w:t>
      </w:r>
      <w:r>
        <w:rPr>
          <w:rStyle w:val="FootnoteReference"/>
          <w:bCs/>
          <w:szCs w:val="22"/>
        </w:rPr>
        <w:footnoteReference w:id="7"/>
      </w:r>
      <w:r>
        <w:rPr>
          <w:bCs/>
          <w:szCs w:val="22"/>
        </w:rPr>
        <w:t xml:space="preserve"> the</w:t>
      </w:r>
      <w:r>
        <w:rPr>
          <w:szCs w:val="22"/>
        </w:rPr>
        <w:t xml:space="preserve"> Consent Decree attached to this Order </w:t>
      </w:r>
      <w:r>
        <w:rPr>
          <w:b/>
          <w:szCs w:val="22"/>
        </w:rPr>
        <w:t xml:space="preserve">IS ADOPTED </w:t>
      </w:r>
      <w:r w:rsidRPr="00120AAD">
        <w:rPr>
          <w:szCs w:val="22"/>
        </w:rPr>
        <w:t>and</w:t>
      </w:r>
      <w:r>
        <w:rPr>
          <w:b/>
          <w:szCs w:val="22"/>
        </w:rPr>
        <w:t xml:space="preserve"> </w:t>
      </w:r>
      <w:r>
        <w:rPr>
          <w:szCs w:val="22"/>
        </w:rPr>
        <w:t>its terms incorporated by reference.</w:t>
      </w:r>
    </w:p>
    <w:p w14:paraId="5C382DCB" w14:textId="77777777" w:rsidR="00766539" w:rsidRDefault="00766539" w:rsidP="006A693A">
      <w:pPr>
        <w:pStyle w:val="Paranum0"/>
        <w:keepNext/>
        <w:keepLines/>
        <w:tabs>
          <w:tab w:val="clear" w:pos="1080"/>
          <w:tab w:val="num" w:pos="1440"/>
        </w:tabs>
        <w:spacing w:after="120"/>
        <w:jc w:val="left"/>
      </w:pPr>
      <w:r w:rsidRPr="00766539">
        <w:rPr>
          <w:b/>
        </w:rPr>
        <w:lastRenderedPageBreak/>
        <w:t>IT IS FURTHER ORDERED</w:t>
      </w:r>
      <w:r>
        <w:t xml:space="preserve"> that the above-captioned matter </w:t>
      </w:r>
      <w:r w:rsidRPr="00766539">
        <w:rPr>
          <w:b/>
        </w:rPr>
        <w:t>IS TERMINATED</w:t>
      </w:r>
      <w:r>
        <w:t>.</w:t>
      </w:r>
    </w:p>
    <w:p w14:paraId="3530BD48" w14:textId="5186D33B" w:rsidR="00C8491A" w:rsidRPr="00E53D1B" w:rsidRDefault="00C8491A" w:rsidP="006A693A">
      <w:pPr>
        <w:pStyle w:val="Paranum0"/>
        <w:keepNext/>
        <w:keepLines/>
        <w:tabs>
          <w:tab w:val="clear" w:pos="1080"/>
          <w:tab w:val="num" w:pos="1440"/>
        </w:tabs>
        <w:spacing w:after="120"/>
        <w:jc w:val="left"/>
        <w:rPr>
          <w:szCs w:val="22"/>
        </w:rPr>
      </w:pPr>
      <w:r w:rsidRPr="00E53D1B">
        <w:rPr>
          <w:b/>
          <w:szCs w:val="22"/>
        </w:rPr>
        <w:t xml:space="preserve">IT IS FURTHER ORDERED </w:t>
      </w:r>
      <w:r w:rsidRPr="00E53D1B">
        <w:rPr>
          <w:szCs w:val="22"/>
        </w:rPr>
        <w:t xml:space="preserve">that a copy of this Order and Consent Decree shall be sent by first class mail and certified mail, return receipt requested, to </w:t>
      </w:r>
      <w:r w:rsidR="007A547E">
        <w:rPr>
          <w:szCs w:val="22"/>
        </w:rPr>
        <w:t>Robert Vitanza, General Attorney, AT&amp;T Services, Inc., 208 S. Akard Street, Rm. 2914, Dallas, Texas 75202</w:t>
      </w:r>
      <w:r w:rsidRPr="00E53D1B">
        <w:rPr>
          <w:szCs w:val="22"/>
        </w:rPr>
        <w:t xml:space="preserve">.  </w:t>
      </w:r>
    </w:p>
    <w:p w14:paraId="29DA3146" w14:textId="77777777" w:rsidR="00C8491A" w:rsidRDefault="00C8491A" w:rsidP="006A693A">
      <w:pPr>
        <w:keepNext/>
        <w:keepLines/>
        <w:widowControl/>
        <w:tabs>
          <w:tab w:val="left" w:pos="0"/>
        </w:tabs>
        <w:suppressAutoHyphens/>
        <w:spacing w:line="240" w:lineRule="atLeast"/>
        <w:jc w:val="both"/>
        <w:rPr>
          <w:szCs w:val="22"/>
        </w:rPr>
      </w:pPr>
      <w:r>
        <w:rPr>
          <w:szCs w:val="22"/>
        </w:rPr>
        <w:tab/>
      </w:r>
      <w:r>
        <w:rPr>
          <w:szCs w:val="22"/>
        </w:rPr>
        <w:tab/>
      </w:r>
      <w:r>
        <w:rPr>
          <w:szCs w:val="22"/>
        </w:rPr>
        <w:tab/>
      </w:r>
      <w:r>
        <w:rPr>
          <w:szCs w:val="22"/>
        </w:rPr>
        <w:tab/>
      </w:r>
      <w:r>
        <w:rPr>
          <w:szCs w:val="22"/>
        </w:rPr>
        <w:tab/>
      </w:r>
      <w:r>
        <w:rPr>
          <w:szCs w:val="22"/>
        </w:rPr>
        <w:tab/>
      </w:r>
    </w:p>
    <w:p w14:paraId="32A11429" w14:textId="77777777" w:rsidR="00C8491A" w:rsidRDefault="00C8491A" w:rsidP="00C8491A">
      <w:pPr>
        <w:tabs>
          <w:tab w:val="left" w:pos="0"/>
        </w:tabs>
        <w:suppressAutoHyphens/>
        <w:spacing w:line="240" w:lineRule="atLeast"/>
        <w:jc w:val="both"/>
        <w:rPr>
          <w:szCs w:val="22"/>
        </w:rPr>
      </w:pPr>
    </w:p>
    <w:p w14:paraId="688F388B" w14:textId="77777777" w:rsidR="00C8491A" w:rsidRDefault="00C8491A" w:rsidP="00C8491A">
      <w:pPr>
        <w:tabs>
          <w:tab w:val="left" w:pos="0"/>
        </w:tabs>
        <w:suppressAutoHyphens/>
        <w:spacing w:line="240" w:lineRule="atLeast"/>
        <w:jc w:val="both"/>
        <w:rPr>
          <w:spacing w:val="-2"/>
          <w:szCs w:val="22"/>
        </w:rPr>
      </w:pPr>
      <w:r>
        <w:rPr>
          <w:szCs w:val="22"/>
        </w:rPr>
        <w:tab/>
      </w:r>
      <w:r>
        <w:rPr>
          <w:szCs w:val="22"/>
        </w:rPr>
        <w:tab/>
      </w:r>
      <w:r>
        <w:rPr>
          <w:szCs w:val="22"/>
        </w:rPr>
        <w:tab/>
      </w:r>
      <w:r>
        <w:rPr>
          <w:szCs w:val="22"/>
        </w:rPr>
        <w:tab/>
      </w:r>
      <w:r>
        <w:rPr>
          <w:szCs w:val="22"/>
        </w:rPr>
        <w:tab/>
      </w:r>
      <w:r>
        <w:rPr>
          <w:szCs w:val="22"/>
        </w:rPr>
        <w:tab/>
      </w:r>
      <w:r>
        <w:rPr>
          <w:spacing w:val="-2"/>
          <w:szCs w:val="22"/>
        </w:rPr>
        <w:t>FEDERAL COMMUNICATIONS COMMISSION</w:t>
      </w:r>
    </w:p>
    <w:p w14:paraId="5979098E" w14:textId="77777777" w:rsidR="00C8491A" w:rsidRDefault="00C8491A" w:rsidP="00C8491A">
      <w:pPr>
        <w:pStyle w:val="MediumGrid21"/>
        <w:rPr>
          <w:sz w:val="22"/>
          <w:szCs w:val="22"/>
        </w:rPr>
      </w:pPr>
    </w:p>
    <w:p w14:paraId="13707D5B" w14:textId="77777777" w:rsidR="00C8491A" w:rsidRDefault="00C8491A" w:rsidP="00C8491A">
      <w:pPr>
        <w:pStyle w:val="MediumGrid21"/>
        <w:rPr>
          <w:sz w:val="22"/>
          <w:szCs w:val="22"/>
        </w:rPr>
      </w:pPr>
    </w:p>
    <w:p w14:paraId="2EA5E0DD" w14:textId="77777777" w:rsidR="00C8491A" w:rsidRDefault="00C8491A" w:rsidP="00C8491A">
      <w:pPr>
        <w:pStyle w:val="MediumGrid21"/>
        <w:rPr>
          <w:sz w:val="22"/>
          <w:szCs w:val="22"/>
        </w:rPr>
      </w:pPr>
    </w:p>
    <w:p w14:paraId="5D85CDB2" w14:textId="77777777" w:rsidR="00C8491A" w:rsidRDefault="00C8491A" w:rsidP="00C8491A">
      <w:pPr>
        <w:pStyle w:val="MediumGrid21"/>
        <w:rPr>
          <w:color w:val="000000"/>
          <w:sz w:val="22"/>
          <w:szCs w:val="22"/>
        </w:rPr>
      </w:pPr>
    </w:p>
    <w:p w14:paraId="713103FF" w14:textId="77777777" w:rsidR="00C8491A" w:rsidRDefault="00C8491A" w:rsidP="00C8491A">
      <w:pPr>
        <w:pStyle w:val="MediumGrid21"/>
        <w:ind w:left="4320"/>
        <w:rPr>
          <w:color w:val="000000"/>
          <w:sz w:val="22"/>
          <w:szCs w:val="22"/>
        </w:rPr>
      </w:pPr>
      <w:smartTag w:uri="urn:schemas-microsoft-com:office:smarttags" w:element="PersonName">
        <w:r>
          <w:rPr>
            <w:color w:val="000000"/>
            <w:sz w:val="22"/>
            <w:szCs w:val="22"/>
          </w:rPr>
          <w:t>Travis LeBlanc</w:t>
        </w:r>
      </w:smartTag>
    </w:p>
    <w:p w14:paraId="007341C8" w14:textId="77777777" w:rsidR="00C8491A" w:rsidRDefault="00C8491A" w:rsidP="00C8491A">
      <w:pPr>
        <w:ind w:left="4320"/>
        <w:rPr>
          <w:color w:val="000000"/>
          <w:szCs w:val="22"/>
        </w:rPr>
      </w:pPr>
      <w:r>
        <w:rPr>
          <w:color w:val="000000"/>
          <w:szCs w:val="22"/>
        </w:rPr>
        <w:t>Chief</w:t>
      </w:r>
    </w:p>
    <w:p w14:paraId="60AF37BF" w14:textId="77777777" w:rsidR="00C8491A" w:rsidRDefault="00C8491A" w:rsidP="00C8491A">
      <w:pPr>
        <w:ind w:left="4320"/>
      </w:pPr>
      <w:r>
        <w:rPr>
          <w:color w:val="000000"/>
          <w:szCs w:val="22"/>
        </w:rPr>
        <w:t>Enforcement</w:t>
      </w:r>
      <w:r>
        <w:rPr>
          <w:color w:val="000000"/>
        </w:rPr>
        <w:t xml:space="preserve"> </w:t>
      </w:r>
      <w:r>
        <w:rPr>
          <w:color w:val="000000"/>
          <w:szCs w:val="22"/>
        </w:rPr>
        <w:t>Bureau</w:t>
      </w:r>
      <w:r>
        <w:t xml:space="preserve"> </w:t>
      </w:r>
    </w:p>
    <w:p w14:paraId="12C91C87" w14:textId="77777777" w:rsidR="00AA7E79" w:rsidRDefault="00AA7E79" w:rsidP="00C8491A">
      <w:pPr>
        <w:ind w:left="4320"/>
      </w:pPr>
    </w:p>
    <w:p w14:paraId="48581712" w14:textId="77777777" w:rsidR="00AA7E79" w:rsidRDefault="00AA7E79" w:rsidP="00C8491A">
      <w:pPr>
        <w:ind w:left="4320"/>
      </w:pPr>
    </w:p>
    <w:p w14:paraId="537FF7AF" w14:textId="77777777" w:rsidR="00527C71" w:rsidRDefault="00527C71" w:rsidP="00AA7E79">
      <w:pPr>
        <w:jc w:val="center"/>
        <w:rPr>
          <w:b/>
        </w:rPr>
        <w:sectPr w:rsidR="00527C71" w:rsidSect="00170940">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pPr>
    </w:p>
    <w:p w14:paraId="40298954" w14:textId="34B65FA4" w:rsidR="00AA7E79" w:rsidRDefault="00AA7E79" w:rsidP="00AA7E79">
      <w:pPr>
        <w:jc w:val="center"/>
        <w:rPr>
          <w:b/>
        </w:rPr>
      </w:pPr>
    </w:p>
    <w:p w14:paraId="14863EF3" w14:textId="77777777" w:rsidR="00AA7E79" w:rsidRPr="00F35AF9" w:rsidRDefault="00AA7E79" w:rsidP="00AA7E79">
      <w:pPr>
        <w:jc w:val="center"/>
        <w:rPr>
          <w:b/>
        </w:rPr>
      </w:pPr>
      <w:r w:rsidRPr="00F35AF9">
        <w:rPr>
          <w:b/>
        </w:rPr>
        <w:t>Before the</w:t>
      </w:r>
    </w:p>
    <w:p w14:paraId="7D29A52C" w14:textId="77777777" w:rsidR="00AA7E79" w:rsidRPr="00F35AF9" w:rsidRDefault="00AA7E79" w:rsidP="00AA7E79">
      <w:pPr>
        <w:pStyle w:val="StyleBoldCentered"/>
        <w:rPr>
          <w:rFonts w:ascii="Times New Roman" w:hAnsi="Times New Roman"/>
          <w:b w:val="0"/>
        </w:rPr>
      </w:pPr>
      <w:r w:rsidRPr="00F35AF9">
        <w:rPr>
          <w:rFonts w:ascii="Times New Roman" w:hAnsi="Times New Roman"/>
        </w:rPr>
        <w:t>F</w:t>
      </w:r>
      <w:r w:rsidRPr="00F35AF9">
        <w:rPr>
          <w:rFonts w:ascii="Times New Roman" w:hAnsi="Times New Roman"/>
          <w:caps w:val="0"/>
        </w:rPr>
        <w:t>ederal Communications Commission</w:t>
      </w:r>
    </w:p>
    <w:p w14:paraId="41B29254" w14:textId="77777777" w:rsidR="00AA7E79" w:rsidRPr="00F35AF9" w:rsidRDefault="00AA7E79" w:rsidP="00AA7E79">
      <w:pPr>
        <w:pStyle w:val="StyleBoldCentered"/>
        <w:rPr>
          <w:rFonts w:ascii="Times New Roman" w:hAnsi="Times New Roman"/>
        </w:rPr>
      </w:pPr>
      <w:r w:rsidRPr="00F35AF9">
        <w:rPr>
          <w:rFonts w:ascii="Times New Roman" w:hAnsi="Times New Roman"/>
          <w:caps w:val="0"/>
        </w:rPr>
        <w:t>Washington, DC 20554</w:t>
      </w:r>
    </w:p>
    <w:p w14:paraId="7AA47867" w14:textId="77777777" w:rsidR="00AA7E79" w:rsidRPr="00F35AF9" w:rsidRDefault="00AA7E79" w:rsidP="00AA7E79"/>
    <w:tbl>
      <w:tblPr>
        <w:tblW w:w="9576" w:type="dxa"/>
        <w:tblLayout w:type="fixed"/>
        <w:tblLook w:val="0000" w:firstRow="0" w:lastRow="0" w:firstColumn="0" w:lastColumn="0" w:noHBand="0" w:noVBand="0"/>
      </w:tblPr>
      <w:tblGrid>
        <w:gridCol w:w="4698"/>
        <w:gridCol w:w="630"/>
        <w:gridCol w:w="4248"/>
      </w:tblGrid>
      <w:tr w:rsidR="00AA7E79" w:rsidRPr="00F35AF9" w14:paraId="21C58FFF" w14:textId="77777777" w:rsidTr="009C7102">
        <w:trPr>
          <w:trHeight w:val="2043"/>
        </w:trPr>
        <w:tc>
          <w:tcPr>
            <w:tcW w:w="4698" w:type="dxa"/>
          </w:tcPr>
          <w:p w14:paraId="12AC0A19" w14:textId="77777777" w:rsidR="00AA7E79" w:rsidRDefault="00AA7E79" w:rsidP="009C7102">
            <w:pPr>
              <w:tabs>
                <w:tab w:val="center" w:pos="4680"/>
              </w:tabs>
              <w:suppressAutoHyphens/>
              <w:rPr>
                <w:spacing w:val="-2"/>
              </w:rPr>
            </w:pPr>
            <w:r w:rsidRPr="00F35AF9">
              <w:rPr>
                <w:spacing w:val="-2"/>
              </w:rPr>
              <w:t>In the Matter of</w:t>
            </w:r>
          </w:p>
          <w:p w14:paraId="6D0C0C2A" w14:textId="77777777" w:rsidR="00AA7E79" w:rsidRPr="00F35AF9" w:rsidRDefault="00AA7E79" w:rsidP="009C7102">
            <w:pPr>
              <w:tabs>
                <w:tab w:val="center" w:pos="4680"/>
              </w:tabs>
              <w:suppressAutoHyphens/>
              <w:rPr>
                <w:spacing w:val="-2"/>
              </w:rPr>
            </w:pPr>
          </w:p>
          <w:p w14:paraId="023B921C" w14:textId="77777777" w:rsidR="00AA7E79" w:rsidRPr="00F35AF9" w:rsidRDefault="00AA7E79" w:rsidP="009C7102">
            <w:pPr>
              <w:tabs>
                <w:tab w:val="center" w:pos="4680"/>
              </w:tabs>
              <w:suppressAutoHyphens/>
              <w:rPr>
                <w:spacing w:val="-2"/>
              </w:rPr>
            </w:pPr>
            <w:r w:rsidRPr="00F35AF9">
              <w:t>Alascom, Inc.</w:t>
            </w:r>
          </w:p>
        </w:tc>
        <w:tc>
          <w:tcPr>
            <w:tcW w:w="630" w:type="dxa"/>
          </w:tcPr>
          <w:p w14:paraId="4260F08C" w14:textId="77777777" w:rsidR="00AA7E79" w:rsidRPr="00F35AF9" w:rsidRDefault="00AA7E79" w:rsidP="009C7102">
            <w:pPr>
              <w:tabs>
                <w:tab w:val="center" w:pos="4680"/>
              </w:tabs>
              <w:suppressAutoHyphens/>
              <w:rPr>
                <w:b/>
                <w:spacing w:val="-2"/>
              </w:rPr>
            </w:pPr>
            <w:r w:rsidRPr="00F35AF9">
              <w:rPr>
                <w:b/>
                <w:spacing w:val="-2"/>
              </w:rPr>
              <w:t>)</w:t>
            </w:r>
          </w:p>
          <w:p w14:paraId="1BF9036E" w14:textId="77777777" w:rsidR="00AA7E79" w:rsidRPr="00F35AF9" w:rsidRDefault="00AA7E79" w:rsidP="009C7102">
            <w:pPr>
              <w:tabs>
                <w:tab w:val="center" w:pos="4680"/>
              </w:tabs>
              <w:suppressAutoHyphens/>
              <w:rPr>
                <w:b/>
                <w:spacing w:val="-2"/>
              </w:rPr>
            </w:pPr>
            <w:r w:rsidRPr="00F35AF9">
              <w:rPr>
                <w:b/>
                <w:spacing w:val="-2"/>
              </w:rPr>
              <w:t>)</w:t>
            </w:r>
          </w:p>
          <w:p w14:paraId="3B0551E7" w14:textId="77777777" w:rsidR="00AA7E79" w:rsidRPr="00F35AF9" w:rsidRDefault="00AA7E79" w:rsidP="009C7102">
            <w:pPr>
              <w:tabs>
                <w:tab w:val="center" w:pos="4680"/>
              </w:tabs>
              <w:suppressAutoHyphens/>
              <w:rPr>
                <w:b/>
                <w:spacing w:val="-2"/>
              </w:rPr>
            </w:pPr>
            <w:r w:rsidRPr="00F35AF9">
              <w:rPr>
                <w:b/>
                <w:spacing w:val="-2"/>
              </w:rPr>
              <w:t>)</w:t>
            </w:r>
          </w:p>
          <w:p w14:paraId="5623D492" w14:textId="77777777" w:rsidR="00AA7E79" w:rsidRPr="00F35AF9" w:rsidRDefault="00AA7E79" w:rsidP="009C7102">
            <w:pPr>
              <w:tabs>
                <w:tab w:val="center" w:pos="4680"/>
              </w:tabs>
              <w:suppressAutoHyphens/>
              <w:rPr>
                <w:b/>
                <w:spacing w:val="-2"/>
              </w:rPr>
            </w:pPr>
            <w:r w:rsidRPr="00F35AF9">
              <w:rPr>
                <w:b/>
                <w:spacing w:val="-2"/>
              </w:rPr>
              <w:t>)</w:t>
            </w:r>
          </w:p>
          <w:p w14:paraId="379ED415" w14:textId="77777777" w:rsidR="00AA7E79" w:rsidRPr="00F35AF9" w:rsidRDefault="00AA7E79" w:rsidP="009C7102">
            <w:pPr>
              <w:tabs>
                <w:tab w:val="center" w:pos="4680"/>
              </w:tabs>
              <w:suppressAutoHyphens/>
              <w:rPr>
                <w:b/>
                <w:spacing w:val="-2"/>
              </w:rPr>
            </w:pPr>
            <w:r w:rsidRPr="00F35AF9">
              <w:rPr>
                <w:b/>
                <w:spacing w:val="-2"/>
              </w:rPr>
              <w:t>)</w:t>
            </w:r>
          </w:p>
          <w:p w14:paraId="633B0ACF" w14:textId="77777777" w:rsidR="00AA7E79" w:rsidRPr="00F35AF9" w:rsidRDefault="00AA7E79" w:rsidP="009C7102">
            <w:pPr>
              <w:tabs>
                <w:tab w:val="center" w:pos="4680"/>
              </w:tabs>
              <w:suppressAutoHyphens/>
              <w:rPr>
                <w:b/>
                <w:spacing w:val="-2"/>
              </w:rPr>
            </w:pPr>
            <w:r w:rsidRPr="00F35AF9">
              <w:rPr>
                <w:b/>
                <w:spacing w:val="-2"/>
              </w:rPr>
              <w:t>)</w:t>
            </w:r>
          </w:p>
          <w:p w14:paraId="6B1A9797" w14:textId="77777777" w:rsidR="00AA7E79" w:rsidRPr="00F35AF9" w:rsidRDefault="00AA7E79" w:rsidP="009C7102">
            <w:pPr>
              <w:tabs>
                <w:tab w:val="center" w:pos="4680"/>
              </w:tabs>
              <w:suppressAutoHyphens/>
              <w:rPr>
                <w:b/>
                <w:spacing w:val="-2"/>
              </w:rPr>
            </w:pPr>
          </w:p>
          <w:p w14:paraId="76366760" w14:textId="77777777" w:rsidR="00AA7E79" w:rsidRPr="00F35AF9" w:rsidRDefault="00AA7E79" w:rsidP="009C7102">
            <w:pPr>
              <w:tabs>
                <w:tab w:val="center" w:pos="4680"/>
              </w:tabs>
              <w:suppressAutoHyphens/>
              <w:rPr>
                <w:spacing w:val="-2"/>
              </w:rPr>
            </w:pPr>
          </w:p>
        </w:tc>
        <w:tc>
          <w:tcPr>
            <w:tcW w:w="4248" w:type="dxa"/>
          </w:tcPr>
          <w:p w14:paraId="2028C0E4" w14:textId="77777777" w:rsidR="00AA7E79" w:rsidRDefault="00AA7E79" w:rsidP="009C7102">
            <w:pPr>
              <w:tabs>
                <w:tab w:val="center" w:pos="4680"/>
              </w:tabs>
              <w:suppressAutoHyphens/>
              <w:ind w:left="432"/>
              <w:rPr>
                <w:spacing w:val="-2"/>
              </w:rPr>
            </w:pPr>
          </w:p>
          <w:p w14:paraId="567CBDC6" w14:textId="77777777" w:rsidR="00AA7E79" w:rsidRPr="00F35AF9" w:rsidRDefault="00AA7E79" w:rsidP="009C7102">
            <w:pPr>
              <w:tabs>
                <w:tab w:val="center" w:pos="4680"/>
              </w:tabs>
              <w:suppressAutoHyphens/>
              <w:ind w:left="432"/>
              <w:rPr>
                <w:spacing w:val="-2"/>
              </w:rPr>
            </w:pPr>
            <w:r w:rsidRPr="00F35AF9">
              <w:rPr>
                <w:spacing w:val="-2"/>
              </w:rPr>
              <w:t>File No.:  EB-SED-16-00020553</w:t>
            </w:r>
          </w:p>
          <w:p w14:paraId="0A8931B2" w14:textId="77777777" w:rsidR="00AA7E79" w:rsidRDefault="00AA7E79" w:rsidP="009C7102">
            <w:pPr>
              <w:ind w:left="432"/>
              <w:rPr>
                <w:spacing w:val="-2"/>
              </w:rPr>
            </w:pPr>
          </w:p>
          <w:p w14:paraId="4C442832" w14:textId="77777777" w:rsidR="00AA7E79" w:rsidRPr="00F35AF9" w:rsidRDefault="00AA7E79" w:rsidP="009C7102">
            <w:pPr>
              <w:ind w:left="432"/>
              <w:rPr>
                <w:spacing w:val="-2"/>
              </w:rPr>
            </w:pPr>
            <w:r w:rsidRPr="00F35AF9">
              <w:rPr>
                <w:spacing w:val="-2"/>
              </w:rPr>
              <w:t xml:space="preserve">Acct. No.:  </w:t>
            </w:r>
            <w:r>
              <w:rPr>
                <w:spacing w:val="-2"/>
              </w:rPr>
              <w:t>201632100005</w:t>
            </w:r>
          </w:p>
          <w:p w14:paraId="6DC6D848" w14:textId="77777777" w:rsidR="00AA7E79" w:rsidRDefault="00AA7E79" w:rsidP="009C7102">
            <w:pPr>
              <w:tabs>
                <w:tab w:val="center" w:pos="4680"/>
              </w:tabs>
              <w:suppressAutoHyphens/>
              <w:ind w:left="432"/>
            </w:pPr>
          </w:p>
          <w:p w14:paraId="0064455C" w14:textId="77777777" w:rsidR="00AA7E79" w:rsidRPr="00F35AF9" w:rsidRDefault="00AA7E79" w:rsidP="009C7102">
            <w:pPr>
              <w:tabs>
                <w:tab w:val="center" w:pos="4680"/>
              </w:tabs>
              <w:suppressAutoHyphens/>
              <w:ind w:left="432"/>
              <w:rPr>
                <w:spacing w:val="-2"/>
              </w:rPr>
            </w:pPr>
            <w:r w:rsidRPr="00F35AF9">
              <w:t xml:space="preserve">FRN:  </w:t>
            </w:r>
            <w:r w:rsidRPr="00907859">
              <w:rPr>
                <w:spacing w:val="-2"/>
                <w:lang w:val="es-ES_tradnl"/>
              </w:rPr>
              <w:t>0001572676</w:t>
            </w:r>
          </w:p>
        </w:tc>
      </w:tr>
    </w:tbl>
    <w:p w14:paraId="3331FE9C" w14:textId="77777777" w:rsidR="00AA7E79" w:rsidRPr="00F35AF9" w:rsidRDefault="00AA7E79" w:rsidP="00AA7E79">
      <w:pPr>
        <w:pStyle w:val="StyleBoldCentered"/>
        <w:rPr>
          <w:rFonts w:ascii="Times New Roman" w:hAnsi="Times New Roman"/>
        </w:rPr>
      </w:pPr>
      <w:r w:rsidRPr="00F35AF9">
        <w:rPr>
          <w:rFonts w:ascii="Times New Roman" w:hAnsi="Times New Roman"/>
        </w:rPr>
        <w:t>CONSENT DECREE</w:t>
      </w:r>
    </w:p>
    <w:p w14:paraId="200167C9" w14:textId="77777777" w:rsidR="00AA7E79" w:rsidRDefault="00AA7E79" w:rsidP="00AA7E79">
      <w:pPr>
        <w:pStyle w:val="ParaNum"/>
        <w:widowControl/>
        <w:spacing w:after="0"/>
      </w:pPr>
      <w:r w:rsidRPr="00F35AF9">
        <w:t>The Enforcement Bureau of the Federal Communications Commission and Alascom, Inc. (Alascom), by their authorized representatives, hereby enter into this Consent Decree for the purpose of terminating the Enforcement Bureau’s investigation into whether Alascom violated Section 301 of the Communications Act of 1934, as amended,</w:t>
      </w:r>
      <w:r w:rsidRPr="00F35AF9">
        <w:rPr>
          <w:rStyle w:val="FootnoteReference"/>
          <w:sz w:val="22"/>
        </w:rPr>
        <w:footnoteReference w:id="8"/>
      </w:r>
      <w:r w:rsidRPr="00F35AF9">
        <w:t xml:space="preserve"> and Sections 1.903(a) and 1.947(a) of the Commission’s rules</w:t>
      </w:r>
      <w:r w:rsidRPr="00F35AF9">
        <w:rPr>
          <w:rStyle w:val="FootnoteReference"/>
          <w:sz w:val="22"/>
        </w:rPr>
        <w:footnoteReference w:id="9"/>
      </w:r>
      <w:r w:rsidRPr="00F35AF9">
        <w:t xml:space="preserve"> in connection with its operation of three fixed microwave stations on unauthorized frequencies.</w:t>
      </w:r>
    </w:p>
    <w:p w14:paraId="70F75DF0" w14:textId="77777777" w:rsidR="00AA7E79" w:rsidRPr="00F35AF9" w:rsidRDefault="00AA7E79" w:rsidP="00AA7E79">
      <w:pPr>
        <w:pStyle w:val="ParaNum"/>
        <w:numPr>
          <w:ilvl w:val="0"/>
          <w:numId w:val="0"/>
        </w:numPr>
        <w:spacing w:after="0"/>
        <w:ind w:left="720"/>
      </w:pPr>
    </w:p>
    <w:p w14:paraId="5CDBAACF" w14:textId="77777777" w:rsidR="00AA7E79" w:rsidRPr="00F35AF9" w:rsidRDefault="00AA7E79" w:rsidP="00AA7E79">
      <w:pPr>
        <w:pStyle w:val="Heading1"/>
        <w:widowControl/>
        <w:spacing w:line="276" w:lineRule="auto"/>
        <w:rPr>
          <w:rFonts w:ascii="Times New Roman" w:hAnsi="Times New Roman"/>
        </w:rPr>
      </w:pPr>
      <w:r w:rsidRPr="00F35AF9">
        <w:rPr>
          <w:rFonts w:ascii="Times New Roman" w:hAnsi="Times New Roman"/>
        </w:rPr>
        <w:t>DEFINITIONS</w:t>
      </w:r>
    </w:p>
    <w:p w14:paraId="7234B351" w14:textId="77777777" w:rsidR="00AA7E79" w:rsidRPr="00F35AF9" w:rsidRDefault="00AA7E79" w:rsidP="00AA7E79">
      <w:pPr>
        <w:pStyle w:val="ParaNum"/>
        <w:widowControl/>
        <w:spacing w:line="276" w:lineRule="auto"/>
      </w:pPr>
      <w:r w:rsidRPr="00F35AF9">
        <w:t>For the purposes of this Consent Decree, the following definitions shall apply:</w:t>
      </w:r>
    </w:p>
    <w:p w14:paraId="6AD02EBF" w14:textId="77777777" w:rsidR="00AA7E79" w:rsidRPr="00F35AF9" w:rsidRDefault="00AA7E79" w:rsidP="00AA7E79">
      <w:pPr>
        <w:widowControl/>
        <w:numPr>
          <w:ilvl w:val="0"/>
          <w:numId w:val="5"/>
        </w:numPr>
        <w:tabs>
          <w:tab w:val="clear" w:pos="1224"/>
        </w:tabs>
        <w:spacing w:after="120" w:line="276" w:lineRule="auto"/>
        <w:ind w:left="1890"/>
      </w:pPr>
      <w:r w:rsidRPr="00F35AF9">
        <w:t>“Act”</w:t>
      </w:r>
      <w:r w:rsidRPr="00F35AF9">
        <w:rPr>
          <w:rStyle w:val="ParanumChar0"/>
        </w:rPr>
        <w:t xml:space="preserve"> </w:t>
      </w:r>
      <w:r w:rsidRPr="00F35AF9">
        <w:t>means the Communications Act of 1934, as amended.</w:t>
      </w:r>
      <w:r w:rsidRPr="00F35AF9">
        <w:rPr>
          <w:rStyle w:val="FootnoteReference"/>
          <w:sz w:val="22"/>
        </w:rPr>
        <w:footnoteReference w:id="10"/>
      </w:r>
    </w:p>
    <w:p w14:paraId="4F9E4D32" w14:textId="77777777" w:rsidR="00AA7E79" w:rsidRPr="00F35AF9" w:rsidRDefault="00AA7E79" w:rsidP="00AA7E79">
      <w:pPr>
        <w:widowControl/>
        <w:numPr>
          <w:ilvl w:val="0"/>
          <w:numId w:val="5"/>
        </w:numPr>
        <w:tabs>
          <w:tab w:val="clear" w:pos="1224"/>
        </w:tabs>
        <w:spacing w:after="120" w:line="276" w:lineRule="auto"/>
        <w:ind w:left="1890"/>
      </w:pPr>
      <w:r w:rsidRPr="00F35AF9">
        <w:t>“Adopting Order” means an order of the Bureau adopting the terms of this Consent Decree without change, addition, deletion, or modification.</w:t>
      </w:r>
    </w:p>
    <w:p w14:paraId="07046217" w14:textId="77777777" w:rsidR="00AA7E79" w:rsidRPr="00F35AF9" w:rsidRDefault="00AA7E79" w:rsidP="00AA7E79">
      <w:pPr>
        <w:widowControl/>
        <w:numPr>
          <w:ilvl w:val="0"/>
          <w:numId w:val="5"/>
        </w:numPr>
        <w:tabs>
          <w:tab w:val="clear" w:pos="1224"/>
        </w:tabs>
        <w:spacing w:after="120" w:line="276" w:lineRule="auto"/>
        <w:ind w:left="1890"/>
      </w:pPr>
      <w:r w:rsidRPr="00F35AF9">
        <w:t>“Alascom” means Alascom, Inc. and its subsidiaries, predecessors-in-interest, and successors-in-interest.</w:t>
      </w:r>
    </w:p>
    <w:p w14:paraId="4E33C78C" w14:textId="77777777" w:rsidR="00AA7E79" w:rsidRPr="00F35AF9" w:rsidRDefault="00AA7E79" w:rsidP="00AA7E79">
      <w:pPr>
        <w:widowControl/>
        <w:numPr>
          <w:ilvl w:val="0"/>
          <w:numId w:val="5"/>
        </w:numPr>
        <w:tabs>
          <w:tab w:val="clear" w:pos="1224"/>
        </w:tabs>
        <w:spacing w:after="120" w:line="276" w:lineRule="auto"/>
        <w:ind w:left="1890"/>
      </w:pPr>
      <w:r w:rsidRPr="00F35AF9">
        <w:t>“Bureau” means the Enforcement Bureau of the Federal Communications Commission.</w:t>
      </w:r>
    </w:p>
    <w:p w14:paraId="337B32BB" w14:textId="77777777" w:rsidR="00AA7E79" w:rsidRPr="00F35AF9" w:rsidRDefault="00AA7E79" w:rsidP="00AA7E79">
      <w:pPr>
        <w:widowControl/>
        <w:numPr>
          <w:ilvl w:val="0"/>
          <w:numId w:val="5"/>
        </w:numPr>
        <w:tabs>
          <w:tab w:val="clear" w:pos="1224"/>
        </w:tabs>
        <w:spacing w:after="120" w:line="276" w:lineRule="auto"/>
        <w:ind w:left="1890"/>
      </w:pPr>
      <w:r w:rsidRPr="00F35AF9">
        <w:t>“Commission” and “FCC” mean the Federal Communications Commission and all of its bureaus and offices.</w:t>
      </w:r>
    </w:p>
    <w:p w14:paraId="185606DA" w14:textId="77777777" w:rsidR="00AA7E79" w:rsidRPr="00F35AF9" w:rsidRDefault="00AA7E79" w:rsidP="00AA7E79">
      <w:pPr>
        <w:widowControl/>
        <w:numPr>
          <w:ilvl w:val="0"/>
          <w:numId w:val="5"/>
        </w:numPr>
        <w:tabs>
          <w:tab w:val="clear" w:pos="1224"/>
        </w:tabs>
        <w:spacing w:after="120" w:line="276" w:lineRule="auto"/>
        <w:ind w:left="1890"/>
      </w:pPr>
      <w:r w:rsidRPr="00F35AF9">
        <w:t>“Communications Laws” means collectively, the Act, the Rules, and the published and promulgated orders and decisions of the Commission to which Alascom is subject by virtue of its business activities, including but not limited to the Licensing Rules.</w:t>
      </w:r>
    </w:p>
    <w:p w14:paraId="3751A7A5" w14:textId="77777777" w:rsidR="00AA7E79" w:rsidRPr="00F35AF9" w:rsidRDefault="00AA7E79" w:rsidP="00AA7E79">
      <w:pPr>
        <w:widowControl/>
        <w:numPr>
          <w:ilvl w:val="0"/>
          <w:numId w:val="5"/>
        </w:numPr>
        <w:tabs>
          <w:tab w:val="clear" w:pos="1224"/>
        </w:tabs>
        <w:spacing w:after="120" w:line="276" w:lineRule="auto"/>
        <w:ind w:left="1890"/>
      </w:pPr>
      <w:r w:rsidRPr="00F35AF9">
        <w:t>“Compliance Plan” means the compliance obligations, program, and procedures described in this Consent Decree at paragraph 11.</w:t>
      </w:r>
    </w:p>
    <w:p w14:paraId="52994599" w14:textId="77777777" w:rsidR="00AA7E79" w:rsidRPr="00F35AF9" w:rsidRDefault="00AA7E79" w:rsidP="00AA7E79">
      <w:pPr>
        <w:widowControl/>
        <w:numPr>
          <w:ilvl w:val="0"/>
          <w:numId w:val="5"/>
        </w:numPr>
        <w:tabs>
          <w:tab w:val="clear" w:pos="1224"/>
        </w:tabs>
        <w:spacing w:after="120" w:line="276" w:lineRule="auto"/>
        <w:ind w:left="1890"/>
      </w:pPr>
      <w:r w:rsidRPr="00F35AF9">
        <w:t>“Covered Employees” means all employees and agents of Alascom and its affiliates who perform, or supervise, oversee, or manage the performance of, duties that relate to Alascom’s responsibilities under the Communications Laws, including the Licensing Rules.</w:t>
      </w:r>
    </w:p>
    <w:p w14:paraId="5D0FE48F" w14:textId="77777777" w:rsidR="00AA7E79" w:rsidRPr="00F35AF9" w:rsidRDefault="00AA7E79" w:rsidP="00AA7E79">
      <w:pPr>
        <w:widowControl/>
        <w:numPr>
          <w:ilvl w:val="0"/>
          <w:numId w:val="5"/>
        </w:numPr>
        <w:tabs>
          <w:tab w:val="clear" w:pos="1224"/>
        </w:tabs>
        <w:spacing w:after="120" w:line="276" w:lineRule="auto"/>
        <w:ind w:left="1886"/>
      </w:pPr>
      <w:r w:rsidRPr="00F35AF9">
        <w:t>“Effective Date” means the date by which both the Bureau and Alascom have signed the Consent Decree.</w:t>
      </w:r>
    </w:p>
    <w:p w14:paraId="45C023F5" w14:textId="77777777" w:rsidR="00AA7E79" w:rsidRPr="00F35AF9" w:rsidRDefault="00AA7E79" w:rsidP="00AA7E79">
      <w:pPr>
        <w:widowControl/>
        <w:numPr>
          <w:ilvl w:val="0"/>
          <w:numId w:val="5"/>
        </w:numPr>
        <w:tabs>
          <w:tab w:val="clear" w:pos="1224"/>
        </w:tabs>
        <w:spacing w:after="120" w:line="276" w:lineRule="auto"/>
        <w:ind w:left="1890"/>
      </w:pPr>
      <w:r w:rsidRPr="00F35AF9">
        <w:t>“Investigation” means the investigation commenced by the Bureau in FILE No. EB-SED-16-00020553</w:t>
      </w:r>
      <w:r w:rsidRPr="00F35AF9">
        <w:rPr>
          <w:rStyle w:val="FootnoteReference"/>
          <w:color w:val="000000" w:themeColor="text1"/>
          <w:spacing w:val="-2"/>
          <w:sz w:val="22"/>
        </w:rPr>
        <w:footnoteReference w:id="11"/>
      </w:r>
      <w:r w:rsidRPr="00F35AF9">
        <w:t xml:space="preserve"> regarding whether Alascom violated the Licensing Rules.</w:t>
      </w:r>
    </w:p>
    <w:p w14:paraId="773037F5" w14:textId="77777777" w:rsidR="00AA7E79" w:rsidRPr="00F35AF9" w:rsidRDefault="00AA7E79" w:rsidP="00AA7E79">
      <w:pPr>
        <w:widowControl/>
        <w:numPr>
          <w:ilvl w:val="0"/>
          <w:numId w:val="5"/>
        </w:numPr>
        <w:tabs>
          <w:tab w:val="clear" w:pos="1224"/>
        </w:tabs>
        <w:spacing w:after="120" w:line="276" w:lineRule="auto"/>
        <w:ind w:left="1890"/>
      </w:pPr>
      <w:r w:rsidRPr="00F35AF9">
        <w:t>“Licensing Rules” means Section 301 of the Communications Act of 1934, as amended, and Sections 1.903(a) and 1.947(a) of the Commission’s rules and other provisions of the Act, the Rules, and Commission orders that prohibit the use or operation of a wireless radio station in a manner inconsistent with its licensed parameters.</w:t>
      </w:r>
    </w:p>
    <w:p w14:paraId="0FDF9690" w14:textId="77777777" w:rsidR="00AA7E79" w:rsidRPr="00F35AF9" w:rsidRDefault="00AA7E79" w:rsidP="00AA7E79">
      <w:pPr>
        <w:widowControl/>
        <w:numPr>
          <w:ilvl w:val="0"/>
          <w:numId w:val="5"/>
        </w:numPr>
        <w:tabs>
          <w:tab w:val="clear" w:pos="1224"/>
        </w:tabs>
        <w:spacing w:after="120" w:line="276" w:lineRule="auto"/>
        <w:ind w:left="1890"/>
      </w:pPr>
      <w:r w:rsidRPr="00F35AF9">
        <w:t>“Operating Procedures” means the standard internal operating procedures and compliance policies established by Alascom or its parent company to implement the Compliance Plan.</w:t>
      </w:r>
    </w:p>
    <w:p w14:paraId="0F9FBCCD" w14:textId="77777777" w:rsidR="00AA7E79" w:rsidRPr="00F35AF9" w:rsidRDefault="00AA7E79" w:rsidP="00AA7E79">
      <w:pPr>
        <w:widowControl/>
        <w:numPr>
          <w:ilvl w:val="0"/>
          <w:numId w:val="5"/>
        </w:numPr>
        <w:tabs>
          <w:tab w:val="clear" w:pos="1224"/>
        </w:tabs>
        <w:spacing w:after="120" w:line="276" w:lineRule="auto"/>
        <w:ind w:left="1890"/>
      </w:pPr>
      <w:r w:rsidRPr="00F35AF9">
        <w:t>“Parties” means Alascom and the Bureau, each of which is a “Party.”</w:t>
      </w:r>
    </w:p>
    <w:p w14:paraId="7E1AB792" w14:textId="77777777" w:rsidR="00AA7E79" w:rsidRPr="00F35AF9" w:rsidRDefault="00AA7E79" w:rsidP="00AA7E79">
      <w:pPr>
        <w:widowControl/>
        <w:numPr>
          <w:ilvl w:val="0"/>
          <w:numId w:val="5"/>
        </w:numPr>
        <w:tabs>
          <w:tab w:val="clear" w:pos="1224"/>
        </w:tabs>
        <w:spacing w:after="120" w:line="276" w:lineRule="auto"/>
        <w:ind w:left="1890"/>
      </w:pPr>
      <w:r w:rsidRPr="00F35AF9">
        <w:t>“Rules” means the Commission’s regulations found in Title 47 of the Code of Federal Regulations.</w:t>
      </w:r>
    </w:p>
    <w:p w14:paraId="62015798" w14:textId="77777777" w:rsidR="00AA7E79" w:rsidRPr="00F35AF9" w:rsidRDefault="00AA7E79" w:rsidP="00AA7E79">
      <w:pPr>
        <w:pStyle w:val="Heading1"/>
        <w:widowControl/>
        <w:spacing w:line="276" w:lineRule="auto"/>
        <w:rPr>
          <w:rFonts w:ascii="Times New Roman" w:hAnsi="Times New Roman"/>
        </w:rPr>
      </w:pPr>
      <w:r w:rsidRPr="00F35AF9">
        <w:rPr>
          <w:rFonts w:ascii="Times New Roman" w:hAnsi="Times New Roman"/>
          <w:i/>
        </w:rPr>
        <w:t xml:space="preserve"> </w:t>
      </w:r>
      <w:r w:rsidRPr="00F35AF9">
        <w:rPr>
          <w:rFonts w:ascii="Times New Roman" w:hAnsi="Times New Roman"/>
        </w:rPr>
        <w:t>BACKGROUND</w:t>
      </w:r>
    </w:p>
    <w:p w14:paraId="688A5049" w14:textId="77777777" w:rsidR="00AA7E79" w:rsidRPr="00F35AF9" w:rsidRDefault="00AA7E79" w:rsidP="00AA7E79">
      <w:pPr>
        <w:pStyle w:val="ParaNum"/>
        <w:widowControl/>
      </w:pPr>
      <w:r w:rsidRPr="00F35AF9">
        <w:t>Section 301 of the Act and Section 1.903(a) of the Commission’s rules prohibit the use or operation of any apparatus for the transmission of energy or communications or signals by radio except under, and in accordance with, a Commission-granted authorization.</w:t>
      </w:r>
      <w:r w:rsidRPr="00F35AF9">
        <w:rPr>
          <w:rStyle w:val="FootnoteReference"/>
          <w:sz w:val="22"/>
        </w:rPr>
        <w:footnoteReference w:id="12"/>
      </w:r>
      <w:r w:rsidRPr="00F35AF9">
        <w:t xml:space="preserve">  Section 1.947(a) of the Commission’s rules states that all “major modifications” to wireless radio service stations require prior Commission approval.</w:t>
      </w:r>
      <w:r w:rsidRPr="00F35AF9">
        <w:rPr>
          <w:rStyle w:val="FootnoteReference"/>
          <w:sz w:val="22"/>
        </w:rPr>
        <w:footnoteReference w:id="13"/>
      </w:r>
      <w:r w:rsidRPr="00F35AF9">
        <w:t xml:space="preserve">  Section 1.929(d) of the Commission’s rules sets forth the types of modifications that are considered major, such as any substantial change in ownership or control, changes that require frequency coordination, and the addition of a frequency for which a licensee is not currently authorized.</w:t>
      </w:r>
      <w:r w:rsidRPr="00F35AF9">
        <w:rPr>
          <w:rStyle w:val="FootnoteReference"/>
          <w:sz w:val="22"/>
        </w:rPr>
        <w:footnoteReference w:id="14"/>
      </w:r>
      <w:r w:rsidRPr="00F35AF9">
        <w:t xml:space="preserve">  Failure to receive prior Commission approval for major modifications to station operations constitutes unauthorized operations under the Act and the Commission’s rules.</w:t>
      </w:r>
      <w:r w:rsidRPr="00F35AF9">
        <w:rPr>
          <w:rStyle w:val="FootnoteReference"/>
          <w:sz w:val="22"/>
        </w:rPr>
        <w:footnoteReference w:id="15"/>
      </w:r>
      <w:r w:rsidRPr="00F35AF9">
        <w:t xml:space="preserve">  </w:t>
      </w:r>
    </w:p>
    <w:p w14:paraId="1D36FA35" w14:textId="77777777" w:rsidR="00AA7E79" w:rsidRPr="00F35AF9" w:rsidRDefault="00AA7E79" w:rsidP="00AA7E79">
      <w:pPr>
        <w:pStyle w:val="ParaNum"/>
        <w:widowControl/>
        <w:rPr>
          <w:spacing w:val="-2"/>
        </w:rPr>
      </w:pPr>
      <w:r w:rsidRPr="00F35AF9">
        <w:t>In May 2015, the Wireless Telecommunications Bureau referred to the Enforcement Bureau for investigation and possible enforcement action whether Alascom was operating common carrier fixed point-to-point microwave stations WGF63, WHA411, and WOE44 on unauthorized frequencies.  The Enforcement Bureau sent a Letter of Inquiry (LOI) to Alascom on September 2, 2015, regarding possible violations associated with Alascom’s operation of stations WGF63, WHA411, and WOE33.</w:t>
      </w:r>
      <w:r w:rsidRPr="00F35AF9">
        <w:rPr>
          <w:rStyle w:val="FootnoteReference"/>
          <w:sz w:val="22"/>
        </w:rPr>
        <w:footnoteReference w:id="16"/>
      </w:r>
      <w:r w:rsidRPr="00F35AF9">
        <w:t xml:space="preserve">  Alascom responded on October 2, 2015.</w:t>
      </w:r>
      <w:bookmarkStart w:id="1" w:name="_Ref405559045"/>
      <w:r w:rsidRPr="00F35AF9">
        <w:rPr>
          <w:rStyle w:val="FootnoteReference"/>
          <w:sz w:val="22"/>
        </w:rPr>
        <w:footnoteReference w:id="17"/>
      </w:r>
      <w:bookmarkEnd w:id="1"/>
      <w:r w:rsidRPr="00F35AF9">
        <w:t xml:space="preserve">  In its LOI Response, Alascom states that it operated stations WGF63, WHA411, and WOE33 on frequencies other than those authorized.</w:t>
      </w:r>
      <w:r w:rsidRPr="00F35AF9">
        <w:rPr>
          <w:rStyle w:val="FootnoteReference"/>
          <w:sz w:val="22"/>
        </w:rPr>
        <w:footnoteReference w:id="18"/>
      </w:r>
      <w:r w:rsidRPr="00F35AF9">
        <w:t xml:space="preserve">  Specifically, Alascom explains that it “replaced the microwave system” at each station on April 3, 2014</w:t>
      </w:r>
      <w:r w:rsidRPr="00907859">
        <w:t>,</w:t>
      </w:r>
      <w:r w:rsidRPr="00F35AF9">
        <w:t xml:space="preserve"> and completed frequency coordination, but did not file the necessary modification applications seeking authority to operate on the new frequencies.</w:t>
      </w:r>
      <w:r w:rsidRPr="00F35AF9">
        <w:rPr>
          <w:rStyle w:val="FootnoteReference"/>
          <w:sz w:val="22"/>
        </w:rPr>
        <w:footnoteReference w:id="19"/>
      </w:r>
      <w:r w:rsidRPr="00F35AF9">
        <w:t xml:space="preserve"> </w:t>
      </w:r>
    </w:p>
    <w:p w14:paraId="61297621" w14:textId="77777777" w:rsidR="00AA7E79" w:rsidRPr="00F35AF9" w:rsidRDefault="00AA7E79" w:rsidP="00AA7E79">
      <w:pPr>
        <w:pStyle w:val="ParaNum"/>
        <w:widowControl/>
        <w:rPr>
          <w:spacing w:val="-2"/>
        </w:rPr>
      </w:pPr>
      <w:r w:rsidRPr="00F35AF9">
        <w:t>Beginning January 2015, Alascom implemented a formal license review process that had been developed by AT&amp;T Corp.’s</w:t>
      </w:r>
      <w:r>
        <w:t xml:space="preserve"> </w:t>
      </w:r>
      <w:r w:rsidRPr="00F35AF9">
        <w:t>Regulatory Compliance Team.</w:t>
      </w:r>
      <w:r w:rsidRPr="00F35AF9">
        <w:rPr>
          <w:rStyle w:val="FootnoteReference"/>
          <w:sz w:val="22"/>
        </w:rPr>
        <w:footnoteReference w:id="20"/>
      </w:r>
      <w:r w:rsidRPr="00F35AF9">
        <w:t xml:space="preserve">  During this review process, Alascom discovered that it was operating stations WGF63, WHA411, and WOE33 on unauthorized frequencies.  Alascom subsequently filed three applications for special temporary authority </w:t>
      </w:r>
      <w:r w:rsidRPr="00907859">
        <w:t xml:space="preserve">(STA) </w:t>
      </w:r>
      <w:r w:rsidRPr="00F35AF9">
        <w:t>with the Wireless Telecommunications Bureau,</w:t>
      </w:r>
      <w:r w:rsidRPr="00F35AF9">
        <w:rPr>
          <w:rStyle w:val="FootnoteReference"/>
          <w:sz w:val="22"/>
        </w:rPr>
        <w:footnoteReference w:id="21"/>
      </w:r>
      <w:r w:rsidRPr="00F35AF9">
        <w:t xml:space="preserve"> which was the first step needed to begin bringing the stations into compliance.  </w:t>
      </w:r>
      <w:r w:rsidRPr="00907859">
        <w:t>Th</w:t>
      </w:r>
      <w:r w:rsidRPr="00F35AF9">
        <w:t>e Wireless Telecommunications Bureau granted the STA applications</w:t>
      </w:r>
      <w:r w:rsidRPr="00F35AF9">
        <w:rPr>
          <w:rStyle w:val="FootnoteReference"/>
          <w:sz w:val="22"/>
        </w:rPr>
        <w:footnoteReference w:id="22"/>
      </w:r>
      <w:r w:rsidRPr="00F35AF9">
        <w:t xml:space="preserve"> and Alascom then filed applications for permanent authority to operate on the relevant frequencies.</w:t>
      </w:r>
      <w:r w:rsidRPr="00F35AF9">
        <w:rPr>
          <w:rStyle w:val="FootnoteReference"/>
          <w:sz w:val="22"/>
        </w:rPr>
        <w:footnoteReference w:id="23"/>
      </w:r>
      <w:r w:rsidRPr="00F35AF9">
        <w:t xml:space="preserve">  Subsequently, Alascom and the Bureau engaged in settlement negotiations.  The Bureau and Alascom agree to the following terms and conditions of settlement and hereby enter into this Consent Decree as provided herein.</w:t>
      </w:r>
    </w:p>
    <w:p w14:paraId="0EA5B6A5" w14:textId="77777777" w:rsidR="00AA7E79" w:rsidRPr="00F35AF9" w:rsidRDefault="00AA7E79" w:rsidP="00AA7E79">
      <w:pPr>
        <w:pStyle w:val="Heading1"/>
        <w:widowControl/>
        <w:spacing w:line="276" w:lineRule="auto"/>
        <w:rPr>
          <w:rFonts w:ascii="Times New Roman" w:hAnsi="Times New Roman"/>
          <w:b w:val="0"/>
        </w:rPr>
      </w:pPr>
      <w:bookmarkStart w:id="2" w:name="FN[FN18]"/>
      <w:bookmarkEnd w:id="2"/>
      <w:r w:rsidRPr="00F35AF9">
        <w:rPr>
          <w:rFonts w:ascii="Times New Roman" w:hAnsi="Times New Roman"/>
        </w:rPr>
        <w:t>TERMS OF AGREEMENT</w:t>
      </w:r>
    </w:p>
    <w:p w14:paraId="065C8594" w14:textId="77777777" w:rsidR="00AA7E79" w:rsidRPr="00F35AF9" w:rsidRDefault="00AA7E79" w:rsidP="00AA7E79">
      <w:pPr>
        <w:pStyle w:val="ParaNum"/>
        <w:widowControl/>
      </w:pPr>
      <w:r w:rsidRPr="00F35AF9">
        <w:rPr>
          <w:b/>
          <w:u w:val="single"/>
        </w:rPr>
        <w:t>Adopting Order</w:t>
      </w:r>
      <w:r w:rsidRPr="00F35AF9">
        <w:t>.  The provisions of this Consent Decree shall be incorporated by the Bureau in an Adopting Order.</w:t>
      </w:r>
    </w:p>
    <w:p w14:paraId="267D23A2" w14:textId="77777777" w:rsidR="00AA7E79" w:rsidRPr="00F35AF9" w:rsidRDefault="00AA7E79" w:rsidP="00AA7E79">
      <w:pPr>
        <w:pStyle w:val="ParaNum"/>
        <w:widowControl/>
      </w:pPr>
      <w:r w:rsidRPr="00F35AF9">
        <w:rPr>
          <w:b/>
          <w:u w:val="single"/>
        </w:rPr>
        <w:t>Jurisdiction</w:t>
      </w:r>
      <w:r w:rsidRPr="00F35AF9">
        <w:t>.  Alascom agrees that the Bureau has jurisdiction over it and the matters contained in this Consent Decree and has the authority to enter into and adopt this Consent Decree.</w:t>
      </w:r>
    </w:p>
    <w:p w14:paraId="29CCBF6A" w14:textId="77777777" w:rsidR="00AA7E79" w:rsidRPr="00F35AF9" w:rsidRDefault="00AA7E79" w:rsidP="00AA7E79">
      <w:pPr>
        <w:pStyle w:val="ParaNum"/>
        <w:widowControl/>
      </w:pPr>
      <w:r w:rsidRPr="00F35AF9">
        <w:rPr>
          <w:b/>
          <w:u w:val="single"/>
        </w:rPr>
        <w:t>Effective Date; Violations</w:t>
      </w:r>
      <w:r w:rsidRPr="00F35AF9">
        <w:t xml:space="preserve">.  The Parties agree that this Consent Decree shall become effective on the Effective Date as defined herein.  As of the Effective Date, the Parties agree that this Consent Decree shall have the same force and effect as any other order of the Commission.  </w:t>
      </w:r>
    </w:p>
    <w:p w14:paraId="2ED81CE0" w14:textId="77777777" w:rsidR="00AA7E79" w:rsidRPr="00F35AF9" w:rsidRDefault="00AA7E79" w:rsidP="00AA7E79">
      <w:pPr>
        <w:pStyle w:val="ParaNum"/>
        <w:widowControl/>
      </w:pPr>
      <w:r w:rsidRPr="00F35AF9">
        <w:rPr>
          <w:b/>
          <w:u w:val="single"/>
        </w:rPr>
        <w:t>Termination of Investigation</w:t>
      </w:r>
      <w:r w:rsidRPr="00F35AF9">
        <w:t>.  In express reliance on the covenants and representations in this Consent Decree and to avoid further expenditure of public resources, the Bureau agrees to terminate the Investigation.  In consideration for the termination of the Investigation, Alascom 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Alascom 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Alascom’s basic qualifications to be a Commission licensee or hold Commission licenses or authorizations.</w:t>
      </w:r>
      <w:r w:rsidRPr="00F35AF9">
        <w:rPr>
          <w:rStyle w:val="FootnoteReference"/>
          <w:sz w:val="22"/>
        </w:rPr>
        <w:footnoteReference w:id="24"/>
      </w:r>
    </w:p>
    <w:p w14:paraId="33D88F46" w14:textId="77777777" w:rsidR="00AA7E79" w:rsidRPr="00F35AF9" w:rsidRDefault="00AA7E79" w:rsidP="00AA7E79">
      <w:pPr>
        <w:pStyle w:val="ParaNum"/>
        <w:widowControl/>
        <w:rPr>
          <w:i/>
        </w:rPr>
      </w:pPr>
      <w:r w:rsidRPr="00F35AF9">
        <w:rPr>
          <w:b/>
          <w:u w:val="single"/>
        </w:rPr>
        <w:t>Admission of Liability</w:t>
      </w:r>
      <w:r w:rsidRPr="00F35AF9">
        <w:t>.  Alascom admits for the purpose of this Consent Decree and for Commission civil enforcement purposes, and in express reliance on the provisions of paragraph 8 herein, that its actions that were the subject of the</w:t>
      </w:r>
      <w:r w:rsidRPr="00F35AF9">
        <w:rPr>
          <w:i/>
        </w:rPr>
        <w:t xml:space="preserve"> </w:t>
      </w:r>
      <w:r w:rsidRPr="00F35AF9">
        <w:t>Investigation violated the Licensing Rules.</w:t>
      </w:r>
    </w:p>
    <w:p w14:paraId="15FD385D" w14:textId="77777777" w:rsidR="00AA7E79" w:rsidRPr="00F35AF9" w:rsidRDefault="00AA7E79" w:rsidP="00AA7E79">
      <w:pPr>
        <w:pStyle w:val="ParaNum"/>
        <w:widowControl/>
      </w:pPr>
      <w:bookmarkStart w:id="3" w:name="_Ref379202869"/>
      <w:r w:rsidRPr="00F35AF9">
        <w:rPr>
          <w:b/>
          <w:u w:val="single"/>
        </w:rPr>
        <w:t>Compliance Officer</w:t>
      </w:r>
      <w:r w:rsidRPr="00F35AF9">
        <w:t>.  Within thirty (30) calendar days after the Effective Date, Alascom 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Alascom complies with the terms and conditions of the Compliance Plan and this Consent Decree.  In addition to the general knowledge of the Communications Laws necessary to discharge his or her duties under this Consent Decree, the Compliance Officer shall have specific knowledge of the Licensing Rules prior to assuming his/her duties</w:t>
      </w:r>
      <w:r w:rsidRPr="00F35AF9">
        <w:rPr>
          <w:color w:val="000000" w:themeColor="text1"/>
        </w:rPr>
        <w:t>.  The Compliance Officer may use the resources of legal counsel, and/or of managers reporting to Compliance Office of its parent company to aid the Compliance Officer in the discharge of his/her duties under this Consent Decree.</w:t>
      </w:r>
      <w:bookmarkEnd w:id="3"/>
    </w:p>
    <w:p w14:paraId="2E6809A6" w14:textId="77777777" w:rsidR="00AA7E79" w:rsidRPr="00F35AF9" w:rsidRDefault="00AA7E79" w:rsidP="00AA7E79">
      <w:pPr>
        <w:pStyle w:val="ParaNum"/>
        <w:widowControl/>
      </w:pPr>
      <w:bookmarkStart w:id="4" w:name="_Ref357521857"/>
      <w:r w:rsidRPr="00F35AF9">
        <w:rPr>
          <w:b/>
          <w:u w:val="single"/>
        </w:rPr>
        <w:t>Compliance Plan</w:t>
      </w:r>
      <w:r w:rsidRPr="00F35AF9">
        <w:t>.  For purposes of settling the matters set forth herein, Alascom agrees that it shall, within sixty (60) calendar days after the Effective Date, develop and implement a Compliance Plan designed to ensure future compliance with the Communications Laws and with the terms and conditions of this Consent Decree.</w:t>
      </w:r>
      <w:r>
        <w:rPr>
          <w:rStyle w:val="FootnoteReference"/>
        </w:rPr>
        <w:footnoteReference w:id="25"/>
      </w:r>
      <w:r w:rsidRPr="00F35AF9">
        <w:t xml:space="preserve">  With respect to the Licensing Rules, Alascom will implement, at a minimum, the following procedures:</w:t>
      </w:r>
      <w:bookmarkEnd w:id="4"/>
    </w:p>
    <w:p w14:paraId="6846F22E" w14:textId="77777777" w:rsidR="00AA7E79" w:rsidRPr="00F35AF9" w:rsidRDefault="00AA7E79" w:rsidP="00AA7E79">
      <w:pPr>
        <w:widowControl/>
        <w:numPr>
          <w:ilvl w:val="0"/>
          <w:numId w:val="6"/>
        </w:numPr>
        <w:tabs>
          <w:tab w:val="clear" w:pos="5976"/>
        </w:tabs>
        <w:spacing w:after="120"/>
        <w:ind w:left="1886"/>
      </w:pPr>
      <w:r w:rsidRPr="00F35AF9">
        <w:rPr>
          <w:b/>
          <w:u w:val="single"/>
        </w:rPr>
        <w:t>Operating Procedures</w:t>
      </w:r>
      <w:r w:rsidRPr="00F35AF9">
        <w:t xml:space="preserve">.  Within sixty (60) calendar days after the Effective Date, Alascom shall establish Operating Procedures that all Covered Employees must follow to help ensure Alascom’s compliance with the Licensing Rules.  Alascom’s Operating Procedures shall include internal procedures and policies specifically designed to ensure that it operates its radio stations in accordance with their authorized parameters.     </w:t>
      </w:r>
    </w:p>
    <w:p w14:paraId="04C5B67E" w14:textId="77777777" w:rsidR="00AA7E79" w:rsidRPr="00F35AF9" w:rsidRDefault="00AA7E79" w:rsidP="00AA7E79">
      <w:pPr>
        <w:widowControl/>
        <w:numPr>
          <w:ilvl w:val="0"/>
          <w:numId w:val="6"/>
        </w:numPr>
        <w:tabs>
          <w:tab w:val="clear" w:pos="5976"/>
        </w:tabs>
        <w:spacing w:after="120"/>
        <w:ind w:left="1886"/>
      </w:pPr>
      <w:r w:rsidRPr="00F35AF9">
        <w:rPr>
          <w:b/>
          <w:u w:val="single"/>
        </w:rPr>
        <w:t>Compliance Manual</w:t>
      </w:r>
      <w:r w:rsidRPr="00F35AF9">
        <w:t>.</w:t>
      </w:r>
      <w:r w:rsidRPr="00F35AF9">
        <w:rPr>
          <w:rStyle w:val="FootnoteReference"/>
          <w:sz w:val="22"/>
        </w:rPr>
        <w:footnoteReference w:id="26"/>
      </w:r>
      <w:r w:rsidRPr="00F35AF9">
        <w:t xml:space="preserve">  Within sixty (60) calendar days after the Effective Date, the Compliance Officer shall develop and distribute a Compliance Manual to all Covered Employees.  The Compliance Manual shall explain the Licensing Rules and set forth the Operating Procedures that Covered Employees shall follow to help ensure Alascom’s compliance with the Licensing Rules.  Alascom shall periodically review and revise the Compliance Manual as necessary to ensure that the information set forth therein remains current and accurate.  Alascom shall distribute any revisions to the Compliance Manual promptly to all Covered Employees.</w:t>
      </w:r>
    </w:p>
    <w:p w14:paraId="2FF6A2D7" w14:textId="77777777" w:rsidR="00AA7E79" w:rsidRPr="00F35AF9" w:rsidRDefault="00AA7E79" w:rsidP="00AA7E79">
      <w:pPr>
        <w:widowControl/>
        <w:numPr>
          <w:ilvl w:val="0"/>
          <w:numId w:val="6"/>
        </w:numPr>
        <w:tabs>
          <w:tab w:val="clear" w:pos="5976"/>
        </w:tabs>
        <w:spacing w:after="120"/>
        <w:ind w:left="1886"/>
      </w:pPr>
      <w:r w:rsidRPr="00F35AF9">
        <w:rPr>
          <w:b/>
          <w:u w:val="single"/>
        </w:rPr>
        <w:t>Compliance Training Program</w:t>
      </w:r>
      <w:r w:rsidRPr="00F35AF9">
        <w:t>.  Alascom shall establish and implement a Compliance Training Program on compliance with the Licensing Rules and the Operating Procedures.  As part of the Compliance Training Program, Covered Employees shall be advised of Alascom’s obligation to report any noncompliance with the Licensing Rules under paragraph 12 of this Consent Decree and shall be instructed on how to disclose noncompliance to the Compliance Officer.  All Covered Employees shall be trained pursuant to the Compliance Training Program within ninety (90) calendar days after the Effective Date, except that any person who becomes a Covered Employee at any time after the initial Compliance Training Program shall be trained within thirty (30) calendar days after the date such person becomes a Covered Employee.  Alascom shall repeat compliance training on an annual basis, and shall periodically review and revise the Compliance Training Program as necessary to ensure that it remains current and complete and to enhance its effectiveness.</w:t>
      </w:r>
    </w:p>
    <w:p w14:paraId="23D1EC3F" w14:textId="77777777" w:rsidR="00AA7E79" w:rsidRPr="00F35AF9" w:rsidRDefault="00AA7E79" w:rsidP="00AA7E79">
      <w:pPr>
        <w:pStyle w:val="ParaNum"/>
        <w:widowControl/>
      </w:pPr>
      <w:bookmarkStart w:id="5" w:name="_Ref321323028"/>
      <w:r w:rsidRPr="00F35AF9">
        <w:rPr>
          <w:b/>
          <w:u w:val="single"/>
        </w:rPr>
        <w:t>Reporting Noncompliance</w:t>
      </w:r>
      <w:r w:rsidRPr="00F35AF9">
        <w:t>.  Alascom shall report any noncompliance with the</w:t>
      </w:r>
      <w:r w:rsidRPr="00F35AF9">
        <w:rPr>
          <w:color w:val="000000" w:themeColor="text1"/>
        </w:rPr>
        <w:t xml:space="preserve"> </w:t>
      </w:r>
      <w:r w:rsidRPr="00F35AF9">
        <w:t>Licensing Rules and with the terms and conditions of this Consent Decree within fifteen (15) calendar days after discovery of such noncompliance.  Such reports shall include a detailed explanation of:  (i) each instance of noncompliance; (ii) the steps that Alascom has taken or will take to remedy such noncompliance; (iii) the schedule on which such remedial actions will be taken; and (iv) the steps that Alascom has taken or will take to prevent the recurrence of any such noncompliance.  All reports of noncompliance shall be submitted to the Chief, Spectrum Enforcement Division, Enforcement Bureau, Federal Communications Commission, 445 12</w:t>
      </w:r>
      <w:r w:rsidRPr="00F35AF9">
        <w:rPr>
          <w:vertAlign w:val="superscript"/>
        </w:rPr>
        <w:t>th</w:t>
      </w:r>
      <w:r w:rsidRPr="00F35AF9">
        <w:t xml:space="preserve"> Street, SW, Rm. 4C-224, Washington, DC 20554, with copies submitted electronically to Paul Noone at Paul.Noone@fcc.gov and Ricardo Durham at Ricardo.Durham@fcc.gov.</w:t>
      </w:r>
      <w:bookmarkEnd w:id="5"/>
    </w:p>
    <w:p w14:paraId="4760F412" w14:textId="77777777" w:rsidR="00AA7E79" w:rsidRPr="00F35AF9" w:rsidRDefault="00AA7E79" w:rsidP="00AA7E79">
      <w:pPr>
        <w:pStyle w:val="ParaNum"/>
        <w:widowControl/>
        <w:rPr>
          <w:caps/>
        </w:rPr>
      </w:pPr>
      <w:bookmarkStart w:id="6" w:name="_Ref379202892"/>
      <w:r w:rsidRPr="00F35AF9">
        <w:rPr>
          <w:b/>
          <w:u w:val="single"/>
        </w:rPr>
        <w:t>Compliance Reports</w:t>
      </w:r>
      <w:r w:rsidRPr="00F35AF9">
        <w:t>.  Alascom shall file compliance reports with the Commission ninety (90) calendar days after the Effective Date, twelve (12) months after the Effective Date, twenty-four (24) months after the Effective Date, and thirty-six (36) months after the Effective Date.</w:t>
      </w:r>
      <w:bookmarkEnd w:id="6"/>
    </w:p>
    <w:p w14:paraId="6D801F71" w14:textId="77777777" w:rsidR="00AA7E79" w:rsidRPr="00F35AF9" w:rsidRDefault="00AA7E79" w:rsidP="00AA7E79">
      <w:pPr>
        <w:widowControl/>
        <w:numPr>
          <w:ilvl w:val="0"/>
          <w:numId w:val="7"/>
        </w:numPr>
        <w:tabs>
          <w:tab w:val="clear" w:pos="1782"/>
        </w:tabs>
        <w:spacing w:after="120"/>
        <w:ind w:left="1886"/>
      </w:pPr>
      <w:r w:rsidRPr="00F35AF9">
        <w:t>Each Compliance Report shall include a detailed description of Alascom’s efforts during the relevant period to comply with the terms and conditions of this Consent Decree and the Licensing Rules.  In addition, each Compliance Report shall include a certification by the Compliance Officer, as an agent of and on behalf of Alascom, stating that the Compliance Officer has personal knowledge that Alascom: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12 of this Consent Decree.</w:t>
      </w:r>
    </w:p>
    <w:p w14:paraId="67432823" w14:textId="77777777" w:rsidR="00AA7E79" w:rsidRPr="00F35AF9" w:rsidRDefault="00AA7E79" w:rsidP="00AA7E79">
      <w:pPr>
        <w:widowControl/>
        <w:numPr>
          <w:ilvl w:val="0"/>
          <w:numId w:val="7"/>
        </w:numPr>
        <w:tabs>
          <w:tab w:val="clear" w:pos="1782"/>
        </w:tabs>
        <w:spacing w:after="120"/>
        <w:ind w:left="1886"/>
      </w:pPr>
      <w:r w:rsidRPr="00F35AF9">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Pr="00F35AF9">
        <w:rPr>
          <w:rStyle w:val="FootnoteReference"/>
          <w:sz w:val="22"/>
        </w:rPr>
        <w:footnoteReference w:id="27"/>
      </w:r>
    </w:p>
    <w:p w14:paraId="1667AABF" w14:textId="77777777" w:rsidR="00AA7E79" w:rsidRPr="00F35AF9" w:rsidRDefault="00AA7E79" w:rsidP="00AA7E79">
      <w:pPr>
        <w:widowControl/>
        <w:numPr>
          <w:ilvl w:val="0"/>
          <w:numId w:val="7"/>
        </w:numPr>
        <w:tabs>
          <w:tab w:val="clear" w:pos="1782"/>
        </w:tabs>
        <w:spacing w:after="120"/>
        <w:ind w:left="1886"/>
      </w:pPr>
      <w:r w:rsidRPr="00F35AF9">
        <w:t>If the Compliance Officer cannot provide the requisite certification, the Compliance Officer, as an agent of and on behalf of Alascom, shall provide the Commission with a detailed explanation of the reason(s) why and describe fully:  (i) each instance of noncompliance; (ii) the steps that Alascom has taken or will take to remedy such noncompliance, including the schedule on which proposed remedial actions will be taken; and (iii) the steps that Alascom has taken or will take to prevent the recurrence of any such noncompliance, including the schedule on which such preventive action will be taken.</w:t>
      </w:r>
    </w:p>
    <w:p w14:paraId="220E27AC" w14:textId="77777777" w:rsidR="00AA7E79" w:rsidRPr="00F35AF9" w:rsidRDefault="00AA7E79" w:rsidP="00AA7E79">
      <w:pPr>
        <w:widowControl/>
        <w:numPr>
          <w:ilvl w:val="0"/>
          <w:numId w:val="7"/>
        </w:numPr>
        <w:tabs>
          <w:tab w:val="clear" w:pos="1782"/>
        </w:tabs>
        <w:spacing w:after="120"/>
        <w:ind w:left="1886" w:hanging="450"/>
      </w:pPr>
      <w:r w:rsidRPr="00F35AF9">
        <w:t>All Compliance Reports shall be submitted to the Chief, Spectrum Enforcement Division, Enforcement Bureau, Federal Communications Commission, 445 12</w:t>
      </w:r>
      <w:r w:rsidRPr="00F35AF9">
        <w:rPr>
          <w:vertAlign w:val="superscript"/>
        </w:rPr>
        <w:t>th</w:t>
      </w:r>
      <w:r w:rsidRPr="00F35AF9">
        <w:t xml:space="preserve"> Street, SW, Rm. 4C-224, Washington, DC 20554, with copies submitted electronically to Paul Noone at Paul.Noone@fcc.gov and Ricardo Durham at Ricardo.Durham@fcc.gov. </w:t>
      </w:r>
    </w:p>
    <w:p w14:paraId="1414B380" w14:textId="77777777" w:rsidR="00AA7E79" w:rsidRPr="00F35AF9" w:rsidRDefault="00AA7E79" w:rsidP="00AA7E79">
      <w:pPr>
        <w:pStyle w:val="ParaNum"/>
        <w:widowControl/>
      </w:pPr>
      <w:r w:rsidRPr="00F35AF9">
        <w:rPr>
          <w:b/>
          <w:u w:val="single"/>
        </w:rPr>
        <w:t>Termination Date</w:t>
      </w:r>
      <w:r w:rsidRPr="00F35AF9">
        <w:t xml:space="preserve">. </w:t>
      </w:r>
      <w:r w:rsidRPr="00F35AF9">
        <w:rPr>
          <w:b/>
        </w:rPr>
        <w:t xml:space="preserve"> </w:t>
      </w:r>
      <w:r w:rsidRPr="00F35AF9">
        <w:t xml:space="preserve">Unless stated otherwise, the requirements set forth in paragraphs 10 through 13 of this Consent Decree shall expire thirty-six (36) months after the Effective Date.  </w:t>
      </w:r>
    </w:p>
    <w:p w14:paraId="7936E9F2" w14:textId="77777777" w:rsidR="00AA7E79" w:rsidRPr="00F35AF9" w:rsidRDefault="00AA7E79" w:rsidP="00AA7E79">
      <w:pPr>
        <w:pStyle w:val="ParaNum"/>
        <w:widowControl/>
      </w:pPr>
      <w:r w:rsidRPr="00F35AF9">
        <w:rPr>
          <w:b/>
          <w:u w:val="single"/>
        </w:rPr>
        <w:t>Section 208 Complaints; Subsequent Investigations</w:t>
      </w:r>
      <w:r w:rsidRPr="00F35AF9">
        <w:t>.  Nothing in this Consent Decree shall prevent the Commission or its delegated authority from adjudicating complaints filed pursuant to Section 208 of the Act</w:t>
      </w:r>
      <w:r w:rsidRPr="00F35AF9">
        <w:rPr>
          <w:rStyle w:val="FootnoteReference"/>
          <w:sz w:val="22"/>
        </w:rPr>
        <w:footnoteReference w:id="28"/>
      </w:r>
      <w:r w:rsidRPr="00F35AF9">
        <w:t xml:space="preserve"> against Alascom 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Alascom with the Communications Laws. </w:t>
      </w:r>
      <w:r w:rsidRPr="00F35AF9">
        <w:rPr>
          <w:b/>
        </w:rPr>
        <w:t xml:space="preserve"> </w:t>
      </w:r>
    </w:p>
    <w:p w14:paraId="4AB9EED0" w14:textId="77777777" w:rsidR="00AA7E79" w:rsidRPr="00F35AF9" w:rsidRDefault="00AA7E79" w:rsidP="00AA7E79">
      <w:pPr>
        <w:pStyle w:val="ParaNum"/>
        <w:widowControl/>
      </w:pPr>
      <w:bookmarkStart w:id="7" w:name="_Ref357521957"/>
      <w:r w:rsidRPr="00F35AF9">
        <w:rPr>
          <w:b/>
          <w:u w:val="single"/>
        </w:rPr>
        <w:t>Civil Penalty</w:t>
      </w:r>
      <w:r w:rsidRPr="00F35AF9">
        <w:t>.  Alascom will pay a civil penalty to the United States Treasury in the amount of thirty-six thousand dollars ($36,000) within thirty (30) calendar days of the Effective Date.  Alascom shall send electronic notification of payment to Paul Noone at Paul.Noone@fcc.gov, Ricardo Durham at Ricardo.Durham@fcc.gov, and Samantha Peoples at Sam.Peoples@fcc.gov on the date said payment is made.</w:t>
      </w:r>
      <w:bookmarkEnd w:id="7"/>
      <w:r w:rsidRPr="00F35AF9">
        <w:t xml:space="preserve">  The payment must be made by check or similar instrument, wire transfer, or credit card, and must include the Account Number and FRN referenced in the caption of the Adopting Order.  Regardless of the form of payment, a completed FCC Form 159 (Remittance Advice) must be submitted.</w:t>
      </w:r>
      <w:r w:rsidRPr="00F35AF9">
        <w:rPr>
          <w:rStyle w:val="FootnoteReference"/>
          <w:sz w:val="22"/>
        </w:rPr>
        <w:footnoteReference w:id="29"/>
      </w:r>
      <w:r w:rsidRPr="00F35AF9">
        <w:t xml:space="preserve">  When completing the FCC Form 159, enter the Account Number in block number 23A (call sign/other ID) and enter the letters “FORF” in block number 24A (payment type code).  Below are additional instructions that should be followed based on the form of payment selected:</w:t>
      </w:r>
    </w:p>
    <w:p w14:paraId="5A0B6BD1" w14:textId="77777777" w:rsidR="00AA7E79" w:rsidRPr="00F35AF9" w:rsidRDefault="00AA7E79" w:rsidP="00AA7E79">
      <w:pPr>
        <w:pStyle w:val="ParaNum"/>
        <w:widowControl/>
        <w:numPr>
          <w:ilvl w:val="0"/>
          <w:numId w:val="9"/>
        </w:numPr>
        <w:rPr>
          <w:rFonts w:eastAsia="MS Mincho"/>
        </w:rPr>
      </w:pPr>
      <w:r w:rsidRPr="00F35AF9">
        <w:rPr>
          <w:rFonts w:eastAsia="MS Mincho"/>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F35AF9">
        <w:rPr>
          <w:rFonts w:eastAsia="MS Mincho"/>
        </w:rPr>
        <w:noBreakHyphen/>
        <w:t>MO</w:t>
      </w:r>
      <w:r w:rsidRPr="00F35AF9">
        <w:rPr>
          <w:rFonts w:eastAsia="MS Mincho"/>
        </w:rPr>
        <w:noBreakHyphen/>
        <w:t>C2</w:t>
      </w:r>
      <w:r w:rsidRPr="00F35AF9">
        <w:rPr>
          <w:rFonts w:eastAsia="MS Mincho"/>
        </w:rPr>
        <w:noBreakHyphen/>
        <w:t>GL, 1005 Convention Plaza, St. Louis, MO 63101.</w:t>
      </w:r>
    </w:p>
    <w:p w14:paraId="03340AFE" w14:textId="77777777" w:rsidR="00AA7E79" w:rsidRPr="00F35AF9" w:rsidRDefault="00AA7E79" w:rsidP="00AA7E79">
      <w:pPr>
        <w:pStyle w:val="ParaNum"/>
        <w:widowControl/>
        <w:numPr>
          <w:ilvl w:val="0"/>
          <w:numId w:val="9"/>
        </w:numPr>
        <w:rPr>
          <w:rFonts w:eastAsia="MS Mincho"/>
        </w:rPr>
      </w:pPr>
      <w:r w:rsidRPr="00F35AF9">
        <w:rPr>
          <w:rFonts w:eastAsia="MS Mincho"/>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7E96727C" w14:textId="77777777" w:rsidR="00AA7E79" w:rsidRPr="00F35AF9" w:rsidRDefault="00AA7E79" w:rsidP="00AA7E79">
      <w:pPr>
        <w:pStyle w:val="ParaNum"/>
        <w:widowControl/>
        <w:numPr>
          <w:ilvl w:val="0"/>
          <w:numId w:val="9"/>
        </w:numPr>
        <w:rPr>
          <w:rFonts w:eastAsia="MS Mincho"/>
        </w:rPr>
      </w:pPr>
      <w:r w:rsidRPr="00F35AF9">
        <w:rPr>
          <w:rFonts w:eastAsia="MS Mincho"/>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6CB2F270" w14:textId="77777777" w:rsidR="00AA7E79" w:rsidRPr="00F35AF9" w:rsidRDefault="00AA7E79" w:rsidP="00AA7E79">
      <w:pPr>
        <w:spacing w:after="120"/>
        <w:rPr>
          <w:rFonts w:eastAsia="MS Mincho"/>
        </w:rPr>
      </w:pPr>
      <w:r w:rsidRPr="00F35AF9">
        <w:rPr>
          <w:rFonts w:eastAsia="MS Mincho"/>
        </w:rPr>
        <w:t>Questions regarding payment procedures should be addressed to the Financial Operations Group Help Desk by phone, 1-877-480-3201, or by e-mail, ARINQUIRIES@fcc.gov.</w:t>
      </w:r>
    </w:p>
    <w:p w14:paraId="280B991E" w14:textId="77777777" w:rsidR="00AA7E79" w:rsidRPr="00F35AF9" w:rsidRDefault="00AA7E79" w:rsidP="00AA7E79">
      <w:pPr>
        <w:pStyle w:val="ParaNum"/>
        <w:widowControl/>
      </w:pPr>
      <w:r w:rsidRPr="00F35AF9">
        <w:rPr>
          <w:b/>
          <w:u w:val="single"/>
        </w:rPr>
        <w:t>Waivers</w:t>
      </w:r>
      <w:r w:rsidRPr="00F35AF9">
        <w:t xml:space="preserve">.  As of the Effective Date, Alascom waives any and all rights it may have to seek administrative or judicial reconsideration, review, appeal or stay, or to otherwise challenge or contest the validity of this Consent Decree and the Adopting Order.  Alascom shall retain the right to challenge Commission interpretation of the Consent Decree or any terms contained herein.  If either Party (or the United States on behalf of the Commission) brings a judicial action to enforce the terms of the Consent Decree or the Adopting Order, neither Alascom nor the Commission shall contest the validity of the Consent Decree or the Adopting Order, and Alascom shall waive any statutory right to a trial </w:t>
      </w:r>
      <w:r w:rsidRPr="00F35AF9">
        <w:rPr>
          <w:i/>
        </w:rPr>
        <w:t>de novo</w:t>
      </w:r>
      <w:r w:rsidRPr="00F35AF9">
        <w:t>.  Alascom hereby agrees to waive any claims it may otherwise have under the Equal Access to Justice Act</w:t>
      </w:r>
      <w:r w:rsidRPr="00F35AF9">
        <w:rPr>
          <w:rStyle w:val="FootnoteReference"/>
          <w:sz w:val="22"/>
        </w:rPr>
        <w:footnoteReference w:id="30"/>
      </w:r>
      <w:r w:rsidRPr="00F35AF9">
        <w:t xml:space="preserve"> relating to the matters addressed in this Consent Decree.</w:t>
      </w:r>
    </w:p>
    <w:p w14:paraId="5FFDD310" w14:textId="77777777" w:rsidR="00AA7E79" w:rsidRPr="00F35AF9" w:rsidRDefault="00AA7E79" w:rsidP="00AA7E79">
      <w:pPr>
        <w:pStyle w:val="ParaNum"/>
        <w:widowControl/>
      </w:pPr>
      <w:r w:rsidRPr="00F35AF9">
        <w:rPr>
          <w:b/>
          <w:u w:val="single"/>
        </w:rPr>
        <w:t>Severability</w:t>
      </w:r>
      <w:r w:rsidRPr="00F35AF9">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14:paraId="2796EB60" w14:textId="77777777" w:rsidR="00AA7E79" w:rsidRPr="00F35AF9" w:rsidRDefault="00AA7E79" w:rsidP="00AA7E79">
      <w:pPr>
        <w:pStyle w:val="ParaNum"/>
        <w:widowControl/>
      </w:pPr>
      <w:r w:rsidRPr="00F35AF9">
        <w:rPr>
          <w:b/>
          <w:u w:val="single"/>
        </w:rPr>
        <w:t>Invalidity</w:t>
      </w:r>
      <w:r w:rsidRPr="00F35AF9">
        <w:t>.  In the event that this Consent Decree in its entirety is rendered invalid by any court of competent jurisdiction, it shall become null and void and may not be used in any manner in any legal proceeding.</w:t>
      </w:r>
    </w:p>
    <w:p w14:paraId="63D07E31" w14:textId="77777777" w:rsidR="00AA7E79" w:rsidRPr="00F35AF9" w:rsidRDefault="00AA7E79" w:rsidP="00AA7E79">
      <w:pPr>
        <w:pStyle w:val="ParaNum"/>
        <w:widowControl/>
      </w:pPr>
      <w:r w:rsidRPr="00F35AF9">
        <w:rPr>
          <w:b/>
          <w:u w:val="single"/>
        </w:rPr>
        <w:t>Subsequent Rule or Order</w:t>
      </w:r>
      <w:r w:rsidRPr="00F35AF9">
        <w:t>.  The Parties agree that if any provision of the Consent Decree conflicts with any subsequent Rule or Order adopted by the Commission (except an Order specifically intended to revise the terms of this Consent Decree to which Alascom does not expressly consent) that provision will be superseded by such Rule or Order.</w:t>
      </w:r>
    </w:p>
    <w:p w14:paraId="5086001B" w14:textId="77777777" w:rsidR="00AA7E79" w:rsidRPr="00F35AF9" w:rsidRDefault="00AA7E79" w:rsidP="00AA7E79">
      <w:pPr>
        <w:pStyle w:val="ParaNum"/>
        <w:widowControl/>
      </w:pPr>
      <w:r w:rsidRPr="00F35AF9">
        <w:rPr>
          <w:b/>
          <w:u w:val="single"/>
        </w:rPr>
        <w:t>Successors and Assigns</w:t>
      </w:r>
      <w:r w:rsidRPr="00F35AF9">
        <w:t>.  Alascom agrees that the provisions of this Consent Decree shall be binding on its successors, assigns, and transferees.</w:t>
      </w:r>
    </w:p>
    <w:p w14:paraId="3FBEF1A3" w14:textId="77777777" w:rsidR="00AA7E79" w:rsidRPr="00F35AF9" w:rsidRDefault="00AA7E79" w:rsidP="00AA7E79">
      <w:pPr>
        <w:pStyle w:val="ParaNum"/>
        <w:widowControl/>
      </w:pPr>
      <w:r w:rsidRPr="00F35AF9">
        <w:rPr>
          <w:b/>
          <w:u w:val="single"/>
        </w:rPr>
        <w:t>Final Settlement</w:t>
      </w:r>
      <w:r w:rsidRPr="00F35AF9">
        <w:t>.  The Parties agree and acknowledge that this Consent Decree shall constitute a final settlement between the Parties with respect to the Investigation.    </w:t>
      </w:r>
    </w:p>
    <w:p w14:paraId="1B48CE49" w14:textId="77777777" w:rsidR="00AA7E79" w:rsidRPr="00F35AF9" w:rsidRDefault="00AA7E79" w:rsidP="00AA7E79">
      <w:pPr>
        <w:pStyle w:val="ParaNum"/>
        <w:widowControl/>
      </w:pPr>
      <w:r w:rsidRPr="00F35AF9">
        <w:rPr>
          <w:b/>
          <w:u w:val="single"/>
        </w:rPr>
        <w:t>Modifications</w:t>
      </w:r>
      <w:r w:rsidRPr="00F35AF9">
        <w:t>.  This Consent Decree cannot be modified without the advance written consent of both Parties.</w:t>
      </w:r>
    </w:p>
    <w:p w14:paraId="531E98B7" w14:textId="77777777" w:rsidR="00AA7E79" w:rsidRPr="00F35AF9" w:rsidRDefault="00AA7E79" w:rsidP="00AA7E79">
      <w:pPr>
        <w:pStyle w:val="ParaNum"/>
        <w:widowControl/>
      </w:pPr>
      <w:r w:rsidRPr="00F35AF9">
        <w:rPr>
          <w:b/>
          <w:u w:val="single"/>
        </w:rPr>
        <w:t>Paragraph Headings</w:t>
      </w:r>
      <w:r w:rsidRPr="00F35AF9">
        <w:t>.  The headings of the paragraphs in this Consent Decree are inserted for convenience only and are not intended to affect the meaning or interpretation of this Consent Decree.</w:t>
      </w:r>
    </w:p>
    <w:p w14:paraId="57D58849" w14:textId="77777777" w:rsidR="00AA7E79" w:rsidRDefault="00AA7E79" w:rsidP="00AA7E79">
      <w:pPr>
        <w:pStyle w:val="ParaNum"/>
        <w:widowControl/>
      </w:pPr>
      <w:r w:rsidRPr="00370EA0">
        <w:rPr>
          <w:b/>
          <w:u w:val="single"/>
        </w:rPr>
        <w:t>Authorized Representative</w:t>
      </w:r>
      <w:r w:rsidRPr="00370EA0">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35DA3043" w14:textId="77777777" w:rsidR="00AA7E79" w:rsidRPr="00F35AF9" w:rsidRDefault="00AA7E79" w:rsidP="00AA7E79">
      <w:pPr>
        <w:pStyle w:val="ParaNum"/>
        <w:keepNext/>
        <w:widowControl/>
      </w:pPr>
      <w:r w:rsidRPr="00F35AF9">
        <w:rPr>
          <w:b/>
          <w:u w:val="single"/>
        </w:rPr>
        <w:t>Counterparts</w:t>
      </w:r>
      <w:r w:rsidRPr="00F35AF9">
        <w:t>.  This Consent Decree may be signed in counterpart (including electronically or by facsimile).  Each counterpart, when executed and delivered, shall be an original, and all of the counterparts together shall constitute one and the same fully executed instrument.</w:t>
      </w:r>
    </w:p>
    <w:p w14:paraId="0E7A48B8" w14:textId="77777777" w:rsidR="00AA7E79" w:rsidRPr="00F35AF9" w:rsidRDefault="00AA7E79" w:rsidP="00AA7E79">
      <w:pPr>
        <w:keepNext/>
        <w:keepLines/>
        <w:spacing w:after="120"/>
      </w:pPr>
    </w:p>
    <w:p w14:paraId="04446E2C" w14:textId="77777777" w:rsidR="00AA7E79" w:rsidRPr="00F35AF9" w:rsidRDefault="00AA7E79" w:rsidP="00AA7E79">
      <w:pPr>
        <w:keepNext/>
        <w:keepLines/>
        <w:spacing w:after="120"/>
      </w:pPr>
    </w:p>
    <w:p w14:paraId="504351B8" w14:textId="77777777" w:rsidR="00AA7E79" w:rsidRPr="00F35AF9" w:rsidRDefault="00AA7E79" w:rsidP="00AA7E79">
      <w:pPr>
        <w:keepNext/>
        <w:keepLines/>
      </w:pPr>
      <w:r w:rsidRPr="00F35AF9">
        <w:t>________________________________</w:t>
      </w:r>
    </w:p>
    <w:p w14:paraId="41A2E17A" w14:textId="77777777" w:rsidR="00AA7E79" w:rsidRPr="00F35AF9" w:rsidRDefault="00AA7E79" w:rsidP="00AA7E79">
      <w:pPr>
        <w:keepNext/>
        <w:keepLines/>
      </w:pPr>
      <w:r w:rsidRPr="00F35AF9">
        <w:t>Travis LeBlanc</w:t>
      </w:r>
    </w:p>
    <w:p w14:paraId="20B0D2CC" w14:textId="77777777" w:rsidR="00AA7E79" w:rsidRPr="00F35AF9" w:rsidRDefault="00AA7E79" w:rsidP="00AA7E79">
      <w:pPr>
        <w:keepNext/>
        <w:keepLines/>
      </w:pPr>
      <w:r w:rsidRPr="00F35AF9">
        <w:t>Chief</w:t>
      </w:r>
    </w:p>
    <w:p w14:paraId="3A93AEE8" w14:textId="77777777" w:rsidR="00AA7E79" w:rsidRPr="00F35AF9" w:rsidRDefault="00AA7E79" w:rsidP="00AA7E79">
      <w:pPr>
        <w:keepNext/>
        <w:keepLines/>
      </w:pPr>
      <w:r w:rsidRPr="00F35AF9">
        <w:t>Enforcement Bureau</w:t>
      </w:r>
    </w:p>
    <w:p w14:paraId="4EA9C91B" w14:textId="77777777" w:rsidR="00AA7E79" w:rsidRPr="00F35AF9" w:rsidRDefault="00AA7E79" w:rsidP="00AA7E79">
      <w:pPr>
        <w:keepNext/>
        <w:keepLines/>
      </w:pPr>
    </w:p>
    <w:p w14:paraId="6294EDF1" w14:textId="77777777" w:rsidR="00AA7E79" w:rsidRPr="00F35AF9" w:rsidRDefault="00AA7E79" w:rsidP="00AA7E79">
      <w:pPr>
        <w:keepNext/>
        <w:keepLines/>
      </w:pPr>
    </w:p>
    <w:p w14:paraId="06792E4A" w14:textId="77777777" w:rsidR="00AA7E79" w:rsidRPr="00F35AF9" w:rsidRDefault="00AA7E79" w:rsidP="00AA7E79">
      <w:pPr>
        <w:keepNext/>
        <w:keepLines/>
      </w:pPr>
      <w:r w:rsidRPr="00F35AF9">
        <w:t>________________________________</w:t>
      </w:r>
    </w:p>
    <w:p w14:paraId="71F18A65" w14:textId="77777777" w:rsidR="00AA7E79" w:rsidRPr="00F35AF9" w:rsidRDefault="00AA7E79" w:rsidP="00AA7E79">
      <w:pPr>
        <w:keepNext/>
        <w:keepLines/>
      </w:pPr>
      <w:r w:rsidRPr="00F35AF9">
        <w:t>Date</w:t>
      </w:r>
    </w:p>
    <w:p w14:paraId="5A5749C3" w14:textId="77777777" w:rsidR="00AA7E79" w:rsidRPr="00F35AF9" w:rsidRDefault="00AA7E79" w:rsidP="00AA7E79">
      <w:pPr>
        <w:keepNext/>
        <w:keepLines/>
      </w:pPr>
    </w:p>
    <w:p w14:paraId="61B5AE75" w14:textId="77777777" w:rsidR="00AA7E79" w:rsidRPr="00F35AF9" w:rsidRDefault="00AA7E79" w:rsidP="00AA7E79">
      <w:pPr>
        <w:keepNext/>
        <w:keepLines/>
      </w:pPr>
    </w:p>
    <w:p w14:paraId="11F29892" w14:textId="77777777" w:rsidR="00AA7E79" w:rsidRPr="00F35AF9" w:rsidRDefault="00AA7E79" w:rsidP="00AA7E79">
      <w:pPr>
        <w:keepNext/>
        <w:keepLines/>
      </w:pPr>
    </w:p>
    <w:p w14:paraId="22D3D941" w14:textId="77777777" w:rsidR="00AA7E79" w:rsidRPr="00F35AF9" w:rsidRDefault="00AA7E79" w:rsidP="00AA7E79">
      <w:pPr>
        <w:keepNext/>
        <w:keepLines/>
      </w:pPr>
      <w:r w:rsidRPr="00F35AF9">
        <w:t>________________________________</w:t>
      </w:r>
    </w:p>
    <w:p w14:paraId="34425FA4" w14:textId="77777777" w:rsidR="00AA7E79" w:rsidRDefault="00AA7E79" w:rsidP="00AA7E79">
      <w:pPr>
        <w:keepNext/>
        <w:keepLines/>
        <w:rPr>
          <w:color w:val="000000" w:themeColor="text1"/>
        </w:rPr>
      </w:pPr>
      <w:r>
        <w:rPr>
          <w:color w:val="000000" w:themeColor="text1"/>
        </w:rPr>
        <w:t>John Monday</w:t>
      </w:r>
    </w:p>
    <w:p w14:paraId="715BE5ED" w14:textId="77777777" w:rsidR="00AA7E79" w:rsidRDefault="00AA7E79" w:rsidP="00AA7E79">
      <w:pPr>
        <w:keepNext/>
        <w:keepLines/>
        <w:rPr>
          <w:color w:val="000000" w:themeColor="text1"/>
        </w:rPr>
      </w:pPr>
      <w:r>
        <w:rPr>
          <w:color w:val="000000" w:themeColor="text1"/>
        </w:rPr>
        <w:t>Vice President</w:t>
      </w:r>
    </w:p>
    <w:p w14:paraId="6D909CA5" w14:textId="77777777" w:rsidR="00AA7E79" w:rsidRPr="00F35AF9" w:rsidRDefault="00AA7E79" w:rsidP="00AA7E79">
      <w:pPr>
        <w:keepNext/>
        <w:autoSpaceDE w:val="0"/>
        <w:autoSpaceDN w:val="0"/>
        <w:adjustRightInd w:val="0"/>
        <w:rPr>
          <w:color w:val="000000" w:themeColor="text1"/>
        </w:rPr>
      </w:pPr>
      <w:r w:rsidRPr="00F35AF9">
        <w:rPr>
          <w:color w:val="000000" w:themeColor="text1"/>
        </w:rPr>
        <w:t>Alascom, Inc.</w:t>
      </w:r>
    </w:p>
    <w:p w14:paraId="5FD66757" w14:textId="77777777" w:rsidR="00AA7E79" w:rsidRPr="00F35AF9" w:rsidRDefault="00AA7E79" w:rsidP="00AA7E79">
      <w:pPr>
        <w:keepNext/>
        <w:autoSpaceDE w:val="0"/>
        <w:autoSpaceDN w:val="0"/>
        <w:adjustRightInd w:val="0"/>
        <w:rPr>
          <w:color w:val="000000" w:themeColor="text1"/>
        </w:rPr>
      </w:pPr>
    </w:p>
    <w:p w14:paraId="3F47691F" w14:textId="77777777" w:rsidR="00AA7E79" w:rsidRPr="00F35AF9" w:rsidRDefault="00AA7E79" w:rsidP="00AA7E79">
      <w:pPr>
        <w:keepNext/>
        <w:keepLines/>
      </w:pPr>
    </w:p>
    <w:p w14:paraId="31988F0C" w14:textId="77777777" w:rsidR="00AA7E79" w:rsidRPr="00F35AF9" w:rsidRDefault="00AA7E79" w:rsidP="00AA7E79">
      <w:pPr>
        <w:keepNext/>
        <w:keepLines/>
      </w:pPr>
      <w:r w:rsidRPr="00F35AF9">
        <w:t>________________________________</w:t>
      </w:r>
    </w:p>
    <w:p w14:paraId="44B48F75" w14:textId="77777777" w:rsidR="00AA7E79" w:rsidRPr="00F35AF9" w:rsidRDefault="00AA7E79" w:rsidP="00AA7E79">
      <w:pPr>
        <w:keepNext/>
        <w:keepLines/>
      </w:pPr>
      <w:r w:rsidRPr="00F35AF9">
        <w:t>Date</w:t>
      </w:r>
    </w:p>
    <w:p w14:paraId="7679F7EF" w14:textId="77777777" w:rsidR="00AA7E79" w:rsidRDefault="00AA7E79" w:rsidP="00C8491A">
      <w:pPr>
        <w:ind w:left="4320"/>
      </w:pPr>
    </w:p>
    <w:sectPr w:rsidR="00AA7E79" w:rsidSect="00170940">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81BAB" w14:textId="77777777" w:rsidR="008232AD" w:rsidRDefault="008232AD">
      <w:pPr>
        <w:spacing w:line="20" w:lineRule="exact"/>
      </w:pPr>
    </w:p>
  </w:endnote>
  <w:endnote w:type="continuationSeparator" w:id="0">
    <w:p w14:paraId="01D35C9F" w14:textId="77777777" w:rsidR="008232AD" w:rsidRDefault="008232AD">
      <w:r>
        <w:t xml:space="preserve"> </w:t>
      </w:r>
    </w:p>
  </w:endnote>
  <w:endnote w:type="continuationNotice" w:id="1">
    <w:p w14:paraId="00024B53" w14:textId="77777777" w:rsidR="008232AD" w:rsidRDefault="008232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C6649" w14:textId="77777777" w:rsidR="00984825" w:rsidRDefault="00984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00819"/>
      <w:docPartObj>
        <w:docPartGallery w:val="Page Numbers (Bottom of Page)"/>
        <w:docPartUnique/>
      </w:docPartObj>
    </w:sdtPr>
    <w:sdtEndPr>
      <w:rPr>
        <w:noProof/>
      </w:rPr>
    </w:sdtEndPr>
    <w:sdtContent>
      <w:p w14:paraId="2B0746D2" w14:textId="77777777" w:rsidR="00EC65AF" w:rsidRDefault="00EC65AF" w:rsidP="00453A9E">
        <w:pPr>
          <w:pStyle w:val="Footer"/>
          <w:jc w:val="center"/>
        </w:pPr>
        <w:r>
          <w:fldChar w:fldCharType="begin"/>
        </w:r>
        <w:r>
          <w:instrText xml:space="preserve"> PAGE   \* MERGEFORMAT </w:instrText>
        </w:r>
        <w:r>
          <w:fldChar w:fldCharType="separate"/>
        </w:r>
        <w:r w:rsidR="006B0959">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6491F" w14:textId="77777777" w:rsidR="00EC65AF" w:rsidRDefault="00EC65A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968FE" w14:textId="77777777" w:rsidR="008232AD" w:rsidRDefault="008232AD">
      <w:r>
        <w:separator/>
      </w:r>
    </w:p>
  </w:footnote>
  <w:footnote w:type="continuationSeparator" w:id="0">
    <w:p w14:paraId="4AE9E9FD" w14:textId="77777777" w:rsidR="008232AD" w:rsidRDefault="008232AD" w:rsidP="00C721AC">
      <w:pPr>
        <w:spacing w:before="120"/>
        <w:rPr>
          <w:sz w:val="20"/>
        </w:rPr>
      </w:pPr>
      <w:r>
        <w:rPr>
          <w:sz w:val="20"/>
        </w:rPr>
        <w:t xml:space="preserve">(Continued from previous page)  </w:t>
      </w:r>
      <w:r>
        <w:rPr>
          <w:sz w:val="20"/>
        </w:rPr>
        <w:separator/>
      </w:r>
    </w:p>
  </w:footnote>
  <w:footnote w:type="continuationNotice" w:id="1">
    <w:p w14:paraId="621EFE0E" w14:textId="77777777" w:rsidR="008232AD" w:rsidRDefault="008232AD" w:rsidP="00C721AC">
      <w:pPr>
        <w:jc w:val="right"/>
        <w:rPr>
          <w:sz w:val="20"/>
        </w:rPr>
      </w:pPr>
      <w:r>
        <w:rPr>
          <w:sz w:val="20"/>
        </w:rPr>
        <w:t>(continued….)</w:t>
      </w:r>
    </w:p>
  </w:footnote>
  <w:footnote w:id="2">
    <w:p w14:paraId="0D904130" w14:textId="7A763239" w:rsidR="00176959" w:rsidRDefault="00176959">
      <w:pPr>
        <w:pStyle w:val="FootnoteText"/>
      </w:pPr>
      <w:r>
        <w:rPr>
          <w:rStyle w:val="FootnoteReference"/>
        </w:rPr>
        <w:footnoteRef/>
      </w:r>
      <w:r>
        <w:t xml:space="preserve"> </w:t>
      </w:r>
      <w:r w:rsidRPr="00176959">
        <w:rPr>
          <w:rFonts w:eastAsiaTheme="minorHAnsi"/>
        </w:rPr>
        <w:t xml:space="preserve">The investigation began under File No. </w:t>
      </w:r>
      <w:r w:rsidRPr="00176959">
        <w:rPr>
          <w:rFonts w:eastAsiaTheme="minorHAnsi"/>
          <w:color w:val="000000" w:themeColor="text1"/>
          <w:spacing w:val="-2"/>
          <w:szCs w:val="22"/>
        </w:rPr>
        <w:t>EB-SED-15-00019170</w:t>
      </w:r>
      <w:r w:rsidRPr="00176959">
        <w:rPr>
          <w:rFonts w:eastAsiaTheme="minorHAnsi"/>
        </w:rPr>
        <w:t xml:space="preserve"> </w:t>
      </w:r>
      <w:r w:rsidRPr="00176959">
        <w:rPr>
          <w:rFonts w:eastAsiaTheme="minorHAnsi"/>
          <w:spacing w:val="-2"/>
        </w:rPr>
        <w:t xml:space="preserve">and was subsequently assigned </w:t>
      </w:r>
      <w:r w:rsidRPr="00176959">
        <w:rPr>
          <w:rFonts w:eastAsiaTheme="minorHAnsi"/>
        </w:rPr>
        <w:t xml:space="preserve">File No. </w:t>
      </w:r>
      <w:r w:rsidRPr="00176959">
        <w:rPr>
          <w:rFonts w:eastAsiaTheme="minorHAnsi"/>
          <w:bCs/>
        </w:rPr>
        <w:t>EB-SED-16-00020553.</w:t>
      </w:r>
      <w:r w:rsidRPr="00176959">
        <w:rPr>
          <w:rFonts w:eastAsiaTheme="minorHAnsi"/>
        </w:rPr>
        <w:t xml:space="preserve">  Any future correspondence with the Commission concerning this matter should reflect the new case number.</w:t>
      </w:r>
    </w:p>
  </w:footnote>
  <w:footnote w:id="3">
    <w:p w14:paraId="1EFB7FD8" w14:textId="77777777" w:rsidR="007A547E" w:rsidRDefault="007A547E" w:rsidP="007A547E">
      <w:pPr>
        <w:pStyle w:val="FootnoteText"/>
      </w:pPr>
      <w:r>
        <w:rPr>
          <w:rStyle w:val="FootnoteReference"/>
        </w:rPr>
        <w:footnoteRef/>
      </w:r>
      <w:r>
        <w:t xml:space="preserve"> 47 U.S.C. § 301.</w:t>
      </w:r>
    </w:p>
  </w:footnote>
  <w:footnote w:id="4">
    <w:p w14:paraId="31644175" w14:textId="77777777" w:rsidR="007A547E" w:rsidRDefault="007A547E" w:rsidP="007A547E">
      <w:pPr>
        <w:pStyle w:val="FootnoteText"/>
      </w:pPr>
      <w:r>
        <w:rPr>
          <w:rStyle w:val="FootnoteReference"/>
        </w:rPr>
        <w:footnoteRef/>
      </w:r>
      <w:r>
        <w:t xml:space="preserve"> 47 C.F.R. §§ 1.903(a), 1.947(a). </w:t>
      </w:r>
    </w:p>
  </w:footnote>
  <w:footnote w:id="5">
    <w:p w14:paraId="4C65CE15" w14:textId="77777777" w:rsidR="00C8491A" w:rsidRPr="00A36B3E" w:rsidRDefault="00C8491A" w:rsidP="00C8491A">
      <w:pPr>
        <w:pStyle w:val="FootnoteText"/>
      </w:pPr>
      <w:r>
        <w:rPr>
          <w:rStyle w:val="FootnoteReference"/>
        </w:rPr>
        <w:footnoteRef/>
      </w:r>
      <w:r>
        <w:t xml:space="preserve"> </w:t>
      </w:r>
      <w:r>
        <w:rPr>
          <w:i/>
        </w:rPr>
        <w:t xml:space="preserve">See </w:t>
      </w:r>
      <w:r>
        <w:t xml:space="preserve">47 C.F.R. </w:t>
      </w:r>
      <w:r w:rsidRPr="007E734D">
        <w:t>§</w:t>
      </w:r>
      <w:r>
        <w:t xml:space="preserve"> 1.93(b).</w:t>
      </w:r>
    </w:p>
  </w:footnote>
  <w:footnote w:id="6">
    <w:p w14:paraId="789FCA13" w14:textId="341C1DA7" w:rsidR="00C8491A" w:rsidRDefault="00C8491A" w:rsidP="00C8491A">
      <w:pPr>
        <w:pStyle w:val="FootnoteText"/>
      </w:pPr>
      <w:r>
        <w:rPr>
          <w:rStyle w:val="FootnoteReference"/>
        </w:rPr>
        <w:footnoteRef/>
      </w:r>
      <w:r>
        <w:t xml:space="preserve"> 47 U.S.C. § 154(i).</w:t>
      </w:r>
    </w:p>
  </w:footnote>
  <w:footnote w:id="7">
    <w:p w14:paraId="251841ED" w14:textId="77777777" w:rsidR="00C8491A" w:rsidRDefault="00C8491A" w:rsidP="00C8491A">
      <w:pPr>
        <w:pStyle w:val="FootnoteText"/>
      </w:pPr>
      <w:r>
        <w:rPr>
          <w:rStyle w:val="FootnoteReference"/>
          <w:bCs/>
        </w:rPr>
        <w:footnoteRef/>
      </w:r>
      <w:r>
        <w:t xml:space="preserve"> 47 C.F.R. §§ 0.111, 0.311.</w:t>
      </w:r>
    </w:p>
  </w:footnote>
  <w:footnote w:id="8">
    <w:p w14:paraId="5DF05C03" w14:textId="77777777" w:rsidR="00AA7E79" w:rsidRPr="00FB30C8" w:rsidRDefault="00AA7E79" w:rsidP="00AA7E79">
      <w:pPr>
        <w:pStyle w:val="FootnoteText"/>
      </w:pPr>
      <w:r w:rsidRPr="00FB30C8">
        <w:rPr>
          <w:rStyle w:val="FootnoteReference"/>
        </w:rPr>
        <w:footnoteRef/>
      </w:r>
      <w:r w:rsidRPr="00FB30C8">
        <w:t xml:space="preserve"> 47 U.S.C. § 301.</w:t>
      </w:r>
    </w:p>
  </w:footnote>
  <w:footnote w:id="9">
    <w:p w14:paraId="6906B721" w14:textId="77777777" w:rsidR="00AA7E79" w:rsidRPr="00FB30C8" w:rsidRDefault="00AA7E79" w:rsidP="00AA7E79">
      <w:pPr>
        <w:pStyle w:val="FootnoteText"/>
        <w:tabs>
          <w:tab w:val="left" w:pos="3348"/>
        </w:tabs>
      </w:pPr>
      <w:r w:rsidRPr="00FB30C8">
        <w:rPr>
          <w:rStyle w:val="FootnoteReference"/>
        </w:rPr>
        <w:footnoteRef/>
      </w:r>
      <w:r w:rsidRPr="00FB30C8">
        <w:t xml:space="preserve"> 47 C.F.R. </w:t>
      </w:r>
      <w:r>
        <w:t>§§</w:t>
      </w:r>
      <w:r w:rsidRPr="00FB30C8">
        <w:t xml:space="preserve"> 1.903(a</w:t>
      </w:r>
      <w:r>
        <w:t>), 1.947(a).</w:t>
      </w:r>
      <w:r>
        <w:tab/>
      </w:r>
    </w:p>
  </w:footnote>
  <w:footnote w:id="10">
    <w:p w14:paraId="41AC573D" w14:textId="77777777" w:rsidR="00AA7E79" w:rsidRPr="00262ACD" w:rsidRDefault="00AA7E79" w:rsidP="00AA7E79">
      <w:pPr>
        <w:pStyle w:val="FootnoteText"/>
      </w:pPr>
      <w:r w:rsidRPr="00FB30C8">
        <w:rPr>
          <w:rStyle w:val="FootnoteReference"/>
        </w:rPr>
        <w:footnoteRef/>
      </w:r>
      <w:r w:rsidRPr="00FB30C8">
        <w:t xml:space="preserve"> 47 U.S.C. §</w:t>
      </w:r>
      <w:r w:rsidRPr="001B63BB">
        <w:rPr>
          <w:szCs w:val="22"/>
        </w:rPr>
        <w:t> </w:t>
      </w:r>
      <w:r w:rsidRPr="00FB30C8">
        <w:t xml:space="preserve">151 </w:t>
      </w:r>
      <w:r w:rsidRPr="00FB30C8">
        <w:rPr>
          <w:i/>
        </w:rPr>
        <w:t>et seq.</w:t>
      </w:r>
    </w:p>
  </w:footnote>
  <w:footnote w:id="11">
    <w:p w14:paraId="0B9B885E" w14:textId="77777777" w:rsidR="00AA7E79" w:rsidRPr="00981F23" w:rsidRDefault="00AA7E79" w:rsidP="00AA7E79">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790B4B">
        <w:t xml:space="preserve">The investigation </w:t>
      </w:r>
      <w:r>
        <w:t>began</w:t>
      </w:r>
      <w:r w:rsidRPr="00790B4B">
        <w:t xml:space="preserve"> under </w:t>
      </w:r>
      <w:r>
        <w:t xml:space="preserve">File No. </w:t>
      </w:r>
      <w:r>
        <w:rPr>
          <w:color w:val="000000" w:themeColor="text1"/>
          <w:spacing w:val="-2"/>
          <w:szCs w:val="22"/>
        </w:rPr>
        <w:t>EB-SED-15-00019170</w:t>
      </w:r>
      <w:r w:rsidRPr="00790B4B">
        <w:t xml:space="preserve"> </w:t>
      </w:r>
      <w:r w:rsidRPr="0007571D">
        <w:rPr>
          <w:spacing w:val="-2"/>
        </w:rPr>
        <w:t xml:space="preserve">and </w:t>
      </w:r>
      <w:r>
        <w:rPr>
          <w:spacing w:val="-2"/>
        </w:rPr>
        <w:t xml:space="preserve">was </w:t>
      </w:r>
      <w:r w:rsidRPr="0007571D">
        <w:rPr>
          <w:spacing w:val="-2"/>
        </w:rPr>
        <w:t xml:space="preserve">subsequently assigned </w:t>
      </w:r>
      <w:r w:rsidRPr="00344C0B">
        <w:t xml:space="preserve">File No. </w:t>
      </w:r>
      <w:r w:rsidRPr="003739E6">
        <w:rPr>
          <w:bCs/>
        </w:rPr>
        <w:t>EB-SED-16-00020553</w:t>
      </w:r>
      <w:r>
        <w:rPr>
          <w:bCs/>
        </w:rPr>
        <w:t>.</w:t>
      </w:r>
      <w:r w:rsidRPr="0007571D">
        <w:t xml:space="preserve">   </w:t>
      </w:r>
    </w:p>
  </w:footnote>
  <w:footnote w:id="12">
    <w:p w14:paraId="68CB4361" w14:textId="77777777" w:rsidR="00AA7E79" w:rsidRPr="00065A95" w:rsidRDefault="00AA7E79" w:rsidP="00AA7E79">
      <w:pPr>
        <w:pStyle w:val="FootnoteText"/>
      </w:pPr>
      <w:r w:rsidRPr="00065A95">
        <w:rPr>
          <w:rStyle w:val="FootnoteReference"/>
        </w:rPr>
        <w:footnoteRef/>
      </w:r>
      <w:r w:rsidRPr="00065A95">
        <w:t xml:space="preserve"> 47 U.S.C. § 301; 47 C.F.R. § 1.903(a).</w:t>
      </w:r>
    </w:p>
  </w:footnote>
  <w:footnote w:id="13">
    <w:p w14:paraId="58E4DA25" w14:textId="77777777" w:rsidR="00AA7E79" w:rsidRPr="00065A95" w:rsidRDefault="00AA7E79" w:rsidP="00AA7E79">
      <w:pPr>
        <w:pStyle w:val="FootnoteText"/>
      </w:pPr>
      <w:r w:rsidRPr="00065A95">
        <w:rPr>
          <w:rStyle w:val="FootnoteReference"/>
        </w:rPr>
        <w:footnoteRef/>
      </w:r>
      <w:r w:rsidRPr="00065A95">
        <w:t xml:space="preserve"> 47 C.F.R. § 1.947(a)</w:t>
      </w:r>
      <w:r w:rsidRPr="00065A95">
        <w:rPr>
          <w:i/>
        </w:rPr>
        <w:t>.</w:t>
      </w:r>
    </w:p>
  </w:footnote>
  <w:footnote w:id="14">
    <w:p w14:paraId="5E91AB96" w14:textId="77777777" w:rsidR="00AA7E79" w:rsidRPr="00065A95" w:rsidRDefault="00AA7E79" w:rsidP="00AA7E79">
      <w:pPr>
        <w:pStyle w:val="FootnoteText"/>
      </w:pPr>
      <w:r w:rsidRPr="00065A95">
        <w:rPr>
          <w:rStyle w:val="FootnoteReference"/>
        </w:rPr>
        <w:footnoteRef/>
      </w:r>
      <w:r w:rsidRPr="00065A95">
        <w:t xml:space="preserve"> 47 C.F.R. § 1.929(d).</w:t>
      </w:r>
    </w:p>
  </w:footnote>
  <w:footnote w:id="15">
    <w:p w14:paraId="157073C9" w14:textId="77777777" w:rsidR="00AA7E79" w:rsidRPr="00065A95" w:rsidRDefault="00AA7E79" w:rsidP="00AA7E79">
      <w:pPr>
        <w:pStyle w:val="FootnoteText"/>
      </w:pPr>
      <w:r w:rsidRPr="00065A95">
        <w:rPr>
          <w:rStyle w:val="FootnoteReference"/>
        </w:rPr>
        <w:footnoteRef/>
      </w:r>
      <w:r w:rsidRPr="00065A95">
        <w:t xml:space="preserve"> 47 U.S.C. § 301; 47 C.F.R. § 1.903(a).</w:t>
      </w:r>
    </w:p>
  </w:footnote>
  <w:footnote w:id="16">
    <w:p w14:paraId="161694C7" w14:textId="77777777" w:rsidR="00AA7E79" w:rsidRPr="00BD597D" w:rsidRDefault="00AA7E79" w:rsidP="00AA7E79">
      <w:pPr>
        <w:pStyle w:val="FootnoteText"/>
      </w:pPr>
      <w:r>
        <w:rPr>
          <w:rStyle w:val="FootnoteReference"/>
        </w:rPr>
        <w:footnoteRef/>
      </w:r>
      <w:r>
        <w:t xml:space="preserve"> </w:t>
      </w:r>
      <w:r>
        <w:rPr>
          <w:i/>
        </w:rPr>
        <w:t xml:space="preserve">See </w:t>
      </w:r>
      <w:r>
        <w:t xml:space="preserve">Letter from Bruce D. Jacobs, Chief, Spectrum Enforcement Division, FCC Enforcement Bureau, to Michael T. Felix, President and CEO, Alascom, Inc. (Sept. 2, 2015) (on file in </w:t>
      </w:r>
      <w:r w:rsidRPr="003739E6">
        <w:rPr>
          <w:bCs/>
        </w:rPr>
        <w:t>EB-SED-16-00020553</w:t>
      </w:r>
      <w:r>
        <w:rPr>
          <w:bCs/>
        </w:rPr>
        <w:t>).</w:t>
      </w:r>
    </w:p>
  </w:footnote>
  <w:footnote w:id="17">
    <w:p w14:paraId="7B5656F4" w14:textId="77777777" w:rsidR="00AA7E79" w:rsidRDefault="00AA7E79" w:rsidP="00AA7E79">
      <w:pPr>
        <w:pStyle w:val="FootnoteText"/>
      </w:pPr>
      <w:r>
        <w:rPr>
          <w:rStyle w:val="FootnoteReference"/>
        </w:rPr>
        <w:footnoteRef/>
      </w:r>
      <w:r>
        <w:t xml:space="preserve"> </w:t>
      </w:r>
      <w:r>
        <w:rPr>
          <w:i/>
        </w:rPr>
        <w:t xml:space="preserve">See </w:t>
      </w:r>
      <w:r>
        <w:t xml:space="preserve">Letter from Robert Vitanza, General Attorney, AT&amp;T Services, Inc., to Paul Noone, Attorney Advisor, Spectrum Enforcement Division, FCC Enforcement Bureau (Oct. 2, 2015) (on file in </w:t>
      </w:r>
      <w:r w:rsidRPr="003739E6">
        <w:rPr>
          <w:bCs/>
        </w:rPr>
        <w:t>EB-SED-16-00020553</w:t>
      </w:r>
      <w:r>
        <w:rPr>
          <w:bCs/>
        </w:rPr>
        <w:t>)</w:t>
      </w:r>
      <w:r>
        <w:rPr>
          <w:bCs/>
          <w:caps/>
          <w:kern w:val="36"/>
          <w:szCs w:val="22"/>
        </w:rPr>
        <w:t xml:space="preserve">. </w:t>
      </w:r>
    </w:p>
  </w:footnote>
  <w:footnote w:id="18">
    <w:p w14:paraId="3A52C57A" w14:textId="77777777" w:rsidR="00AA7E79" w:rsidRDefault="00AA7E79" w:rsidP="00AA7E79">
      <w:pPr>
        <w:pStyle w:val="FootnoteText"/>
      </w:pPr>
      <w:r>
        <w:rPr>
          <w:rStyle w:val="FootnoteReference"/>
        </w:rPr>
        <w:footnoteRef/>
      </w:r>
      <w:r>
        <w:t xml:space="preserve"> LOI Response at 1-2. </w:t>
      </w:r>
    </w:p>
  </w:footnote>
  <w:footnote w:id="19">
    <w:p w14:paraId="146EB676" w14:textId="77777777" w:rsidR="00AA7E79" w:rsidRPr="000A060C" w:rsidRDefault="00AA7E79" w:rsidP="00AA7E79">
      <w:pPr>
        <w:pStyle w:val="FootnoteText"/>
      </w:pPr>
      <w:r>
        <w:rPr>
          <w:rStyle w:val="FootnoteReference"/>
        </w:rPr>
        <w:footnoteRef/>
      </w:r>
      <w:r>
        <w:t xml:space="preserve"> </w:t>
      </w:r>
      <w:r>
        <w:rPr>
          <w:i/>
        </w:rPr>
        <w:t>Id.</w:t>
      </w:r>
    </w:p>
  </w:footnote>
  <w:footnote w:id="20">
    <w:p w14:paraId="765A77DF" w14:textId="77777777" w:rsidR="00AA7E79" w:rsidRDefault="00AA7E79" w:rsidP="00AA7E79">
      <w:pPr>
        <w:pStyle w:val="FootnoteText"/>
      </w:pPr>
      <w:r>
        <w:rPr>
          <w:rStyle w:val="FootnoteReference"/>
        </w:rPr>
        <w:footnoteRef/>
      </w:r>
      <w:r>
        <w:t xml:space="preserve"> LOI Response at 4.</w:t>
      </w:r>
    </w:p>
  </w:footnote>
  <w:footnote w:id="21">
    <w:p w14:paraId="07B5B042" w14:textId="77777777" w:rsidR="00AA7E79" w:rsidRDefault="00AA7E79" w:rsidP="00AA7E79">
      <w:pPr>
        <w:pStyle w:val="FootnoteText"/>
      </w:pPr>
      <w:r>
        <w:rPr>
          <w:rStyle w:val="FootnoteReference"/>
        </w:rPr>
        <w:footnoteRef/>
      </w:r>
      <w:r>
        <w:t xml:space="preserve"> </w:t>
      </w:r>
      <w:r>
        <w:rPr>
          <w:i/>
        </w:rPr>
        <w:t>See</w:t>
      </w:r>
      <w:r>
        <w:t xml:space="preserve"> Universal Licensing System (ULS) File Nos. 0006777536 (WGF63),</w:t>
      </w:r>
      <w:r w:rsidRPr="00A66AE9">
        <w:t xml:space="preserve"> </w:t>
      </w:r>
      <w:r>
        <w:t xml:space="preserve">0006777555 (WHA411), and 0006777597 (WOE33).  All of the applications were filed on April 27, 2015.  </w:t>
      </w:r>
    </w:p>
  </w:footnote>
  <w:footnote w:id="22">
    <w:p w14:paraId="60378C65" w14:textId="77777777" w:rsidR="00AA7E79" w:rsidRPr="008D639F" w:rsidRDefault="00AA7E79" w:rsidP="00AA7E79">
      <w:pPr>
        <w:pStyle w:val="FootnoteText"/>
      </w:pPr>
      <w:r>
        <w:rPr>
          <w:rStyle w:val="FootnoteReference"/>
        </w:rPr>
        <w:footnoteRef/>
      </w:r>
      <w:r>
        <w:t xml:space="preserve">The applications were granted on April 30, 2015, under call signs WQVS697 (for WGF63), WQVS699 (for WHA411), and WQVS700 (for WOE33), until May 30, 2015.   </w:t>
      </w:r>
    </w:p>
  </w:footnote>
  <w:footnote w:id="23">
    <w:p w14:paraId="4E11F647" w14:textId="77777777" w:rsidR="00AA7E79" w:rsidRDefault="00AA7E79" w:rsidP="00AA7E79">
      <w:pPr>
        <w:pStyle w:val="FootnoteText"/>
      </w:pPr>
      <w:r>
        <w:rPr>
          <w:rStyle w:val="FootnoteReference"/>
        </w:rPr>
        <w:footnoteRef/>
      </w:r>
      <w:r>
        <w:t xml:space="preserve"> On May 21, 2015, Alascom filed applications for </w:t>
      </w:r>
      <w:r>
        <w:rPr>
          <w:szCs w:val="22"/>
        </w:rPr>
        <w:t xml:space="preserve">stations WGF63, WHA411, and WOE33 seeking permanent authority to operate on the relevant frequencies.  </w:t>
      </w:r>
      <w:r>
        <w:rPr>
          <w:i/>
          <w:szCs w:val="22"/>
        </w:rPr>
        <w:t xml:space="preserve">See </w:t>
      </w:r>
      <w:r>
        <w:rPr>
          <w:szCs w:val="22"/>
        </w:rPr>
        <w:t xml:space="preserve">ULS File Nos. </w:t>
      </w:r>
      <w:r w:rsidRPr="005802F7">
        <w:rPr>
          <w:color w:val="000000"/>
          <w:shd w:val="clear" w:color="auto" w:fill="F7F5FF"/>
        </w:rPr>
        <w:t>0006810706</w:t>
      </w:r>
      <w:r>
        <w:rPr>
          <w:color w:val="000000"/>
          <w:shd w:val="clear" w:color="auto" w:fill="F7F5FF"/>
        </w:rPr>
        <w:t>,</w:t>
      </w:r>
      <w:r w:rsidRPr="00C238CB">
        <w:rPr>
          <w:color w:val="000000"/>
          <w:shd w:val="clear" w:color="auto" w:fill="F7F5FF"/>
        </w:rPr>
        <w:t xml:space="preserve"> </w:t>
      </w:r>
      <w:r w:rsidRPr="00B61901">
        <w:rPr>
          <w:color w:val="000000"/>
          <w:shd w:val="clear" w:color="auto" w:fill="F7F5FF"/>
        </w:rPr>
        <w:t>0006810728</w:t>
      </w:r>
      <w:r>
        <w:rPr>
          <w:color w:val="000000"/>
          <w:shd w:val="clear" w:color="auto" w:fill="F7F5FF"/>
        </w:rPr>
        <w:t xml:space="preserve">, and </w:t>
      </w:r>
      <w:r w:rsidRPr="00B61901">
        <w:rPr>
          <w:color w:val="000000"/>
          <w:shd w:val="clear" w:color="auto" w:fill="F7F5FF"/>
        </w:rPr>
        <w:t>0006790353</w:t>
      </w:r>
      <w:r>
        <w:rPr>
          <w:color w:val="000000"/>
          <w:shd w:val="clear" w:color="auto" w:fill="F7F5FF"/>
        </w:rPr>
        <w:t>, respectively</w:t>
      </w:r>
      <w:r>
        <w:rPr>
          <w:szCs w:val="22"/>
        </w:rPr>
        <w:t xml:space="preserve">.  </w:t>
      </w:r>
      <w:r w:rsidRPr="005D34F6">
        <w:rPr>
          <w:szCs w:val="22"/>
        </w:rPr>
        <w:t xml:space="preserve">The applications </w:t>
      </w:r>
      <w:r>
        <w:rPr>
          <w:szCs w:val="22"/>
        </w:rPr>
        <w:t>remain</w:t>
      </w:r>
      <w:r w:rsidRPr="005D34F6">
        <w:rPr>
          <w:szCs w:val="22"/>
        </w:rPr>
        <w:t xml:space="preserve"> pending.</w:t>
      </w:r>
    </w:p>
  </w:footnote>
  <w:footnote w:id="24">
    <w:p w14:paraId="2221D7BD" w14:textId="77777777" w:rsidR="00AA7E79" w:rsidRDefault="00AA7E79" w:rsidP="00AA7E79">
      <w:pPr>
        <w:pStyle w:val="FootnoteText"/>
      </w:pPr>
      <w:r>
        <w:rPr>
          <w:rStyle w:val="FootnoteReference"/>
        </w:rPr>
        <w:footnoteRef/>
      </w:r>
      <w:r>
        <w:t xml:space="preserve"> </w:t>
      </w:r>
      <w:r w:rsidRPr="00C566EC">
        <w:rPr>
          <w:i/>
        </w:rPr>
        <w:t>See</w:t>
      </w:r>
      <w:r>
        <w:t xml:space="preserve"> 47 C.F.R. </w:t>
      </w:r>
      <w:r w:rsidRPr="00065A95">
        <w:t xml:space="preserve">§ </w:t>
      </w:r>
      <w:r>
        <w:t>1.93(b).</w:t>
      </w:r>
    </w:p>
  </w:footnote>
  <w:footnote w:id="25">
    <w:p w14:paraId="075E2E41" w14:textId="77777777" w:rsidR="00AA7E79" w:rsidRDefault="00AA7E79" w:rsidP="00AA7E79">
      <w:pPr>
        <w:pStyle w:val="FootnoteText"/>
      </w:pPr>
      <w:r>
        <w:rPr>
          <w:rStyle w:val="FootnoteReference"/>
        </w:rPr>
        <w:footnoteRef/>
      </w:r>
      <w:r>
        <w:t xml:space="preserve"> Alascom represents that it has comprehensive organizational structures, plans, and procedures in place that are intended to ensure compliance with the Communications Laws.  This Consent Decree does not require new organizational structures, plans, or procedures except as necessary to implement paragraphs 11-14 of this Consent Decree, nor does it require application of the Compliance Plan to Covered Employees with no responsibilities for compliance with the Licensing Rules.</w:t>
      </w:r>
    </w:p>
  </w:footnote>
  <w:footnote w:id="26">
    <w:p w14:paraId="432116C1" w14:textId="77777777" w:rsidR="00AA7E79" w:rsidRDefault="00AA7E79" w:rsidP="00AA7E79">
      <w:pPr>
        <w:pStyle w:val="FootnoteText"/>
      </w:pPr>
      <w:r>
        <w:rPr>
          <w:rStyle w:val="FootnoteReference"/>
        </w:rPr>
        <w:footnoteRef/>
      </w:r>
      <w:r>
        <w:t xml:space="preserve"> Alascom is not restricted from combining its Operating Procedures and Compliance Manual into a single, comprehensive document.</w:t>
      </w:r>
    </w:p>
  </w:footnote>
  <w:footnote w:id="27">
    <w:p w14:paraId="6772CB38" w14:textId="77777777" w:rsidR="00AA7E79" w:rsidRPr="00FB30C8" w:rsidRDefault="00AA7E79" w:rsidP="00AA7E79">
      <w:pPr>
        <w:pStyle w:val="FootnoteText"/>
      </w:pPr>
      <w:r w:rsidRPr="00FB30C8">
        <w:rPr>
          <w:rStyle w:val="FootnoteReference"/>
        </w:rPr>
        <w:footnoteRef/>
      </w:r>
      <w:r w:rsidRPr="00FB30C8">
        <w:t xml:space="preserve"> 47 C.F.R. § 1.16.</w:t>
      </w:r>
    </w:p>
  </w:footnote>
  <w:footnote w:id="28">
    <w:p w14:paraId="39EB0CC5" w14:textId="77777777" w:rsidR="00AA7E79" w:rsidRPr="00FB30C8" w:rsidRDefault="00AA7E79" w:rsidP="00AA7E79">
      <w:pPr>
        <w:pStyle w:val="FootnoteText"/>
        <w:tabs>
          <w:tab w:val="left" w:pos="810"/>
        </w:tabs>
      </w:pPr>
      <w:r w:rsidRPr="00FB30C8">
        <w:rPr>
          <w:rStyle w:val="FootnoteReference"/>
        </w:rPr>
        <w:footnoteRef/>
      </w:r>
      <w:r w:rsidRPr="00FB30C8">
        <w:t xml:space="preserve"> 47 U.S.C. § 208.</w:t>
      </w:r>
    </w:p>
  </w:footnote>
  <w:footnote w:id="29">
    <w:p w14:paraId="0955AADA" w14:textId="77777777" w:rsidR="00AA7E79" w:rsidRPr="00FB30C8" w:rsidRDefault="00AA7E79" w:rsidP="00AA7E79">
      <w:pPr>
        <w:pStyle w:val="FootnoteText"/>
      </w:pPr>
      <w:r w:rsidRPr="00FB30C8">
        <w:rPr>
          <w:rStyle w:val="FootnoteReference"/>
        </w:rPr>
        <w:footnoteRef/>
      </w:r>
      <w:r w:rsidRPr="00FB30C8">
        <w:t xml:space="preserve"> </w:t>
      </w:r>
      <w:r w:rsidRPr="00FB30C8">
        <w:rPr>
          <w:rFonts w:eastAsia="MS Mincho"/>
        </w:rPr>
        <w:t>An FCC Form 159</w:t>
      </w:r>
      <w:r w:rsidRPr="00A07FCB">
        <w:rPr>
          <w:rFonts w:eastAsia="MS Mincho" w:cs="Arial"/>
        </w:rPr>
        <w:t> </w:t>
      </w:r>
      <w:r w:rsidRPr="00FB30C8">
        <w:rPr>
          <w:rFonts w:eastAsia="MS Mincho"/>
        </w:rPr>
        <w:t>and</w:t>
      </w:r>
      <w:r w:rsidRPr="00A07FCB">
        <w:rPr>
          <w:rFonts w:eastAsia="MS Mincho" w:cs="Arial"/>
        </w:rPr>
        <w:t> </w:t>
      </w:r>
      <w:r w:rsidRPr="00FB30C8">
        <w:rPr>
          <w:rFonts w:eastAsia="MS Mincho"/>
        </w:rPr>
        <w:t>detailed instructions</w:t>
      </w:r>
      <w:r w:rsidRPr="00A07FCB">
        <w:rPr>
          <w:rFonts w:eastAsia="MS Mincho" w:cs="Arial"/>
        </w:rPr>
        <w:t> </w:t>
      </w:r>
      <w:r w:rsidRPr="00FB30C8">
        <w:rPr>
          <w:rFonts w:eastAsia="MS Mincho"/>
        </w:rPr>
        <w:t>for completing the form may be obtained at</w:t>
      </w:r>
      <w:r w:rsidRPr="00A07FCB">
        <w:rPr>
          <w:rFonts w:eastAsia="MS Mincho" w:cs="Arial"/>
        </w:rPr>
        <w:t xml:space="preserve"> </w:t>
      </w:r>
      <w:r w:rsidRPr="00FB30C8">
        <w:rPr>
          <w:rFonts w:eastAsia="MS Mincho"/>
        </w:rPr>
        <w:t>http://www.fcc.gov/Forms/Form159/159.pdf.</w:t>
      </w:r>
    </w:p>
  </w:footnote>
  <w:footnote w:id="30">
    <w:p w14:paraId="36881309" w14:textId="77777777" w:rsidR="00AA7E79" w:rsidRPr="00FB30C8" w:rsidRDefault="00AA7E79" w:rsidP="00AA7E79">
      <w:pPr>
        <w:pStyle w:val="FootnoteText"/>
        <w:tabs>
          <w:tab w:val="left" w:pos="810"/>
        </w:tabs>
      </w:pPr>
      <w:r w:rsidRPr="00FB30C8">
        <w:rPr>
          <w:rStyle w:val="FootnoteReference"/>
        </w:rPr>
        <w:footnoteRef/>
      </w:r>
      <w:r w:rsidRPr="00FB30C8">
        <w:t xml:space="preserve"> </w:t>
      </w:r>
      <w:r w:rsidRPr="00FB30C8">
        <w:rPr>
          <w:i/>
        </w:rPr>
        <w:t xml:space="preserve">See </w:t>
      </w:r>
      <w:r w:rsidRPr="00FB30C8">
        <w:t>5 U.S.C. § 504; 47 C.F.R. §§ 1.1501–1.1530.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FBC49" w14:textId="77777777" w:rsidR="00984825" w:rsidRDefault="009848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F7F90" w14:textId="7A18EFBD" w:rsidR="00EC65AF" w:rsidRDefault="00EC65AF" w:rsidP="00FB7B04">
    <w:pPr>
      <w:pStyle w:val="Header"/>
    </w:pPr>
  </w:p>
  <w:p w14:paraId="0A4DD0FA" w14:textId="37583E73" w:rsidR="00EC65AF" w:rsidRDefault="00EC65AF" w:rsidP="00153AAA">
    <w:pPr>
      <w:pStyle w:val="Header"/>
      <w:rPr>
        <w:spacing w:val="-2"/>
      </w:rPr>
    </w:pPr>
    <w:r w:rsidRPr="00843A5F">
      <w:rPr>
        <w:noProof/>
      </w:rPr>
      <mc:AlternateContent>
        <mc:Choice Requires="wps">
          <w:drawing>
            <wp:anchor distT="0" distB="0" distL="114300" distR="114300" simplePos="0" relativeHeight="251658241" behindDoc="1" locked="0" layoutInCell="0" allowOverlap="1" wp14:anchorId="1A50A25E" wp14:editId="22719F48">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A78AE6" id="Rectangle 3" o:spid="_x0000_s1026" style="position:absolute;margin-left:.6pt;margin-top:12.65pt;width:468pt;height:.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843A5F">
      <w:tab/>
      <w:t>Federal Communications Commission</w:t>
    </w:r>
    <w:r w:rsidRPr="00843A5F">
      <w:tab/>
    </w:r>
    <w:r w:rsidRPr="002755D1">
      <w:rPr>
        <w:spacing w:val="-2"/>
      </w:rPr>
      <w:t xml:space="preserve">DA </w:t>
    </w:r>
    <w:r>
      <w:rPr>
        <w:spacing w:val="-2"/>
      </w:rPr>
      <w:t>1</w:t>
    </w:r>
    <w:r w:rsidR="007F3830">
      <w:rPr>
        <w:spacing w:val="-2"/>
      </w:rPr>
      <w:t>6</w:t>
    </w:r>
    <w:r w:rsidRPr="002755D1">
      <w:rPr>
        <w:spacing w:val="-2"/>
      </w:rPr>
      <w:t>-</w:t>
    </w:r>
    <w:r w:rsidR="009C476E">
      <w:rPr>
        <w:spacing w:val="-2"/>
      </w:rPr>
      <w:t>381</w:t>
    </w:r>
  </w:p>
  <w:p w14:paraId="3B3D6963" w14:textId="77777777" w:rsidR="00EC65AF" w:rsidRDefault="00EC65AF" w:rsidP="00153AAA">
    <w:pPr>
      <w:pStyle w:val="Header"/>
      <w:rPr>
        <w:b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A245D" w14:textId="1C9F7D00" w:rsidR="00EC65AF" w:rsidRDefault="00EC65AF" w:rsidP="007C4242">
    <w:pPr>
      <w:pStyle w:val="Header"/>
    </w:pPr>
  </w:p>
  <w:p w14:paraId="3461D708" w14:textId="4F6086DC" w:rsidR="00EC65AF" w:rsidRDefault="00EC65AF" w:rsidP="00153AAA">
    <w:pPr>
      <w:pStyle w:val="Header"/>
      <w:rPr>
        <w:b w:val="0"/>
      </w:rPr>
    </w:pPr>
    <w:r w:rsidRPr="00843A5F">
      <w:rPr>
        <w:noProof/>
      </w:rPr>
      <mc:AlternateContent>
        <mc:Choice Requires="wps">
          <w:drawing>
            <wp:anchor distT="0" distB="0" distL="114300" distR="114300" simplePos="0" relativeHeight="251658240" behindDoc="1" locked="0" layoutInCell="0" allowOverlap="1" wp14:anchorId="7BF855CC" wp14:editId="010063F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6BAEF2"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43A5F">
      <w:tab/>
      <w:t>Federal Communications Commission</w:t>
    </w:r>
    <w:r w:rsidRPr="00843A5F">
      <w:tab/>
    </w:r>
    <w:r w:rsidRPr="002755D1">
      <w:rPr>
        <w:spacing w:val="-2"/>
      </w:rPr>
      <w:t xml:space="preserve">DA </w:t>
    </w:r>
    <w:r>
      <w:rPr>
        <w:spacing w:val="-2"/>
      </w:rPr>
      <w:t>1</w:t>
    </w:r>
    <w:r w:rsidR="007F3830">
      <w:rPr>
        <w:spacing w:val="-2"/>
      </w:rPr>
      <w:t>6</w:t>
    </w:r>
    <w:r w:rsidRPr="002755D1">
      <w:rPr>
        <w:spacing w:val="-2"/>
      </w:rPr>
      <w:t>-</w:t>
    </w:r>
    <w:r w:rsidR="009C476E">
      <w:rPr>
        <w:spacing w:val="-2"/>
      </w:rPr>
      <w:t>381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5A46892E"/>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907F2C"/>
    <w:multiLevelType w:val="hybridMultilevel"/>
    <w:tmpl w:val="6C7E850A"/>
    <w:lvl w:ilvl="0" w:tplc="CC4AE244">
      <w:start w:val="1"/>
      <w:numFmt w:val="lowerLetter"/>
      <w:lvlText w:val="(%1)"/>
      <w:lvlJc w:val="left"/>
      <w:pPr>
        <w:tabs>
          <w:tab w:val="num" w:pos="1224"/>
        </w:tabs>
        <w:ind w:left="1224" w:hanging="432"/>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8058D3"/>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A024E51"/>
    <w:multiLevelType w:val="hybridMultilevel"/>
    <w:tmpl w:val="95E28D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3">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4">
    <w:nsid w:val="76253019"/>
    <w:multiLevelType w:val="hybridMultilevel"/>
    <w:tmpl w:val="70620094"/>
    <w:lvl w:ilvl="0" w:tplc="78B41958">
      <w:start w:val="1"/>
      <w:numFmt w:val="lowerLetter"/>
      <w:lvlText w:val="(%1)"/>
      <w:lvlJc w:val="left"/>
      <w:pPr>
        <w:tabs>
          <w:tab w:val="num" w:pos="5976"/>
        </w:tabs>
        <w:ind w:left="5976" w:hanging="432"/>
      </w:pPr>
      <w:rPr>
        <w:rFonts w:cs="Times New Roman" w:hint="default"/>
        <w:b w:val="0"/>
        <w:i w:val="0"/>
        <w:sz w:val="22"/>
        <w:szCs w:val="22"/>
      </w:rPr>
    </w:lvl>
    <w:lvl w:ilvl="1" w:tplc="04090019">
      <w:start w:val="1"/>
      <w:numFmt w:val="lowerLetter"/>
      <w:lvlText w:val="%2."/>
      <w:lvlJc w:val="left"/>
      <w:pPr>
        <w:tabs>
          <w:tab w:val="num" w:pos="6192"/>
        </w:tabs>
        <w:ind w:left="6192" w:hanging="360"/>
      </w:pPr>
    </w:lvl>
    <w:lvl w:ilvl="2" w:tplc="0409001B">
      <w:start w:val="1"/>
      <w:numFmt w:val="lowerRoman"/>
      <w:lvlText w:val="%3."/>
      <w:lvlJc w:val="right"/>
      <w:pPr>
        <w:tabs>
          <w:tab w:val="num" w:pos="6912"/>
        </w:tabs>
        <w:ind w:left="6912" w:hanging="180"/>
      </w:pPr>
      <w:rPr>
        <w:rFonts w:cs="Times New Roman"/>
      </w:rPr>
    </w:lvl>
    <w:lvl w:ilvl="3" w:tplc="0409000F">
      <w:start w:val="1"/>
      <w:numFmt w:val="decimal"/>
      <w:lvlText w:val="%4."/>
      <w:lvlJc w:val="left"/>
      <w:pPr>
        <w:tabs>
          <w:tab w:val="num" w:pos="7632"/>
        </w:tabs>
        <w:ind w:left="7632" w:hanging="360"/>
      </w:pPr>
      <w:rPr>
        <w:rFonts w:cs="Times New Roman"/>
      </w:rPr>
    </w:lvl>
    <w:lvl w:ilvl="4" w:tplc="04090019" w:tentative="1">
      <w:start w:val="1"/>
      <w:numFmt w:val="lowerLetter"/>
      <w:lvlText w:val="%5."/>
      <w:lvlJc w:val="left"/>
      <w:pPr>
        <w:tabs>
          <w:tab w:val="num" w:pos="8352"/>
        </w:tabs>
        <w:ind w:left="8352" w:hanging="360"/>
      </w:pPr>
      <w:rPr>
        <w:rFonts w:cs="Times New Roman"/>
      </w:rPr>
    </w:lvl>
    <w:lvl w:ilvl="5" w:tplc="0409001B" w:tentative="1">
      <w:start w:val="1"/>
      <w:numFmt w:val="lowerRoman"/>
      <w:lvlText w:val="%6."/>
      <w:lvlJc w:val="right"/>
      <w:pPr>
        <w:tabs>
          <w:tab w:val="num" w:pos="9072"/>
        </w:tabs>
        <w:ind w:left="9072" w:hanging="180"/>
      </w:pPr>
      <w:rPr>
        <w:rFonts w:cs="Times New Roman"/>
      </w:rPr>
    </w:lvl>
    <w:lvl w:ilvl="6" w:tplc="0409000F" w:tentative="1">
      <w:start w:val="1"/>
      <w:numFmt w:val="decimal"/>
      <w:lvlText w:val="%7."/>
      <w:lvlJc w:val="left"/>
      <w:pPr>
        <w:tabs>
          <w:tab w:val="num" w:pos="9792"/>
        </w:tabs>
        <w:ind w:left="9792" w:hanging="360"/>
      </w:pPr>
      <w:rPr>
        <w:rFonts w:cs="Times New Roman"/>
      </w:rPr>
    </w:lvl>
    <w:lvl w:ilvl="7" w:tplc="04090019" w:tentative="1">
      <w:start w:val="1"/>
      <w:numFmt w:val="lowerLetter"/>
      <w:lvlText w:val="%8."/>
      <w:lvlJc w:val="left"/>
      <w:pPr>
        <w:tabs>
          <w:tab w:val="num" w:pos="10512"/>
        </w:tabs>
        <w:ind w:left="10512" w:hanging="360"/>
      </w:pPr>
      <w:rPr>
        <w:rFonts w:cs="Times New Roman"/>
      </w:rPr>
    </w:lvl>
    <w:lvl w:ilvl="8" w:tplc="0409001B" w:tentative="1">
      <w:start w:val="1"/>
      <w:numFmt w:val="lowerRoman"/>
      <w:lvlText w:val="%9."/>
      <w:lvlJc w:val="right"/>
      <w:pPr>
        <w:tabs>
          <w:tab w:val="num" w:pos="11232"/>
        </w:tabs>
        <w:ind w:left="11232" w:hanging="180"/>
      </w:pPr>
      <w:rPr>
        <w:rFonts w:cs="Times New Roman"/>
      </w:rPr>
    </w:lvl>
  </w:abstractNum>
  <w:num w:numId="1">
    <w:abstractNumId w:val="11"/>
  </w:num>
  <w:num w:numId="2">
    <w:abstractNumId w:val="6"/>
  </w:num>
  <w:num w:numId="3">
    <w:abstractNumId w:val="13"/>
  </w:num>
  <w:num w:numId="4">
    <w:abstractNumId w:val="12"/>
  </w:num>
  <w:num w:numId="5">
    <w:abstractNumId w:val="2"/>
  </w:num>
  <w:num w:numId="6">
    <w:abstractNumId w:val="14"/>
  </w:num>
  <w:num w:numId="7">
    <w:abstractNumId w:val="1"/>
  </w:num>
  <w:num w:numId="8">
    <w:abstractNumId w:val="11"/>
    <w:lvlOverride w:ilvl="0">
      <w:startOverride w:val="1"/>
    </w:lvlOverride>
  </w:num>
  <w:num w:numId="9">
    <w:abstractNumId w:val="7"/>
  </w:num>
  <w:num w:numId="10">
    <w:abstractNumId w:val="4"/>
  </w:num>
  <w:num w:numId="11">
    <w:abstractNumId w:val="9"/>
  </w:num>
  <w:num w:numId="12">
    <w:abstractNumId w:val="5"/>
  </w:num>
  <w:num w:numId="13">
    <w:abstractNumId w:val="0"/>
  </w:num>
  <w:num w:numId="14">
    <w:abstractNumId w:val="3"/>
  </w:num>
  <w:num w:numId="15">
    <w:abstractNumId w:val="11"/>
    <w:lvlOverride w:ilvl="0">
      <w:startOverride w:val="4"/>
    </w:lvlOverride>
  </w:num>
  <w:num w:numId="16">
    <w:abstractNumId w:val="11"/>
    <w:lvlOverride w:ilvl="0">
      <w:startOverride w:val="22"/>
    </w:lvlOverride>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0"/>
  </w:num>
  <w:num w:numId="40">
    <w:abstractNumId w:val="13"/>
  </w:num>
  <w:num w:numId="4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0"/>
    <w:rsid w:val="00001CB4"/>
    <w:rsid w:val="0001071B"/>
    <w:rsid w:val="00014484"/>
    <w:rsid w:val="000216AD"/>
    <w:rsid w:val="00023FF6"/>
    <w:rsid w:val="00024902"/>
    <w:rsid w:val="000251D3"/>
    <w:rsid w:val="000262C0"/>
    <w:rsid w:val="00026D75"/>
    <w:rsid w:val="00026D97"/>
    <w:rsid w:val="00027E97"/>
    <w:rsid w:val="000302D0"/>
    <w:rsid w:val="00033708"/>
    <w:rsid w:val="00036039"/>
    <w:rsid w:val="00036B37"/>
    <w:rsid w:val="00037F90"/>
    <w:rsid w:val="00040BB5"/>
    <w:rsid w:val="0004154A"/>
    <w:rsid w:val="0004267E"/>
    <w:rsid w:val="00042D71"/>
    <w:rsid w:val="00046153"/>
    <w:rsid w:val="00047F1C"/>
    <w:rsid w:val="000514F1"/>
    <w:rsid w:val="00051558"/>
    <w:rsid w:val="00056532"/>
    <w:rsid w:val="00061A57"/>
    <w:rsid w:val="00064ADC"/>
    <w:rsid w:val="000668DA"/>
    <w:rsid w:val="0007059D"/>
    <w:rsid w:val="000728FF"/>
    <w:rsid w:val="00073450"/>
    <w:rsid w:val="00073561"/>
    <w:rsid w:val="00075906"/>
    <w:rsid w:val="00076C13"/>
    <w:rsid w:val="00076DF5"/>
    <w:rsid w:val="0008718F"/>
    <w:rsid w:val="000875BF"/>
    <w:rsid w:val="00090E63"/>
    <w:rsid w:val="00096D8C"/>
    <w:rsid w:val="000971AC"/>
    <w:rsid w:val="000A5F07"/>
    <w:rsid w:val="000B00E8"/>
    <w:rsid w:val="000B17A6"/>
    <w:rsid w:val="000B1A38"/>
    <w:rsid w:val="000B3970"/>
    <w:rsid w:val="000B622D"/>
    <w:rsid w:val="000B6DAE"/>
    <w:rsid w:val="000C0B65"/>
    <w:rsid w:val="000D5798"/>
    <w:rsid w:val="000D6A4A"/>
    <w:rsid w:val="000E05FE"/>
    <w:rsid w:val="000E3D42"/>
    <w:rsid w:val="000E4E42"/>
    <w:rsid w:val="000E655A"/>
    <w:rsid w:val="000E6874"/>
    <w:rsid w:val="000E7521"/>
    <w:rsid w:val="00104BEE"/>
    <w:rsid w:val="0011427B"/>
    <w:rsid w:val="00117BD4"/>
    <w:rsid w:val="001208E8"/>
    <w:rsid w:val="00122296"/>
    <w:rsid w:val="0012234C"/>
    <w:rsid w:val="00122BD5"/>
    <w:rsid w:val="00124341"/>
    <w:rsid w:val="00126CA2"/>
    <w:rsid w:val="001278CC"/>
    <w:rsid w:val="001314FC"/>
    <w:rsid w:val="00131E10"/>
    <w:rsid w:val="0013249B"/>
    <w:rsid w:val="00133F79"/>
    <w:rsid w:val="001438DA"/>
    <w:rsid w:val="0014677E"/>
    <w:rsid w:val="0015122B"/>
    <w:rsid w:val="0015224A"/>
    <w:rsid w:val="00153746"/>
    <w:rsid w:val="00153AAA"/>
    <w:rsid w:val="00154477"/>
    <w:rsid w:val="00155C0B"/>
    <w:rsid w:val="00161D89"/>
    <w:rsid w:val="00170940"/>
    <w:rsid w:val="00171046"/>
    <w:rsid w:val="001711DC"/>
    <w:rsid w:val="00176594"/>
    <w:rsid w:val="00176959"/>
    <w:rsid w:val="00182208"/>
    <w:rsid w:val="00182304"/>
    <w:rsid w:val="00186182"/>
    <w:rsid w:val="00190C82"/>
    <w:rsid w:val="0019214A"/>
    <w:rsid w:val="001933D7"/>
    <w:rsid w:val="00194A66"/>
    <w:rsid w:val="001A049B"/>
    <w:rsid w:val="001A5288"/>
    <w:rsid w:val="001A7299"/>
    <w:rsid w:val="001B2424"/>
    <w:rsid w:val="001B74D4"/>
    <w:rsid w:val="001B7993"/>
    <w:rsid w:val="001C1346"/>
    <w:rsid w:val="001C4926"/>
    <w:rsid w:val="001C71E0"/>
    <w:rsid w:val="001D37A4"/>
    <w:rsid w:val="001D41E6"/>
    <w:rsid w:val="001D4CD4"/>
    <w:rsid w:val="001D60BE"/>
    <w:rsid w:val="001D6BCF"/>
    <w:rsid w:val="001E01CA"/>
    <w:rsid w:val="001F1D5B"/>
    <w:rsid w:val="001F2665"/>
    <w:rsid w:val="001F2C97"/>
    <w:rsid w:val="001F2CA4"/>
    <w:rsid w:val="001F7862"/>
    <w:rsid w:val="00200072"/>
    <w:rsid w:val="00206025"/>
    <w:rsid w:val="00207E47"/>
    <w:rsid w:val="002172CD"/>
    <w:rsid w:val="00220A10"/>
    <w:rsid w:val="00222F02"/>
    <w:rsid w:val="00227BF4"/>
    <w:rsid w:val="00233756"/>
    <w:rsid w:val="0023470C"/>
    <w:rsid w:val="002436B5"/>
    <w:rsid w:val="00246786"/>
    <w:rsid w:val="00257744"/>
    <w:rsid w:val="00257763"/>
    <w:rsid w:val="00260189"/>
    <w:rsid w:val="00261972"/>
    <w:rsid w:val="00262413"/>
    <w:rsid w:val="00262C95"/>
    <w:rsid w:val="00263706"/>
    <w:rsid w:val="002673F5"/>
    <w:rsid w:val="002755CB"/>
    <w:rsid w:val="002755D1"/>
    <w:rsid w:val="00275CF5"/>
    <w:rsid w:val="00276774"/>
    <w:rsid w:val="00276A71"/>
    <w:rsid w:val="002775B3"/>
    <w:rsid w:val="0028301F"/>
    <w:rsid w:val="00285017"/>
    <w:rsid w:val="00286347"/>
    <w:rsid w:val="00291D68"/>
    <w:rsid w:val="00296428"/>
    <w:rsid w:val="002A2D2E"/>
    <w:rsid w:val="002B1765"/>
    <w:rsid w:val="002B41D6"/>
    <w:rsid w:val="002B5AA5"/>
    <w:rsid w:val="002B6A2E"/>
    <w:rsid w:val="002C00E8"/>
    <w:rsid w:val="002C14B4"/>
    <w:rsid w:val="002C1AC5"/>
    <w:rsid w:val="002C1DDB"/>
    <w:rsid w:val="002C1FAD"/>
    <w:rsid w:val="002E46B8"/>
    <w:rsid w:val="002E4E09"/>
    <w:rsid w:val="002E5F35"/>
    <w:rsid w:val="002F0A22"/>
    <w:rsid w:val="002F585C"/>
    <w:rsid w:val="002F7012"/>
    <w:rsid w:val="002F7ABB"/>
    <w:rsid w:val="003010FA"/>
    <w:rsid w:val="003027C5"/>
    <w:rsid w:val="00302835"/>
    <w:rsid w:val="00302AC4"/>
    <w:rsid w:val="00302C38"/>
    <w:rsid w:val="00302DFF"/>
    <w:rsid w:val="00306CC1"/>
    <w:rsid w:val="00307102"/>
    <w:rsid w:val="00307AE4"/>
    <w:rsid w:val="00322FE8"/>
    <w:rsid w:val="00327FAD"/>
    <w:rsid w:val="00331EC0"/>
    <w:rsid w:val="003329C5"/>
    <w:rsid w:val="00340066"/>
    <w:rsid w:val="00343749"/>
    <w:rsid w:val="00344C16"/>
    <w:rsid w:val="003462F5"/>
    <w:rsid w:val="003533DC"/>
    <w:rsid w:val="00353791"/>
    <w:rsid w:val="00356081"/>
    <w:rsid w:val="00357C0A"/>
    <w:rsid w:val="00360884"/>
    <w:rsid w:val="00365194"/>
    <w:rsid w:val="003660ED"/>
    <w:rsid w:val="00366782"/>
    <w:rsid w:val="00375E8E"/>
    <w:rsid w:val="00381D93"/>
    <w:rsid w:val="003909A2"/>
    <w:rsid w:val="00394828"/>
    <w:rsid w:val="003A3C0A"/>
    <w:rsid w:val="003B0550"/>
    <w:rsid w:val="003B4047"/>
    <w:rsid w:val="003B59AC"/>
    <w:rsid w:val="003B694F"/>
    <w:rsid w:val="003C4A20"/>
    <w:rsid w:val="003C4BCC"/>
    <w:rsid w:val="003D2584"/>
    <w:rsid w:val="003D2655"/>
    <w:rsid w:val="003D41F8"/>
    <w:rsid w:val="003D5FB2"/>
    <w:rsid w:val="003D7A7D"/>
    <w:rsid w:val="003F171C"/>
    <w:rsid w:val="003F5159"/>
    <w:rsid w:val="003F5CF7"/>
    <w:rsid w:val="003F664A"/>
    <w:rsid w:val="004036DC"/>
    <w:rsid w:val="00403DE2"/>
    <w:rsid w:val="00412FC5"/>
    <w:rsid w:val="00422276"/>
    <w:rsid w:val="004242F1"/>
    <w:rsid w:val="004261F8"/>
    <w:rsid w:val="00426D94"/>
    <w:rsid w:val="004305E9"/>
    <w:rsid w:val="00434A09"/>
    <w:rsid w:val="004365B3"/>
    <w:rsid w:val="00440A39"/>
    <w:rsid w:val="004419DD"/>
    <w:rsid w:val="00441B6B"/>
    <w:rsid w:val="0044203A"/>
    <w:rsid w:val="0044331D"/>
    <w:rsid w:val="004446A4"/>
    <w:rsid w:val="00445A00"/>
    <w:rsid w:val="00446A6B"/>
    <w:rsid w:val="00451B0F"/>
    <w:rsid w:val="00453A9E"/>
    <w:rsid w:val="004620CB"/>
    <w:rsid w:val="00462BA2"/>
    <w:rsid w:val="004676BE"/>
    <w:rsid w:val="00474491"/>
    <w:rsid w:val="00474905"/>
    <w:rsid w:val="00477704"/>
    <w:rsid w:val="00481264"/>
    <w:rsid w:val="00483717"/>
    <w:rsid w:val="00485C9F"/>
    <w:rsid w:val="00486AAF"/>
    <w:rsid w:val="00487DA4"/>
    <w:rsid w:val="0049668B"/>
    <w:rsid w:val="004A5FBA"/>
    <w:rsid w:val="004A7483"/>
    <w:rsid w:val="004A7F18"/>
    <w:rsid w:val="004C10C0"/>
    <w:rsid w:val="004C2EE3"/>
    <w:rsid w:val="004C303F"/>
    <w:rsid w:val="004C75DB"/>
    <w:rsid w:val="004E1A1B"/>
    <w:rsid w:val="004E4273"/>
    <w:rsid w:val="004E4A22"/>
    <w:rsid w:val="004E4F32"/>
    <w:rsid w:val="004E5ED4"/>
    <w:rsid w:val="004F088C"/>
    <w:rsid w:val="00502FAF"/>
    <w:rsid w:val="00504214"/>
    <w:rsid w:val="00511968"/>
    <w:rsid w:val="00511B50"/>
    <w:rsid w:val="00516CE9"/>
    <w:rsid w:val="0051761D"/>
    <w:rsid w:val="0052112B"/>
    <w:rsid w:val="00527C71"/>
    <w:rsid w:val="00531B71"/>
    <w:rsid w:val="0053409B"/>
    <w:rsid w:val="00535D4B"/>
    <w:rsid w:val="0055035F"/>
    <w:rsid w:val="00552E46"/>
    <w:rsid w:val="00554498"/>
    <w:rsid w:val="00555C8A"/>
    <w:rsid w:val="0055614C"/>
    <w:rsid w:val="00560DA5"/>
    <w:rsid w:val="00562DFF"/>
    <w:rsid w:val="00565042"/>
    <w:rsid w:val="00566E9B"/>
    <w:rsid w:val="005675C2"/>
    <w:rsid w:val="00572509"/>
    <w:rsid w:val="00572F28"/>
    <w:rsid w:val="00576C55"/>
    <w:rsid w:val="00582BA0"/>
    <w:rsid w:val="005902EF"/>
    <w:rsid w:val="0059356E"/>
    <w:rsid w:val="00593EAD"/>
    <w:rsid w:val="005A3900"/>
    <w:rsid w:val="005A5FC7"/>
    <w:rsid w:val="005B4F0E"/>
    <w:rsid w:val="005B50B0"/>
    <w:rsid w:val="005D22D4"/>
    <w:rsid w:val="005D2C62"/>
    <w:rsid w:val="005D5341"/>
    <w:rsid w:val="005D58F4"/>
    <w:rsid w:val="005D6043"/>
    <w:rsid w:val="005E10F1"/>
    <w:rsid w:val="005E14C2"/>
    <w:rsid w:val="005E3B92"/>
    <w:rsid w:val="005E6193"/>
    <w:rsid w:val="005E6E1E"/>
    <w:rsid w:val="005F13A3"/>
    <w:rsid w:val="005F64AA"/>
    <w:rsid w:val="00604272"/>
    <w:rsid w:val="00605F22"/>
    <w:rsid w:val="0060622A"/>
    <w:rsid w:val="00607BA5"/>
    <w:rsid w:val="00610208"/>
    <w:rsid w:val="0061180A"/>
    <w:rsid w:val="00614340"/>
    <w:rsid w:val="00623967"/>
    <w:rsid w:val="00626EB6"/>
    <w:rsid w:val="00635401"/>
    <w:rsid w:val="00641498"/>
    <w:rsid w:val="00642CD9"/>
    <w:rsid w:val="006459B1"/>
    <w:rsid w:val="006464E5"/>
    <w:rsid w:val="00646C36"/>
    <w:rsid w:val="00652649"/>
    <w:rsid w:val="0065270B"/>
    <w:rsid w:val="006534CA"/>
    <w:rsid w:val="00655D03"/>
    <w:rsid w:val="00657732"/>
    <w:rsid w:val="006649AF"/>
    <w:rsid w:val="00665547"/>
    <w:rsid w:val="006658A4"/>
    <w:rsid w:val="006748B8"/>
    <w:rsid w:val="00683388"/>
    <w:rsid w:val="0068394B"/>
    <w:rsid w:val="00683B2D"/>
    <w:rsid w:val="00683F1F"/>
    <w:rsid w:val="00683F84"/>
    <w:rsid w:val="006918C5"/>
    <w:rsid w:val="0069341E"/>
    <w:rsid w:val="00696150"/>
    <w:rsid w:val="006A0CCD"/>
    <w:rsid w:val="006A16B3"/>
    <w:rsid w:val="006A1800"/>
    <w:rsid w:val="006A26C5"/>
    <w:rsid w:val="006A4025"/>
    <w:rsid w:val="006A5073"/>
    <w:rsid w:val="006A551D"/>
    <w:rsid w:val="006A693A"/>
    <w:rsid w:val="006A6A81"/>
    <w:rsid w:val="006B0959"/>
    <w:rsid w:val="006B3C40"/>
    <w:rsid w:val="006C3132"/>
    <w:rsid w:val="006C3459"/>
    <w:rsid w:val="006C7801"/>
    <w:rsid w:val="006D0F5A"/>
    <w:rsid w:val="006D133D"/>
    <w:rsid w:val="006D418F"/>
    <w:rsid w:val="006E207C"/>
    <w:rsid w:val="006E271D"/>
    <w:rsid w:val="006E2C64"/>
    <w:rsid w:val="006E4152"/>
    <w:rsid w:val="006E4E12"/>
    <w:rsid w:val="006F0782"/>
    <w:rsid w:val="006F7147"/>
    <w:rsid w:val="006F7393"/>
    <w:rsid w:val="006F7639"/>
    <w:rsid w:val="00700D95"/>
    <w:rsid w:val="0070112A"/>
    <w:rsid w:val="0070224F"/>
    <w:rsid w:val="00703BD1"/>
    <w:rsid w:val="007068B5"/>
    <w:rsid w:val="00710CC1"/>
    <w:rsid w:val="007115F7"/>
    <w:rsid w:val="00712B39"/>
    <w:rsid w:val="00712FE9"/>
    <w:rsid w:val="00717A9B"/>
    <w:rsid w:val="00722519"/>
    <w:rsid w:val="00726171"/>
    <w:rsid w:val="007307CE"/>
    <w:rsid w:val="00731BBE"/>
    <w:rsid w:val="007356A4"/>
    <w:rsid w:val="00740567"/>
    <w:rsid w:val="00743294"/>
    <w:rsid w:val="00744FE3"/>
    <w:rsid w:val="0075403B"/>
    <w:rsid w:val="007563C6"/>
    <w:rsid w:val="00766539"/>
    <w:rsid w:val="00770B53"/>
    <w:rsid w:val="007717E9"/>
    <w:rsid w:val="007752D7"/>
    <w:rsid w:val="0077779F"/>
    <w:rsid w:val="0078084A"/>
    <w:rsid w:val="00782F47"/>
    <w:rsid w:val="007840B7"/>
    <w:rsid w:val="00785689"/>
    <w:rsid w:val="0078789C"/>
    <w:rsid w:val="00787AB6"/>
    <w:rsid w:val="0079280A"/>
    <w:rsid w:val="0079754B"/>
    <w:rsid w:val="007A09D5"/>
    <w:rsid w:val="007A1E6D"/>
    <w:rsid w:val="007A2DC0"/>
    <w:rsid w:val="007A47C4"/>
    <w:rsid w:val="007A4C81"/>
    <w:rsid w:val="007A541A"/>
    <w:rsid w:val="007A547E"/>
    <w:rsid w:val="007A7349"/>
    <w:rsid w:val="007B0D37"/>
    <w:rsid w:val="007B0D77"/>
    <w:rsid w:val="007B0E95"/>
    <w:rsid w:val="007B0EB2"/>
    <w:rsid w:val="007B5620"/>
    <w:rsid w:val="007B78FD"/>
    <w:rsid w:val="007C0685"/>
    <w:rsid w:val="007C09F1"/>
    <w:rsid w:val="007C0B2B"/>
    <w:rsid w:val="007C0B39"/>
    <w:rsid w:val="007C4242"/>
    <w:rsid w:val="007C473D"/>
    <w:rsid w:val="007D19A5"/>
    <w:rsid w:val="007D2615"/>
    <w:rsid w:val="007D7BED"/>
    <w:rsid w:val="007E21DB"/>
    <w:rsid w:val="007E2EBD"/>
    <w:rsid w:val="007E467D"/>
    <w:rsid w:val="007E4AF8"/>
    <w:rsid w:val="007F2132"/>
    <w:rsid w:val="007F327A"/>
    <w:rsid w:val="007F3830"/>
    <w:rsid w:val="007F766D"/>
    <w:rsid w:val="00805BF5"/>
    <w:rsid w:val="00806024"/>
    <w:rsid w:val="008061DE"/>
    <w:rsid w:val="008062B4"/>
    <w:rsid w:val="0080718C"/>
    <w:rsid w:val="00810B6F"/>
    <w:rsid w:val="00811C67"/>
    <w:rsid w:val="008155A1"/>
    <w:rsid w:val="008162C7"/>
    <w:rsid w:val="0081645F"/>
    <w:rsid w:val="00816B12"/>
    <w:rsid w:val="00822CE0"/>
    <w:rsid w:val="008232AD"/>
    <w:rsid w:val="008257A7"/>
    <w:rsid w:val="00830A41"/>
    <w:rsid w:val="00832DE8"/>
    <w:rsid w:val="00832FC2"/>
    <w:rsid w:val="008335CC"/>
    <w:rsid w:val="0083587E"/>
    <w:rsid w:val="00841AB1"/>
    <w:rsid w:val="00842EF2"/>
    <w:rsid w:val="00843A5F"/>
    <w:rsid w:val="0085048F"/>
    <w:rsid w:val="00851A45"/>
    <w:rsid w:val="00852593"/>
    <w:rsid w:val="00854030"/>
    <w:rsid w:val="00855D02"/>
    <w:rsid w:val="0086264E"/>
    <w:rsid w:val="00864879"/>
    <w:rsid w:val="00867F7A"/>
    <w:rsid w:val="00877779"/>
    <w:rsid w:val="00877977"/>
    <w:rsid w:val="00881AE1"/>
    <w:rsid w:val="00881D80"/>
    <w:rsid w:val="00883524"/>
    <w:rsid w:val="00885919"/>
    <w:rsid w:val="00896520"/>
    <w:rsid w:val="00896CFD"/>
    <w:rsid w:val="00897878"/>
    <w:rsid w:val="00897A81"/>
    <w:rsid w:val="008A1C76"/>
    <w:rsid w:val="008A2AD9"/>
    <w:rsid w:val="008A3BFE"/>
    <w:rsid w:val="008A40AE"/>
    <w:rsid w:val="008A5D15"/>
    <w:rsid w:val="008A7975"/>
    <w:rsid w:val="008A7AD7"/>
    <w:rsid w:val="008A7F23"/>
    <w:rsid w:val="008B4893"/>
    <w:rsid w:val="008B628C"/>
    <w:rsid w:val="008C06ED"/>
    <w:rsid w:val="008C2889"/>
    <w:rsid w:val="008C3BDF"/>
    <w:rsid w:val="008C68F1"/>
    <w:rsid w:val="008D3C3F"/>
    <w:rsid w:val="008D422C"/>
    <w:rsid w:val="008D64F8"/>
    <w:rsid w:val="008D6611"/>
    <w:rsid w:val="008D79FA"/>
    <w:rsid w:val="008E1C6A"/>
    <w:rsid w:val="008E3790"/>
    <w:rsid w:val="008E5A04"/>
    <w:rsid w:val="008F12DE"/>
    <w:rsid w:val="008F1562"/>
    <w:rsid w:val="008F2DBF"/>
    <w:rsid w:val="008F77C4"/>
    <w:rsid w:val="00901E14"/>
    <w:rsid w:val="00901E3F"/>
    <w:rsid w:val="009041E4"/>
    <w:rsid w:val="009051FC"/>
    <w:rsid w:val="00905548"/>
    <w:rsid w:val="009068C2"/>
    <w:rsid w:val="009109DD"/>
    <w:rsid w:val="00912E71"/>
    <w:rsid w:val="00913231"/>
    <w:rsid w:val="00914AC0"/>
    <w:rsid w:val="009150AB"/>
    <w:rsid w:val="00921803"/>
    <w:rsid w:val="00926503"/>
    <w:rsid w:val="00926FC4"/>
    <w:rsid w:val="009279FD"/>
    <w:rsid w:val="00927B1B"/>
    <w:rsid w:val="0093006C"/>
    <w:rsid w:val="009309E5"/>
    <w:rsid w:val="00930FBA"/>
    <w:rsid w:val="009341CC"/>
    <w:rsid w:val="00936B23"/>
    <w:rsid w:val="00940028"/>
    <w:rsid w:val="00945DB8"/>
    <w:rsid w:val="009476B1"/>
    <w:rsid w:val="00947DEB"/>
    <w:rsid w:val="00956E2C"/>
    <w:rsid w:val="00957B6E"/>
    <w:rsid w:val="009609E4"/>
    <w:rsid w:val="00961A96"/>
    <w:rsid w:val="0096758E"/>
    <w:rsid w:val="00971733"/>
    <w:rsid w:val="009726D8"/>
    <w:rsid w:val="009734D3"/>
    <w:rsid w:val="00975937"/>
    <w:rsid w:val="00980648"/>
    <w:rsid w:val="00982541"/>
    <w:rsid w:val="00984825"/>
    <w:rsid w:val="009850EA"/>
    <w:rsid w:val="009901DE"/>
    <w:rsid w:val="00993743"/>
    <w:rsid w:val="009A17A5"/>
    <w:rsid w:val="009B050F"/>
    <w:rsid w:val="009B31C8"/>
    <w:rsid w:val="009C46DE"/>
    <w:rsid w:val="009C476E"/>
    <w:rsid w:val="009C6343"/>
    <w:rsid w:val="009D1D98"/>
    <w:rsid w:val="009D438C"/>
    <w:rsid w:val="009D7FB5"/>
    <w:rsid w:val="009E1DE8"/>
    <w:rsid w:val="009E201B"/>
    <w:rsid w:val="009E2673"/>
    <w:rsid w:val="009E51C5"/>
    <w:rsid w:val="009E78EC"/>
    <w:rsid w:val="009F27F6"/>
    <w:rsid w:val="009F76DB"/>
    <w:rsid w:val="00A05BD4"/>
    <w:rsid w:val="00A13790"/>
    <w:rsid w:val="00A13EEC"/>
    <w:rsid w:val="00A165A1"/>
    <w:rsid w:val="00A17DF1"/>
    <w:rsid w:val="00A24346"/>
    <w:rsid w:val="00A30081"/>
    <w:rsid w:val="00A32C3B"/>
    <w:rsid w:val="00A34BAD"/>
    <w:rsid w:val="00A35800"/>
    <w:rsid w:val="00A45B71"/>
    <w:rsid w:val="00A45F4F"/>
    <w:rsid w:val="00A475EF"/>
    <w:rsid w:val="00A51F7B"/>
    <w:rsid w:val="00A547F8"/>
    <w:rsid w:val="00A5613E"/>
    <w:rsid w:val="00A600A9"/>
    <w:rsid w:val="00A66B78"/>
    <w:rsid w:val="00A7214F"/>
    <w:rsid w:val="00A7366F"/>
    <w:rsid w:val="00A75FE5"/>
    <w:rsid w:val="00A8149F"/>
    <w:rsid w:val="00A81F1D"/>
    <w:rsid w:val="00A905CB"/>
    <w:rsid w:val="00A944DB"/>
    <w:rsid w:val="00AA1A67"/>
    <w:rsid w:val="00AA1D8C"/>
    <w:rsid w:val="00AA216B"/>
    <w:rsid w:val="00AA2529"/>
    <w:rsid w:val="00AA55B7"/>
    <w:rsid w:val="00AA5B9E"/>
    <w:rsid w:val="00AA7E79"/>
    <w:rsid w:val="00AB2407"/>
    <w:rsid w:val="00AB43B3"/>
    <w:rsid w:val="00AB53DF"/>
    <w:rsid w:val="00AB6A82"/>
    <w:rsid w:val="00AB6ADC"/>
    <w:rsid w:val="00AC2FE7"/>
    <w:rsid w:val="00AC4101"/>
    <w:rsid w:val="00AC45E4"/>
    <w:rsid w:val="00AC67DE"/>
    <w:rsid w:val="00AC7DEE"/>
    <w:rsid w:val="00AD0401"/>
    <w:rsid w:val="00AD552D"/>
    <w:rsid w:val="00AD6A7F"/>
    <w:rsid w:val="00AD6D76"/>
    <w:rsid w:val="00AD778B"/>
    <w:rsid w:val="00AE01C2"/>
    <w:rsid w:val="00AE24D5"/>
    <w:rsid w:val="00AE2D0A"/>
    <w:rsid w:val="00AE7FB1"/>
    <w:rsid w:val="00B0044E"/>
    <w:rsid w:val="00B023FF"/>
    <w:rsid w:val="00B03AB1"/>
    <w:rsid w:val="00B067FE"/>
    <w:rsid w:val="00B07974"/>
    <w:rsid w:val="00B07E5C"/>
    <w:rsid w:val="00B11046"/>
    <w:rsid w:val="00B13A11"/>
    <w:rsid w:val="00B1444F"/>
    <w:rsid w:val="00B1744C"/>
    <w:rsid w:val="00B213CA"/>
    <w:rsid w:val="00B2349B"/>
    <w:rsid w:val="00B2646D"/>
    <w:rsid w:val="00B26748"/>
    <w:rsid w:val="00B36CDF"/>
    <w:rsid w:val="00B4239E"/>
    <w:rsid w:val="00B42728"/>
    <w:rsid w:val="00B42788"/>
    <w:rsid w:val="00B43958"/>
    <w:rsid w:val="00B43FC1"/>
    <w:rsid w:val="00B4634E"/>
    <w:rsid w:val="00B504D8"/>
    <w:rsid w:val="00B51411"/>
    <w:rsid w:val="00B51B28"/>
    <w:rsid w:val="00B53BF6"/>
    <w:rsid w:val="00B54052"/>
    <w:rsid w:val="00B709FD"/>
    <w:rsid w:val="00B7146B"/>
    <w:rsid w:val="00B73A30"/>
    <w:rsid w:val="00B75863"/>
    <w:rsid w:val="00B75B87"/>
    <w:rsid w:val="00B76F47"/>
    <w:rsid w:val="00B810D1"/>
    <w:rsid w:val="00B811F7"/>
    <w:rsid w:val="00B82701"/>
    <w:rsid w:val="00B8387C"/>
    <w:rsid w:val="00B8391A"/>
    <w:rsid w:val="00B8537D"/>
    <w:rsid w:val="00B905A7"/>
    <w:rsid w:val="00B92FA2"/>
    <w:rsid w:val="00B94251"/>
    <w:rsid w:val="00B94930"/>
    <w:rsid w:val="00BA02ED"/>
    <w:rsid w:val="00BA5DC6"/>
    <w:rsid w:val="00BA612B"/>
    <w:rsid w:val="00BA6196"/>
    <w:rsid w:val="00BB440F"/>
    <w:rsid w:val="00BC67CB"/>
    <w:rsid w:val="00BC6D8C"/>
    <w:rsid w:val="00BC7594"/>
    <w:rsid w:val="00BC7821"/>
    <w:rsid w:val="00BC7F0E"/>
    <w:rsid w:val="00BD08D2"/>
    <w:rsid w:val="00BD4EBC"/>
    <w:rsid w:val="00BD5BEC"/>
    <w:rsid w:val="00BD779B"/>
    <w:rsid w:val="00BE103C"/>
    <w:rsid w:val="00BE6CC9"/>
    <w:rsid w:val="00BE7E75"/>
    <w:rsid w:val="00BF2C49"/>
    <w:rsid w:val="00BF5002"/>
    <w:rsid w:val="00BF684A"/>
    <w:rsid w:val="00C014DA"/>
    <w:rsid w:val="00C01E1F"/>
    <w:rsid w:val="00C04651"/>
    <w:rsid w:val="00C135FD"/>
    <w:rsid w:val="00C236AC"/>
    <w:rsid w:val="00C24CA8"/>
    <w:rsid w:val="00C277CC"/>
    <w:rsid w:val="00C27BF9"/>
    <w:rsid w:val="00C32B1E"/>
    <w:rsid w:val="00C3309D"/>
    <w:rsid w:val="00C34006"/>
    <w:rsid w:val="00C353B8"/>
    <w:rsid w:val="00C3652C"/>
    <w:rsid w:val="00C426B1"/>
    <w:rsid w:val="00C43E4A"/>
    <w:rsid w:val="00C47B66"/>
    <w:rsid w:val="00C55ABA"/>
    <w:rsid w:val="00C55F20"/>
    <w:rsid w:val="00C575BD"/>
    <w:rsid w:val="00C579A0"/>
    <w:rsid w:val="00C6383F"/>
    <w:rsid w:val="00C66160"/>
    <w:rsid w:val="00C67FC4"/>
    <w:rsid w:val="00C7140C"/>
    <w:rsid w:val="00C721AC"/>
    <w:rsid w:val="00C8124A"/>
    <w:rsid w:val="00C83F7E"/>
    <w:rsid w:val="00C841D5"/>
    <w:rsid w:val="00C8491A"/>
    <w:rsid w:val="00C90038"/>
    <w:rsid w:val="00C907ED"/>
    <w:rsid w:val="00C90D6A"/>
    <w:rsid w:val="00C9150F"/>
    <w:rsid w:val="00CA08CD"/>
    <w:rsid w:val="00CA247E"/>
    <w:rsid w:val="00CA3B5A"/>
    <w:rsid w:val="00CA519B"/>
    <w:rsid w:val="00CB43A5"/>
    <w:rsid w:val="00CB4AB1"/>
    <w:rsid w:val="00CC72B6"/>
    <w:rsid w:val="00CD3870"/>
    <w:rsid w:val="00CE68FE"/>
    <w:rsid w:val="00CE79A0"/>
    <w:rsid w:val="00CE7D37"/>
    <w:rsid w:val="00CF055D"/>
    <w:rsid w:val="00CF0F21"/>
    <w:rsid w:val="00CF1B2D"/>
    <w:rsid w:val="00CF1C7F"/>
    <w:rsid w:val="00CF210F"/>
    <w:rsid w:val="00CF64AE"/>
    <w:rsid w:val="00D012C8"/>
    <w:rsid w:val="00D0218D"/>
    <w:rsid w:val="00D076CD"/>
    <w:rsid w:val="00D1156A"/>
    <w:rsid w:val="00D14F53"/>
    <w:rsid w:val="00D15E94"/>
    <w:rsid w:val="00D24CB0"/>
    <w:rsid w:val="00D25FB5"/>
    <w:rsid w:val="00D27F49"/>
    <w:rsid w:val="00D308CF"/>
    <w:rsid w:val="00D341FE"/>
    <w:rsid w:val="00D379F0"/>
    <w:rsid w:val="00D433E6"/>
    <w:rsid w:val="00D44223"/>
    <w:rsid w:val="00D4452F"/>
    <w:rsid w:val="00D45A54"/>
    <w:rsid w:val="00D47D91"/>
    <w:rsid w:val="00D503BA"/>
    <w:rsid w:val="00D558A4"/>
    <w:rsid w:val="00D560CD"/>
    <w:rsid w:val="00D56A4B"/>
    <w:rsid w:val="00D612FE"/>
    <w:rsid w:val="00D6260F"/>
    <w:rsid w:val="00D627A6"/>
    <w:rsid w:val="00D63CA8"/>
    <w:rsid w:val="00D65117"/>
    <w:rsid w:val="00D66953"/>
    <w:rsid w:val="00D6706E"/>
    <w:rsid w:val="00D71441"/>
    <w:rsid w:val="00D7242F"/>
    <w:rsid w:val="00D72872"/>
    <w:rsid w:val="00D80103"/>
    <w:rsid w:val="00D80B30"/>
    <w:rsid w:val="00D817B3"/>
    <w:rsid w:val="00D81F89"/>
    <w:rsid w:val="00D83696"/>
    <w:rsid w:val="00D84F78"/>
    <w:rsid w:val="00D85F19"/>
    <w:rsid w:val="00D9021A"/>
    <w:rsid w:val="00D90F07"/>
    <w:rsid w:val="00D9506D"/>
    <w:rsid w:val="00DA0110"/>
    <w:rsid w:val="00DA1426"/>
    <w:rsid w:val="00DA176A"/>
    <w:rsid w:val="00DA2529"/>
    <w:rsid w:val="00DA3C08"/>
    <w:rsid w:val="00DB0955"/>
    <w:rsid w:val="00DB0C03"/>
    <w:rsid w:val="00DB130A"/>
    <w:rsid w:val="00DB178E"/>
    <w:rsid w:val="00DB2EBB"/>
    <w:rsid w:val="00DB4C4F"/>
    <w:rsid w:val="00DB6620"/>
    <w:rsid w:val="00DC10A1"/>
    <w:rsid w:val="00DC2111"/>
    <w:rsid w:val="00DC4CEB"/>
    <w:rsid w:val="00DC655F"/>
    <w:rsid w:val="00DD0B59"/>
    <w:rsid w:val="00DD1F61"/>
    <w:rsid w:val="00DD42FB"/>
    <w:rsid w:val="00DD4456"/>
    <w:rsid w:val="00DD4F34"/>
    <w:rsid w:val="00DD7EBD"/>
    <w:rsid w:val="00DE1379"/>
    <w:rsid w:val="00DE3862"/>
    <w:rsid w:val="00DE55B1"/>
    <w:rsid w:val="00DF2595"/>
    <w:rsid w:val="00DF62B6"/>
    <w:rsid w:val="00DF747E"/>
    <w:rsid w:val="00E0195B"/>
    <w:rsid w:val="00E01E06"/>
    <w:rsid w:val="00E02214"/>
    <w:rsid w:val="00E02D1D"/>
    <w:rsid w:val="00E03587"/>
    <w:rsid w:val="00E067E9"/>
    <w:rsid w:val="00E07225"/>
    <w:rsid w:val="00E1090A"/>
    <w:rsid w:val="00E1401A"/>
    <w:rsid w:val="00E22383"/>
    <w:rsid w:val="00E22653"/>
    <w:rsid w:val="00E24E9F"/>
    <w:rsid w:val="00E3009C"/>
    <w:rsid w:val="00E32B72"/>
    <w:rsid w:val="00E33AB8"/>
    <w:rsid w:val="00E40F40"/>
    <w:rsid w:val="00E413C5"/>
    <w:rsid w:val="00E43C74"/>
    <w:rsid w:val="00E44024"/>
    <w:rsid w:val="00E4501C"/>
    <w:rsid w:val="00E4743F"/>
    <w:rsid w:val="00E5409F"/>
    <w:rsid w:val="00E543BE"/>
    <w:rsid w:val="00E54494"/>
    <w:rsid w:val="00E55D00"/>
    <w:rsid w:val="00E5745E"/>
    <w:rsid w:val="00E66F37"/>
    <w:rsid w:val="00E71CD2"/>
    <w:rsid w:val="00E75E63"/>
    <w:rsid w:val="00E8027E"/>
    <w:rsid w:val="00E84313"/>
    <w:rsid w:val="00E861B3"/>
    <w:rsid w:val="00E8630A"/>
    <w:rsid w:val="00EA12C6"/>
    <w:rsid w:val="00EB20A8"/>
    <w:rsid w:val="00EC267E"/>
    <w:rsid w:val="00EC4DD5"/>
    <w:rsid w:val="00EC5472"/>
    <w:rsid w:val="00EC65AF"/>
    <w:rsid w:val="00ED419F"/>
    <w:rsid w:val="00EE1107"/>
    <w:rsid w:val="00EE1291"/>
    <w:rsid w:val="00EE6488"/>
    <w:rsid w:val="00EF1B1B"/>
    <w:rsid w:val="00EF30D3"/>
    <w:rsid w:val="00EF43C2"/>
    <w:rsid w:val="00EF5FE2"/>
    <w:rsid w:val="00F021FA"/>
    <w:rsid w:val="00F02B8E"/>
    <w:rsid w:val="00F070F5"/>
    <w:rsid w:val="00F071DB"/>
    <w:rsid w:val="00F14CA6"/>
    <w:rsid w:val="00F15744"/>
    <w:rsid w:val="00F16CFE"/>
    <w:rsid w:val="00F21F87"/>
    <w:rsid w:val="00F22F22"/>
    <w:rsid w:val="00F22FBF"/>
    <w:rsid w:val="00F23B6A"/>
    <w:rsid w:val="00F23B80"/>
    <w:rsid w:val="00F26C20"/>
    <w:rsid w:val="00F32845"/>
    <w:rsid w:val="00F53020"/>
    <w:rsid w:val="00F56A65"/>
    <w:rsid w:val="00F60217"/>
    <w:rsid w:val="00F60D87"/>
    <w:rsid w:val="00F629DB"/>
    <w:rsid w:val="00F62E97"/>
    <w:rsid w:val="00F64209"/>
    <w:rsid w:val="00F660CB"/>
    <w:rsid w:val="00F7063C"/>
    <w:rsid w:val="00F764C3"/>
    <w:rsid w:val="00F80F88"/>
    <w:rsid w:val="00F8143D"/>
    <w:rsid w:val="00F8503B"/>
    <w:rsid w:val="00F8625E"/>
    <w:rsid w:val="00F8748A"/>
    <w:rsid w:val="00F93BF5"/>
    <w:rsid w:val="00FA54B6"/>
    <w:rsid w:val="00FA5B59"/>
    <w:rsid w:val="00FB3458"/>
    <w:rsid w:val="00FB39CB"/>
    <w:rsid w:val="00FB4615"/>
    <w:rsid w:val="00FB68A0"/>
    <w:rsid w:val="00FB7B04"/>
    <w:rsid w:val="00FC110A"/>
    <w:rsid w:val="00FC469D"/>
    <w:rsid w:val="00FC4FA1"/>
    <w:rsid w:val="00FC758F"/>
    <w:rsid w:val="00FD0E89"/>
    <w:rsid w:val="00FD0F9C"/>
    <w:rsid w:val="00FD0FDD"/>
    <w:rsid w:val="00FD2391"/>
    <w:rsid w:val="00FD7A92"/>
    <w:rsid w:val="00FE482A"/>
    <w:rsid w:val="00FE5B2B"/>
    <w:rsid w:val="00FF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7"/>
    <o:shapelayout v:ext="edit">
      <o:idmap v:ext="edit" data="1"/>
    </o:shapelayout>
  </w:shapeDefaults>
  <w:decimalSymbol w:val="."/>
  <w:listSeparator w:val=","/>
  <w14:docId w14:val="4B28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50"/>
    <w:pPr>
      <w:widowControl w:val="0"/>
    </w:pPr>
    <w:rPr>
      <w:snapToGrid w:val="0"/>
      <w:kern w:val="28"/>
      <w:sz w:val="22"/>
    </w:rPr>
  </w:style>
  <w:style w:type="paragraph" w:styleId="Heading1">
    <w:name w:val="heading 1"/>
    <w:basedOn w:val="Normal"/>
    <w:next w:val="ParaNum"/>
    <w:link w:val="Heading1Char"/>
    <w:qFormat/>
    <w:rsid w:val="00511B5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11B50"/>
    <w:pPr>
      <w:keepNext/>
      <w:numPr>
        <w:ilvl w:val="1"/>
        <w:numId w:val="2"/>
      </w:numPr>
      <w:spacing w:after="120"/>
      <w:outlineLvl w:val="1"/>
    </w:pPr>
    <w:rPr>
      <w:b/>
    </w:rPr>
  </w:style>
  <w:style w:type="paragraph" w:styleId="Heading3">
    <w:name w:val="heading 3"/>
    <w:basedOn w:val="Normal"/>
    <w:next w:val="ParaNum"/>
    <w:qFormat/>
    <w:rsid w:val="00511B50"/>
    <w:pPr>
      <w:keepNext/>
      <w:numPr>
        <w:ilvl w:val="2"/>
        <w:numId w:val="2"/>
      </w:numPr>
      <w:tabs>
        <w:tab w:val="left" w:pos="2160"/>
      </w:tabs>
      <w:spacing w:after="120"/>
      <w:outlineLvl w:val="2"/>
    </w:pPr>
    <w:rPr>
      <w:b/>
    </w:rPr>
  </w:style>
  <w:style w:type="paragraph" w:styleId="Heading4">
    <w:name w:val="heading 4"/>
    <w:basedOn w:val="Normal"/>
    <w:next w:val="ParaNum"/>
    <w:qFormat/>
    <w:rsid w:val="00511B50"/>
    <w:pPr>
      <w:keepNext/>
      <w:numPr>
        <w:ilvl w:val="3"/>
        <w:numId w:val="2"/>
      </w:numPr>
      <w:tabs>
        <w:tab w:val="left" w:pos="2880"/>
      </w:tabs>
      <w:spacing w:after="120"/>
      <w:outlineLvl w:val="3"/>
    </w:pPr>
    <w:rPr>
      <w:b/>
    </w:rPr>
  </w:style>
  <w:style w:type="paragraph" w:styleId="Heading5">
    <w:name w:val="heading 5"/>
    <w:basedOn w:val="Normal"/>
    <w:next w:val="ParaNum"/>
    <w:qFormat/>
    <w:rsid w:val="00511B50"/>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511B50"/>
    <w:pPr>
      <w:numPr>
        <w:ilvl w:val="5"/>
        <w:numId w:val="2"/>
      </w:numPr>
      <w:tabs>
        <w:tab w:val="left" w:pos="4320"/>
      </w:tabs>
      <w:spacing w:after="120"/>
      <w:outlineLvl w:val="5"/>
    </w:pPr>
    <w:rPr>
      <w:b/>
    </w:rPr>
  </w:style>
  <w:style w:type="paragraph" w:styleId="Heading7">
    <w:name w:val="heading 7"/>
    <w:basedOn w:val="Normal"/>
    <w:next w:val="ParaNum"/>
    <w:qFormat/>
    <w:rsid w:val="00511B50"/>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511B50"/>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511B5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11B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1B50"/>
  </w:style>
  <w:style w:type="paragraph" w:customStyle="1" w:styleId="ParaNum">
    <w:name w:val="ParaNum"/>
    <w:basedOn w:val="Normal"/>
    <w:link w:val="ParaNumChar"/>
    <w:rsid w:val="00511B50"/>
    <w:pPr>
      <w:numPr>
        <w:numId w:val="1"/>
      </w:numPr>
      <w:tabs>
        <w:tab w:val="clear" w:pos="1080"/>
        <w:tab w:val="num" w:pos="1440"/>
      </w:tabs>
      <w:spacing w:after="120"/>
    </w:pPr>
  </w:style>
  <w:style w:type="paragraph" w:styleId="EndnoteText">
    <w:name w:val="endnote text"/>
    <w:basedOn w:val="Normal"/>
    <w:semiHidden/>
    <w:rsid w:val="00511B50"/>
    <w:rPr>
      <w:sz w:val="20"/>
    </w:rPr>
  </w:style>
  <w:style w:type="character" w:styleId="EndnoteReference">
    <w:name w:val="endnote reference"/>
    <w:semiHidden/>
    <w:rsid w:val="00511B50"/>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511B50"/>
    <w:pPr>
      <w:spacing w:after="120"/>
    </w:pPr>
  </w:style>
  <w:style w:type="character" w:styleId="FootnoteReference">
    <w:name w:val="footnote reference"/>
    <w:aliases w:val="Style 4,Style 12,(NECG) Footnote Reference,Appel note de bas de p,Style 124,Style 13,o,fr,Style 3,FR,Style 17,Footnote Reference/,Style 6,Footnote Reference1,Style 7"/>
    <w:rsid w:val="00511B50"/>
    <w:rPr>
      <w:rFonts w:ascii="Times New Roman" w:hAnsi="Times New Roman"/>
      <w:dstrike w:val="0"/>
      <w:color w:val="auto"/>
      <w:sz w:val="20"/>
      <w:vertAlign w:val="superscript"/>
    </w:rPr>
  </w:style>
  <w:style w:type="paragraph" w:styleId="TOC1">
    <w:name w:val="toc 1"/>
    <w:basedOn w:val="Normal"/>
    <w:next w:val="Normal"/>
    <w:semiHidden/>
    <w:rsid w:val="00511B5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11B50"/>
    <w:pPr>
      <w:tabs>
        <w:tab w:val="left" w:pos="720"/>
        <w:tab w:val="right" w:leader="dot" w:pos="9360"/>
      </w:tabs>
      <w:suppressAutoHyphens/>
      <w:ind w:left="720" w:right="720" w:hanging="360"/>
    </w:pPr>
    <w:rPr>
      <w:noProof/>
    </w:rPr>
  </w:style>
  <w:style w:type="paragraph" w:styleId="TOC3">
    <w:name w:val="toc 3"/>
    <w:basedOn w:val="Normal"/>
    <w:next w:val="Normal"/>
    <w:semiHidden/>
    <w:rsid w:val="00511B5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11B5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11B5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11B5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11B5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11B5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11B5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11B50"/>
    <w:pPr>
      <w:tabs>
        <w:tab w:val="right" w:pos="9360"/>
      </w:tabs>
      <w:suppressAutoHyphens/>
    </w:pPr>
  </w:style>
  <w:style w:type="character" w:customStyle="1" w:styleId="EquationCaption">
    <w:name w:val="_Equation Caption"/>
    <w:rsid w:val="00511B50"/>
  </w:style>
  <w:style w:type="paragraph" w:styleId="Header">
    <w:name w:val="header"/>
    <w:basedOn w:val="Normal"/>
    <w:link w:val="HeaderChar"/>
    <w:autoRedefine/>
    <w:rsid w:val="00511B50"/>
    <w:pPr>
      <w:tabs>
        <w:tab w:val="center" w:pos="4680"/>
        <w:tab w:val="right" w:pos="9360"/>
      </w:tabs>
    </w:pPr>
    <w:rPr>
      <w:b/>
    </w:rPr>
  </w:style>
  <w:style w:type="paragraph" w:styleId="Footer">
    <w:name w:val="footer"/>
    <w:basedOn w:val="Normal"/>
    <w:link w:val="FooterChar"/>
    <w:rsid w:val="00511B50"/>
    <w:pPr>
      <w:tabs>
        <w:tab w:val="center" w:pos="4320"/>
        <w:tab w:val="right" w:pos="8640"/>
      </w:tabs>
    </w:pPr>
  </w:style>
  <w:style w:type="character" w:styleId="PageNumber">
    <w:name w:val="page number"/>
    <w:basedOn w:val="DefaultParagraphFont"/>
    <w:rsid w:val="00511B50"/>
  </w:style>
  <w:style w:type="paragraph" w:styleId="BlockText">
    <w:name w:val="Block Text"/>
    <w:basedOn w:val="Normal"/>
    <w:rsid w:val="00511B50"/>
    <w:pPr>
      <w:spacing w:after="240"/>
      <w:ind w:left="1440" w:right="1440"/>
    </w:pPr>
  </w:style>
  <w:style w:type="paragraph" w:customStyle="1" w:styleId="Paratitle">
    <w:name w:val="Para title"/>
    <w:basedOn w:val="Normal"/>
    <w:rsid w:val="00511B50"/>
    <w:pPr>
      <w:tabs>
        <w:tab w:val="center" w:pos="9270"/>
      </w:tabs>
      <w:spacing w:after="240"/>
    </w:pPr>
    <w:rPr>
      <w:spacing w:val="-2"/>
    </w:rPr>
  </w:style>
  <w:style w:type="paragraph" w:customStyle="1" w:styleId="Bullet">
    <w:name w:val="Bullet"/>
    <w:basedOn w:val="Normal"/>
    <w:rsid w:val="00511B50"/>
    <w:pPr>
      <w:tabs>
        <w:tab w:val="left" w:pos="2160"/>
      </w:tabs>
      <w:spacing w:after="220"/>
      <w:ind w:left="2160" w:hanging="720"/>
    </w:pPr>
  </w:style>
  <w:style w:type="paragraph" w:customStyle="1" w:styleId="TableFormat">
    <w:name w:val="TableFormat"/>
    <w:basedOn w:val="Bullet"/>
    <w:rsid w:val="00511B50"/>
    <w:pPr>
      <w:tabs>
        <w:tab w:val="clear" w:pos="2160"/>
        <w:tab w:val="left" w:pos="5040"/>
      </w:tabs>
      <w:ind w:left="5040" w:hanging="3600"/>
    </w:pPr>
  </w:style>
  <w:style w:type="paragraph" w:customStyle="1" w:styleId="TOCTitle">
    <w:name w:val="TOC Title"/>
    <w:basedOn w:val="Normal"/>
    <w:rsid w:val="00511B5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11B50"/>
    <w:pPr>
      <w:jc w:val="center"/>
    </w:pPr>
    <w:rPr>
      <w:rFonts w:ascii="Times New Roman Bold" w:hAnsi="Times New Roman Bold"/>
      <w:b/>
      <w:bCs/>
      <w:caps/>
      <w:szCs w:val="22"/>
    </w:rPr>
  </w:style>
  <w:style w:type="character" w:styleId="Hyperlink">
    <w:name w:val="Hyperlink"/>
    <w:rsid w:val="00511B50"/>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40"/>
      </w:numPr>
      <w:tabs>
        <w:tab w:val="left" w:pos="1440"/>
      </w:tabs>
      <w:spacing w:after="240"/>
      <w:jc w:val="both"/>
    </w:pPr>
    <w:rPr>
      <w:sz w:val="22"/>
    </w:rPr>
  </w:style>
  <w:style w:type="paragraph" w:customStyle="1" w:styleId="par1">
    <w:name w:val="par1"/>
    <w:basedOn w:val="Normal"/>
    <w:link w:val="par1Char"/>
    <w:rsid w:val="008F1562"/>
    <w:pPr>
      <w:numPr>
        <w:numId w:val="4"/>
      </w:numPr>
    </w:pPr>
    <w:rPr>
      <w:snapToGrid/>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8F1562"/>
    <w:pPr>
      <w:ind w:left="720"/>
    </w:pPr>
    <w:rPr>
      <w:snapToGrid/>
      <w:sz w:val="24"/>
      <w:szCs w:val="24"/>
    </w:rPr>
  </w:style>
  <w:style w:type="character" w:customStyle="1" w:styleId="par1Char">
    <w:name w:val="par1 Char"/>
    <w:link w:val="par1"/>
    <w:locked/>
    <w:rsid w:val="00BD08D2"/>
    <w:rPr>
      <w:rFonts w:asciiTheme="minorHAnsi" w:eastAsiaTheme="minorHAnsi" w:hAnsiTheme="minorHAnsi" w:cstheme="minorBidi"/>
      <w:snapToGrid w:val="0"/>
      <w:sz w:val="22"/>
      <w:szCs w:val="22"/>
    </w:rPr>
  </w:style>
  <w:style w:type="paragraph" w:styleId="BodyText">
    <w:name w:val="Body Text"/>
    <w:basedOn w:val="Normal"/>
    <w:link w:val="BodyTextChar"/>
    <w:uiPriority w:val="99"/>
    <w:rsid w:val="008F1562"/>
    <w:rPr>
      <w:b/>
      <w:snapToGrid/>
      <w:sz w:val="24"/>
      <w:u w:val="single"/>
    </w:rPr>
  </w:style>
  <w:style w:type="character" w:customStyle="1" w:styleId="BodyTextChar">
    <w:name w:val="Body Text Char"/>
    <w:basedOn w:val="DefaultParagraphFont"/>
    <w:link w:val="BodyText"/>
    <w:uiPriority w:val="99"/>
    <w:rsid w:val="00E02214"/>
    <w:rPr>
      <w:rFonts w:asciiTheme="minorHAnsi" w:eastAsiaTheme="minorHAnsi" w:hAnsiTheme="minorHAnsi" w:cstheme="minorBidi"/>
      <w:b/>
      <w:snapToGrid w:val="0"/>
      <w:sz w:val="24"/>
      <w:szCs w:val="22"/>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uiPriority w:val="99"/>
    <w:rsid w:val="007D2615"/>
    <w:rPr>
      <w:sz w:val="16"/>
      <w:szCs w:val="16"/>
    </w:rPr>
  </w:style>
  <w:style w:type="paragraph" w:styleId="CommentText">
    <w:name w:val="annotation text"/>
    <w:basedOn w:val="Normal"/>
    <w:link w:val="CommentTextChar"/>
    <w:uiPriority w:val="99"/>
    <w:rsid w:val="007D2615"/>
    <w:rPr>
      <w:sz w:val="20"/>
    </w:rPr>
  </w:style>
  <w:style w:type="character" w:customStyle="1" w:styleId="CommentTextChar">
    <w:name w:val="Comment Text Char"/>
    <w:basedOn w:val="DefaultParagraphFont"/>
    <w:link w:val="CommentText"/>
    <w:uiPriority w:val="99"/>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paragraph" w:styleId="PlainText">
    <w:name w:val="Plain Text"/>
    <w:basedOn w:val="Normal"/>
    <w:link w:val="PlainTextChar"/>
    <w:uiPriority w:val="99"/>
    <w:semiHidden/>
    <w:unhideWhenUsed/>
    <w:rsid w:val="00AA2529"/>
    <w:rPr>
      <w:rFonts w:ascii="Calibri" w:hAnsi="Calibri"/>
      <w:szCs w:val="21"/>
    </w:rPr>
  </w:style>
  <w:style w:type="character" w:customStyle="1" w:styleId="PlainTextChar">
    <w:name w:val="Plain Text Char"/>
    <w:basedOn w:val="DefaultParagraphFont"/>
    <w:link w:val="PlainText"/>
    <w:uiPriority w:val="99"/>
    <w:semiHidden/>
    <w:rsid w:val="009D438C"/>
    <w:rPr>
      <w:rFonts w:ascii="Calibri" w:hAnsi="Calibri"/>
      <w:snapToGrid w:val="0"/>
      <w:kern w:val="28"/>
      <w:sz w:val="22"/>
      <w:szCs w:val="21"/>
    </w:rPr>
  </w:style>
  <w:style w:type="paragraph" w:customStyle="1" w:styleId="MediumGrid21">
    <w:name w:val="Medium Grid 21"/>
    <w:uiPriority w:val="99"/>
    <w:qFormat/>
    <w:rsid w:val="00C849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50"/>
    <w:pPr>
      <w:widowControl w:val="0"/>
    </w:pPr>
    <w:rPr>
      <w:snapToGrid w:val="0"/>
      <w:kern w:val="28"/>
      <w:sz w:val="22"/>
    </w:rPr>
  </w:style>
  <w:style w:type="paragraph" w:styleId="Heading1">
    <w:name w:val="heading 1"/>
    <w:basedOn w:val="Normal"/>
    <w:next w:val="ParaNum"/>
    <w:link w:val="Heading1Char"/>
    <w:qFormat/>
    <w:rsid w:val="00511B5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11B50"/>
    <w:pPr>
      <w:keepNext/>
      <w:numPr>
        <w:ilvl w:val="1"/>
        <w:numId w:val="2"/>
      </w:numPr>
      <w:spacing w:after="120"/>
      <w:outlineLvl w:val="1"/>
    </w:pPr>
    <w:rPr>
      <w:b/>
    </w:rPr>
  </w:style>
  <w:style w:type="paragraph" w:styleId="Heading3">
    <w:name w:val="heading 3"/>
    <w:basedOn w:val="Normal"/>
    <w:next w:val="ParaNum"/>
    <w:qFormat/>
    <w:rsid w:val="00511B50"/>
    <w:pPr>
      <w:keepNext/>
      <w:numPr>
        <w:ilvl w:val="2"/>
        <w:numId w:val="2"/>
      </w:numPr>
      <w:tabs>
        <w:tab w:val="left" w:pos="2160"/>
      </w:tabs>
      <w:spacing w:after="120"/>
      <w:outlineLvl w:val="2"/>
    </w:pPr>
    <w:rPr>
      <w:b/>
    </w:rPr>
  </w:style>
  <w:style w:type="paragraph" w:styleId="Heading4">
    <w:name w:val="heading 4"/>
    <w:basedOn w:val="Normal"/>
    <w:next w:val="ParaNum"/>
    <w:qFormat/>
    <w:rsid w:val="00511B50"/>
    <w:pPr>
      <w:keepNext/>
      <w:numPr>
        <w:ilvl w:val="3"/>
        <w:numId w:val="2"/>
      </w:numPr>
      <w:tabs>
        <w:tab w:val="left" w:pos="2880"/>
      </w:tabs>
      <w:spacing w:after="120"/>
      <w:outlineLvl w:val="3"/>
    </w:pPr>
    <w:rPr>
      <w:b/>
    </w:rPr>
  </w:style>
  <w:style w:type="paragraph" w:styleId="Heading5">
    <w:name w:val="heading 5"/>
    <w:basedOn w:val="Normal"/>
    <w:next w:val="ParaNum"/>
    <w:qFormat/>
    <w:rsid w:val="00511B50"/>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511B50"/>
    <w:pPr>
      <w:numPr>
        <w:ilvl w:val="5"/>
        <w:numId w:val="2"/>
      </w:numPr>
      <w:tabs>
        <w:tab w:val="left" w:pos="4320"/>
      </w:tabs>
      <w:spacing w:after="120"/>
      <w:outlineLvl w:val="5"/>
    </w:pPr>
    <w:rPr>
      <w:b/>
    </w:rPr>
  </w:style>
  <w:style w:type="paragraph" w:styleId="Heading7">
    <w:name w:val="heading 7"/>
    <w:basedOn w:val="Normal"/>
    <w:next w:val="ParaNum"/>
    <w:qFormat/>
    <w:rsid w:val="00511B50"/>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511B50"/>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511B5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11B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1B50"/>
  </w:style>
  <w:style w:type="paragraph" w:customStyle="1" w:styleId="ParaNum">
    <w:name w:val="ParaNum"/>
    <w:basedOn w:val="Normal"/>
    <w:link w:val="ParaNumChar"/>
    <w:rsid w:val="00511B50"/>
    <w:pPr>
      <w:numPr>
        <w:numId w:val="1"/>
      </w:numPr>
      <w:tabs>
        <w:tab w:val="clear" w:pos="1080"/>
        <w:tab w:val="num" w:pos="1440"/>
      </w:tabs>
      <w:spacing w:after="120"/>
    </w:pPr>
  </w:style>
  <w:style w:type="paragraph" w:styleId="EndnoteText">
    <w:name w:val="endnote text"/>
    <w:basedOn w:val="Normal"/>
    <w:semiHidden/>
    <w:rsid w:val="00511B50"/>
    <w:rPr>
      <w:sz w:val="20"/>
    </w:rPr>
  </w:style>
  <w:style w:type="character" w:styleId="EndnoteReference">
    <w:name w:val="endnote reference"/>
    <w:semiHidden/>
    <w:rsid w:val="00511B50"/>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511B50"/>
    <w:pPr>
      <w:spacing w:after="120"/>
    </w:pPr>
  </w:style>
  <w:style w:type="character" w:styleId="FootnoteReference">
    <w:name w:val="footnote reference"/>
    <w:aliases w:val="Style 4,Style 12,(NECG) Footnote Reference,Appel note de bas de p,Style 124,Style 13,o,fr,Style 3,FR,Style 17,Footnote Reference/,Style 6,Footnote Reference1,Style 7"/>
    <w:rsid w:val="00511B50"/>
    <w:rPr>
      <w:rFonts w:ascii="Times New Roman" w:hAnsi="Times New Roman"/>
      <w:dstrike w:val="0"/>
      <w:color w:val="auto"/>
      <w:sz w:val="20"/>
      <w:vertAlign w:val="superscript"/>
    </w:rPr>
  </w:style>
  <w:style w:type="paragraph" w:styleId="TOC1">
    <w:name w:val="toc 1"/>
    <w:basedOn w:val="Normal"/>
    <w:next w:val="Normal"/>
    <w:semiHidden/>
    <w:rsid w:val="00511B5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11B50"/>
    <w:pPr>
      <w:tabs>
        <w:tab w:val="left" w:pos="720"/>
        <w:tab w:val="right" w:leader="dot" w:pos="9360"/>
      </w:tabs>
      <w:suppressAutoHyphens/>
      <w:ind w:left="720" w:right="720" w:hanging="360"/>
    </w:pPr>
    <w:rPr>
      <w:noProof/>
    </w:rPr>
  </w:style>
  <w:style w:type="paragraph" w:styleId="TOC3">
    <w:name w:val="toc 3"/>
    <w:basedOn w:val="Normal"/>
    <w:next w:val="Normal"/>
    <w:semiHidden/>
    <w:rsid w:val="00511B5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11B5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11B5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11B5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11B5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11B5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11B5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11B50"/>
    <w:pPr>
      <w:tabs>
        <w:tab w:val="right" w:pos="9360"/>
      </w:tabs>
      <w:suppressAutoHyphens/>
    </w:pPr>
  </w:style>
  <w:style w:type="character" w:customStyle="1" w:styleId="EquationCaption">
    <w:name w:val="_Equation Caption"/>
    <w:rsid w:val="00511B50"/>
  </w:style>
  <w:style w:type="paragraph" w:styleId="Header">
    <w:name w:val="header"/>
    <w:basedOn w:val="Normal"/>
    <w:link w:val="HeaderChar"/>
    <w:autoRedefine/>
    <w:rsid w:val="00511B50"/>
    <w:pPr>
      <w:tabs>
        <w:tab w:val="center" w:pos="4680"/>
        <w:tab w:val="right" w:pos="9360"/>
      </w:tabs>
    </w:pPr>
    <w:rPr>
      <w:b/>
    </w:rPr>
  </w:style>
  <w:style w:type="paragraph" w:styleId="Footer">
    <w:name w:val="footer"/>
    <w:basedOn w:val="Normal"/>
    <w:link w:val="FooterChar"/>
    <w:rsid w:val="00511B50"/>
    <w:pPr>
      <w:tabs>
        <w:tab w:val="center" w:pos="4320"/>
        <w:tab w:val="right" w:pos="8640"/>
      </w:tabs>
    </w:pPr>
  </w:style>
  <w:style w:type="character" w:styleId="PageNumber">
    <w:name w:val="page number"/>
    <w:basedOn w:val="DefaultParagraphFont"/>
    <w:rsid w:val="00511B50"/>
  </w:style>
  <w:style w:type="paragraph" w:styleId="BlockText">
    <w:name w:val="Block Text"/>
    <w:basedOn w:val="Normal"/>
    <w:rsid w:val="00511B50"/>
    <w:pPr>
      <w:spacing w:after="240"/>
      <w:ind w:left="1440" w:right="1440"/>
    </w:pPr>
  </w:style>
  <w:style w:type="paragraph" w:customStyle="1" w:styleId="Paratitle">
    <w:name w:val="Para title"/>
    <w:basedOn w:val="Normal"/>
    <w:rsid w:val="00511B50"/>
    <w:pPr>
      <w:tabs>
        <w:tab w:val="center" w:pos="9270"/>
      </w:tabs>
      <w:spacing w:after="240"/>
    </w:pPr>
    <w:rPr>
      <w:spacing w:val="-2"/>
    </w:rPr>
  </w:style>
  <w:style w:type="paragraph" w:customStyle="1" w:styleId="Bullet">
    <w:name w:val="Bullet"/>
    <w:basedOn w:val="Normal"/>
    <w:rsid w:val="00511B50"/>
    <w:pPr>
      <w:tabs>
        <w:tab w:val="left" w:pos="2160"/>
      </w:tabs>
      <w:spacing w:after="220"/>
      <w:ind w:left="2160" w:hanging="720"/>
    </w:pPr>
  </w:style>
  <w:style w:type="paragraph" w:customStyle="1" w:styleId="TableFormat">
    <w:name w:val="TableFormat"/>
    <w:basedOn w:val="Bullet"/>
    <w:rsid w:val="00511B50"/>
    <w:pPr>
      <w:tabs>
        <w:tab w:val="clear" w:pos="2160"/>
        <w:tab w:val="left" w:pos="5040"/>
      </w:tabs>
      <w:ind w:left="5040" w:hanging="3600"/>
    </w:pPr>
  </w:style>
  <w:style w:type="paragraph" w:customStyle="1" w:styleId="TOCTitle">
    <w:name w:val="TOC Title"/>
    <w:basedOn w:val="Normal"/>
    <w:rsid w:val="00511B5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11B50"/>
    <w:pPr>
      <w:jc w:val="center"/>
    </w:pPr>
    <w:rPr>
      <w:rFonts w:ascii="Times New Roman Bold" w:hAnsi="Times New Roman Bold"/>
      <w:b/>
      <w:bCs/>
      <w:caps/>
      <w:szCs w:val="22"/>
    </w:rPr>
  </w:style>
  <w:style w:type="character" w:styleId="Hyperlink">
    <w:name w:val="Hyperlink"/>
    <w:rsid w:val="00511B50"/>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40"/>
      </w:numPr>
      <w:tabs>
        <w:tab w:val="left" w:pos="1440"/>
      </w:tabs>
      <w:spacing w:after="240"/>
      <w:jc w:val="both"/>
    </w:pPr>
    <w:rPr>
      <w:sz w:val="22"/>
    </w:rPr>
  </w:style>
  <w:style w:type="paragraph" w:customStyle="1" w:styleId="par1">
    <w:name w:val="par1"/>
    <w:basedOn w:val="Normal"/>
    <w:link w:val="par1Char"/>
    <w:rsid w:val="008F1562"/>
    <w:pPr>
      <w:numPr>
        <w:numId w:val="4"/>
      </w:numPr>
    </w:pPr>
    <w:rPr>
      <w:snapToGrid/>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8F1562"/>
    <w:pPr>
      <w:ind w:left="720"/>
    </w:pPr>
    <w:rPr>
      <w:snapToGrid/>
      <w:sz w:val="24"/>
      <w:szCs w:val="24"/>
    </w:rPr>
  </w:style>
  <w:style w:type="character" w:customStyle="1" w:styleId="par1Char">
    <w:name w:val="par1 Char"/>
    <w:link w:val="par1"/>
    <w:locked/>
    <w:rsid w:val="00BD08D2"/>
    <w:rPr>
      <w:rFonts w:asciiTheme="minorHAnsi" w:eastAsiaTheme="minorHAnsi" w:hAnsiTheme="minorHAnsi" w:cstheme="minorBidi"/>
      <w:snapToGrid w:val="0"/>
      <w:sz w:val="22"/>
      <w:szCs w:val="22"/>
    </w:rPr>
  </w:style>
  <w:style w:type="paragraph" w:styleId="BodyText">
    <w:name w:val="Body Text"/>
    <w:basedOn w:val="Normal"/>
    <w:link w:val="BodyTextChar"/>
    <w:uiPriority w:val="99"/>
    <w:rsid w:val="008F1562"/>
    <w:rPr>
      <w:b/>
      <w:snapToGrid/>
      <w:sz w:val="24"/>
      <w:u w:val="single"/>
    </w:rPr>
  </w:style>
  <w:style w:type="character" w:customStyle="1" w:styleId="BodyTextChar">
    <w:name w:val="Body Text Char"/>
    <w:basedOn w:val="DefaultParagraphFont"/>
    <w:link w:val="BodyText"/>
    <w:uiPriority w:val="99"/>
    <w:rsid w:val="00E02214"/>
    <w:rPr>
      <w:rFonts w:asciiTheme="minorHAnsi" w:eastAsiaTheme="minorHAnsi" w:hAnsiTheme="minorHAnsi" w:cstheme="minorBidi"/>
      <w:b/>
      <w:snapToGrid w:val="0"/>
      <w:sz w:val="24"/>
      <w:szCs w:val="22"/>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uiPriority w:val="99"/>
    <w:rsid w:val="007D2615"/>
    <w:rPr>
      <w:sz w:val="16"/>
      <w:szCs w:val="16"/>
    </w:rPr>
  </w:style>
  <w:style w:type="paragraph" w:styleId="CommentText">
    <w:name w:val="annotation text"/>
    <w:basedOn w:val="Normal"/>
    <w:link w:val="CommentTextChar"/>
    <w:uiPriority w:val="99"/>
    <w:rsid w:val="007D2615"/>
    <w:rPr>
      <w:sz w:val="20"/>
    </w:rPr>
  </w:style>
  <w:style w:type="character" w:customStyle="1" w:styleId="CommentTextChar">
    <w:name w:val="Comment Text Char"/>
    <w:basedOn w:val="DefaultParagraphFont"/>
    <w:link w:val="CommentText"/>
    <w:uiPriority w:val="99"/>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paragraph" w:styleId="PlainText">
    <w:name w:val="Plain Text"/>
    <w:basedOn w:val="Normal"/>
    <w:link w:val="PlainTextChar"/>
    <w:uiPriority w:val="99"/>
    <w:semiHidden/>
    <w:unhideWhenUsed/>
    <w:rsid w:val="00AA2529"/>
    <w:rPr>
      <w:rFonts w:ascii="Calibri" w:hAnsi="Calibri"/>
      <w:szCs w:val="21"/>
    </w:rPr>
  </w:style>
  <w:style w:type="character" w:customStyle="1" w:styleId="PlainTextChar">
    <w:name w:val="Plain Text Char"/>
    <w:basedOn w:val="DefaultParagraphFont"/>
    <w:link w:val="PlainText"/>
    <w:uiPriority w:val="99"/>
    <w:semiHidden/>
    <w:rsid w:val="009D438C"/>
    <w:rPr>
      <w:rFonts w:ascii="Calibri" w:hAnsi="Calibri"/>
      <w:snapToGrid w:val="0"/>
      <w:kern w:val="28"/>
      <w:sz w:val="22"/>
      <w:szCs w:val="21"/>
    </w:rPr>
  </w:style>
  <w:style w:type="paragraph" w:customStyle="1" w:styleId="MediumGrid21">
    <w:name w:val="Medium Grid 21"/>
    <w:uiPriority w:val="99"/>
    <w:qFormat/>
    <w:rsid w:val="00C849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95912">
      <w:bodyDiv w:val="1"/>
      <w:marLeft w:val="0"/>
      <w:marRight w:val="0"/>
      <w:marTop w:val="0"/>
      <w:marBottom w:val="0"/>
      <w:divBdr>
        <w:top w:val="none" w:sz="0" w:space="0" w:color="auto"/>
        <w:left w:val="none" w:sz="0" w:space="0" w:color="auto"/>
        <w:bottom w:val="none" w:sz="0" w:space="0" w:color="auto"/>
        <w:right w:val="none" w:sz="0" w:space="0" w:color="auto"/>
      </w:divBdr>
    </w:div>
    <w:div w:id="1470434720">
      <w:bodyDiv w:val="1"/>
      <w:marLeft w:val="0"/>
      <w:marRight w:val="0"/>
      <w:marTop w:val="0"/>
      <w:marBottom w:val="0"/>
      <w:divBdr>
        <w:top w:val="none" w:sz="0" w:space="0" w:color="auto"/>
        <w:left w:val="none" w:sz="0" w:space="0" w:color="auto"/>
        <w:bottom w:val="none" w:sz="0" w:space="0" w:color="auto"/>
        <w:right w:val="none" w:sz="0" w:space="0" w:color="auto"/>
      </w:divBdr>
    </w:div>
    <w:div w:id="2079279208">
      <w:bodyDiv w:val="1"/>
      <w:marLeft w:val="0"/>
      <w:marRight w:val="0"/>
      <w:marTop w:val="0"/>
      <w:marBottom w:val="0"/>
      <w:divBdr>
        <w:top w:val="none" w:sz="0" w:space="0" w:color="auto"/>
        <w:left w:val="none" w:sz="0" w:space="0" w:color="auto"/>
        <w:bottom w:val="none" w:sz="0" w:space="0" w:color="auto"/>
        <w:right w:val="none" w:sz="0" w:space="0" w:color="auto"/>
      </w:divBdr>
    </w:div>
    <w:div w:id="2145922963">
      <w:bodyDiv w:val="1"/>
      <w:marLeft w:val="30"/>
      <w:marRight w:val="30"/>
      <w:marTop w:val="30"/>
      <w:marBottom w:val="30"/>
      <w:divBdr>
        <w:top w:val="none" w:sz="0" w:space="0" w:color="auto"/>
        <w:left w:val="none" w:sz="0" w:space="0" w:color="auto"/>
        <w:bottom w:val="none" w:sz="0" w:space="0" w:color="auto"/>
        <w:right w:val="none" w:sz="0" w:space="0" w:color="auto"/>
      </w:divBdr>
      <w:divsChild>
        <w:div w:id="2040427518">
          <w:marLeft w:val="0"/>
          <w:marRight w:val="0"/>
          <w:marTop w:val="0"/>
          <w:marBottom w:val="0"/>
          <w:divBdr>
            <w:top w:val="none" w:sz="0" w:space="0" w:color="auto"/>
            <w:left w:val="none" w:sz="0" w:space="0" w:color="auto"/>
            <w:bottom w:val="none" w:sz="0" w:space="0" w:color="auto"/>
            <w:right w:val="none" w:sz="0" w:space="0" w:color="auto"/>
          </w:divBdr>
          <w:divsChild>
            <w:div w:id="55474634">
              <w:marLeft w:val="45"/>
              <w:marRight w:val="45"/>
              <w:marTop w:val="45"/>
              <w:marBottom w:val="45"/>
              <w:divBdr>
                <w:top w:val="none" w:sz="0" w:space="0" w:color="auto"/>
                <w:left w:val="none" w:sz="0" w:space="0" w:color="auto"/>
                <w:bottom w:val="none" w:sz="0" w:space="0" w:color="auto"/>
                <w:right w:val="none" w:sz="0" w:space="0" w:color="auto"/>
              </w:divBdr>
              <w:divsChild>
                <w:div w:id="224225814">
                  <w:marLeft w:val="0"/>
                  <w:marRight w:val="0"/>
                  <w:marTop w:val="0"/>
                  <w:marBottom w:val="0"/>
                  <w:divBdr>
                    <w:top w:val="none" w:sz="0" w:space="0" w:color="auto"/>
                    <w:left w:val="none" w:sz="0" w:space="0" w:color="auto"/>
                    <w:bottom w:val="none" w:sz="0" w:space="0" w:color="auto"/>
                    <w:right w:val="none" w:sz="0" w:space="0" w:color="auto"/>
                  </w:divBdr>
                  <w:divsChild>
                    <w:div w:id="986978634">
                      <w:marLeft w:val="0"/>
                      <w:marRight w:val="0"/>
                      <w:marTop w:val="0"/>
                      <w:marBottom w:val="0"/>
                      <w:divBdr>
                        <w:top w:val="none" w:sz="0" w:space="0" w:color="auto"/>
                        <w:left w:val="none" w:sz="0" w:space="0" w:color="auto"/>
                        <w:bottom w:val="none" w:sz="0" w:space="0" w:color="auto"/>
                        <w:right w:val="none" w:sz="0" w:space="0" w:color="auto"/>
                      </w:divBdr>
                    </w:div>
                    <w:div w:id="11541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3475</Words>
  <Characters>19645</Characters>
  <Application>Microsoft Office Word</Application>
  <DocSecurity>0</DocSecurity>
  <Lines>361</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2016-04-19T18:26:00Z</dcterms:created>
  <dcterms:modified xsi:type="dcterms:W3CDTF">2016-04-19T18:26:00Z</dcterms:modified>
  <cp:category> </cp:category>
  <cp:contentStatus> </cp:contentStatus>
</cp:coreProperties>
</file>