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337FE3" w:rsidRPr="00337FE3" w:rsidRDefault="0005179A" w:rsidP="00337FE3">
            <w:pPr>
              <w:tabs>
                <w:tab w:val="center" w:pos="4680"/>
              </w:tabs>
              <w:suppressAutoHyphens/>
              <w:rPr>
                <w:spacing w:val="-2"/>
              </w:rPr>
            </w:pPr>
            <w:r>
              <w:rPr>
                <w:spacing w:val="-2"/>
              </w:rPr>
              <w:t>NBC Telemundo Licens</w:t>
            </w:r>
            <w:r w:rsidR="00337FE3" w:rsidRPr="00337FE3">
              <w:rPr>
                <w:spacing w:val="-2"/>
              </w:rPr>
              <w:t>e LLC</w:t>
            </w:r>
          </w:p>
          <w:p w:rsidR="00337FE3" w:rsidRPr="00337FE3" w:rsidRDefault="00337FE3" w:rsidP="00337FE3">
            <w:pPr>
              <w:tabs>
                <w:tab w:val="center" w:pos="4680"/>
              </w:tabs>
              <w:suppressAutoHyphens/>
              <w:rPr>
                <w:spacing w:val="-2"/>
              </w:rPr>
            </w:pPr>
            <w:r w:rsidRPr="00337FE3">
              <w:rPr>
                <w:spacing w:val="-2"/>
              </w:rPr>
              <w:t>Licensee of Station KVEA</w:t>
            </w:r>
            <w:r w:rsidR="00EA6BC8">
              <w:rPr>
                <w:spacing w:val="-2"/>
              </w:rPr>
              <w:t>(TV)</w:t>
            </w:r>
          </w:p>
          <w:p w:rsidR="004C2EE3" w:rsidRPr="007115F7" w:rsidRDefault="00337FE3" w:rsidP="00337FE3">
            <w:pPr>
              <w:tabs>
                <w:tab w:val="center" w:pos="4680"/>
              </w:tabs>
              <w:suppressAutoHyphens/>
              <w:rPr>
                <w:spacing w:val="-2"/>
              </w:rPr>
            </w:pPr>
            <w:r w:rsidRPr="00337FE3">
              <w:rPr>
                <w:spacing w:val="-2"/>
              </w:rPr>
              <w:t>Corona, California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337FE3"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337FE3" w:rsidRPr="00337FE3" w:rsidRDefault="00337FE3" w:rsidP="00337FE3">
            <w:pPr>
              <w:pStyle w:val="TOAHeading"/>
              <w:tabs>
                <w:tab w:val="center" w:pos="4680"/>
              </w:tabs>
              <w:rPr>
                <w:spacing w:val="-2"/>
              </w:rPr>
            </w:pPr>
            <w:r w:rsidRPr="00337FE3">
              <w:rPr>
                <w:spacing w:val="-2"/>
              </w:rPr>
              <w:t>Facility I.D. No. 19783</w:t>
            </w:r>
          </w:p>
          <w:p w:rsidR="00337FE3" w:rsidRPr="00337FE3" w:rsidRDefault="00337FE3" w:rsidP="00337FE3">
            <w:pPr>
              <w:pStyle w:val="TOAHeading"/>
              <w:tabs>
                <w:tab w:val="center" w:pos="4680"/>
              </w:tabs>
              <w:rPr>
                <w:spacing w:val="-2"/>
              </w:rPr>
            </w:pPr>
            <w:r>
              <w:rPr>
                <w:spacing w:val="-2"/>
              </w:rPr>
              <w:t xml:space="preserve">NAL/Acct. No. </w:t>
            </w:r>
            <w:r w:rsidRPr="00337FE3">
              <w:rPr>
                <w:spacing w:val="-2"/>
              </w:rPr>
              <w:t xml:space="preserve"> 201641420010</w:t>
            </w:r>
          </w:p>
          <w:p w:rsidR="004C2EE3" w:rsidRDefault="00337FE3" w:rsidP="00337FE3">
            <w:pPr>
              <w:tabs>
                <w:tab w:val="center" w:pos="4680"/>
              </w:tabs>
              <w:suppressAutoHyphens/>
              <w:rPr>
                <w:spacing w:val="-2"/>
              </w:rPr>
            </w:pPr>
            <w:r w:rsidRPr="00337FE3">
              <w:rPr>
                <w:spacing w:val="-2"/>
              </w:rPr>
              <w:t>FRN:</w:t>
            </w:r>
            <w:r>
              <w:rPr>
                <w:spacing w:val="-2"/>
              </w:rPr>
              <w:t xml:space="preserve">  </w:t>
            </w:r>
            <w:r w:rsidRPr="00337FE3">
              <w:rPr>
                <w:spacing w:val="-2"/>
              </w:rPr>
              <w:t>0019509470</w:t>
            </w:r>
          </w:p>
        </w:tc>
      </w:tr>
    </w:tbl>
    <w:p w:rsidR="004C2EE3" w:rsidRDefault="004C2EE3" w:rsidP="0070224F"/>
    <w:p w:rsidR="00841AB1" w:rsidRDefault="00337FE3" w:rsidP="00F021FA">
      <w:pPr>
        <w:pStyle w:val="StyleBoldCentered"/>
      </w:pPr>
      <w:r>
        <w:t>notice of apparent liability for forfeiture</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337FE3">
        <w:rPr>
          <w:b/>
          <w:spacing w:val="-2"/>
        </w:rPr>
        <w:t xml:space="preserve">April </w:t>
      </w:r>
      <w:r w:rsidR="0005179A">
        <w:rPr>
          <w:b/>
          <w:spacing w:val="-2"/>
        </w:rPr>
        <w:t>11</w:t>
      </w:r>
      <w:r w:rsidR="00337FE3">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37FE3">
        <w:rPr>
          <w:b/>
          <w:spacing w:val="-2"/>
        </w:rPr>
        <w:t xml:space="preserve">April </w:t>
      </w:r>
      <w:r w:rsidR="0005179A">
        <w:rPr>
          <w:b/>
          <w:spacing w:val="-2"/>
        </w:rPr>
        <w:t>11</w:t>
      </w:r>
      <w:r w:rsidR="00337FE3">
        <w:rPr>
          <w:b/>
          <w:spacing w:val="-2"/>
        </w:rPr>
        <w:t>, 2016</w:t>
      </w:r>
    </w:p>
    <w:p w:rsidR="00822CE0" w:rsidRDefault="00822CE0"/>
    <w:p w:rsidR="004C2EE3" w:rsidRDefault="004C2EE3">
      <w:pPr>
        <w:rPr>
          <w:spacing w:val="-2"/>
        </w:rPr>
      </w:pPr>
      <w:r>
        <w:t xml:space="preserve">By </w:t>
      </w:r>
      <w:r w:rsidR="004E4A22">
        <w:t>the</w:t>
      </w:r>
      <w:r w:rsidR="002A2D2E">
        <w:t xml:space="preserve"> </w:t>
      </w:r>
      <w:r w:rsidR="00DE068C">
        <w:rPr>
          <w:spacing w:val="-2"/>
        </w:rPr>
        <w:t>Chief,</w:t>
      </w:r>
      <w:r w:rsidR="00337FE3">
        <w:rPr>
          <w:spacing w:val="-2"/>
        </w:rPr>
        <w:t xml:space="preserve"> Video Division, Media Bureau</w:t>
      </w:r>
      <w:r>
        <w:rPr>
          <w:spacing w:val="-2"/>
        </w:rPr>
        <w:t>:</w:t>
      </w:r>
    </w:p>
    <w:p w:rsidR="00822CE0" w:rsidRPr="00337FE3" w:rsidRDefault="00822CE0">
      <w:pPr>
        <w:rPr>
          <w:spacing w:val="-2"/>
          <w:szCs w:val="22"/>
        </w:rPr>
      </w:pPr>
    </w:p>
    <w:p w:rsidR="00412FC5" w:rsidRPr="00337FE3" w:rsidRDefault="00337FE3" w:rsidP="00337FE3">
      <w:pPr>
        <w:pStyle w:val="Heading1"/>
        <w:rPr>
          <w:rFonts w:ascii="Times New Roman" w:hAnsi="Times New Roman"/>
          <w:szCs w:val="22"/>
        </w:rPr>
      </w:pPr>
      <w:r w:rsidRPr="00337FE3">
        <w:rPr>
          <w:rFonts w:ascii="Times New Roman" w:hAnsi="Times New Roman"/>
          <w:szCs w:val="22"/>
        </w:rPr>
        <w:t xml:space="preserve">introduction </w:t>
      </w:r>
    </w:p>
    <w:p w:rsidR="00DE068C" w:rsidRPr="00337FE3" w:rsidRDefault="00DE068C" w:rsidP="00DE068C">
      <w:pPr>
        <w:pStyle w:val="ParaNum"/>
        <w:rPr>
          <w:szCs w:val="22"/>
        </w:rPr>
      </w:pPr>
      <w:r w:rsidRPr="00337FE3">
        <w:rPr>
          <w:szCs w:val="22"/>
        </w:rPr>
        <w:t xml:space="preserve">In this </w:t>
      </w:r>
      <w:r w:rsidRPr="00337FE3">
        <w:rPr>
          <w:i/>
          <w:szCs w:val="22"/>
        </w:rPr>
        <w:t>Notice of Apparent</w:t>
      </w:r>
      <w:r w:rsidRPr="00337FE3">
        <w:rPr>
          <w:szCs w:val="22"/>
        </w:rPr>
        <w:t xml:space="preserve"> </w:t>
      </w:r>
      <w:r w:rsidRPr="00337FE3">
        <w:rPr>
          <w:i/>
          <w:szCs w:val="22"/>
        </w:rPr>
        <w:t xml:space="preserve">Liability for Forfeiture </w:t>
      </w:r>
      <w:r w:rsidRPr="00337FE3">
        <w:rPr>
          <w:szCs w:val="22"/>
        </w:rPr>
        <w:t>(NAL) issued pursuant to Section 503(b) of the Communications Act of 1934, as amended (Act), and Section 1.80 of the Commission’s Rules (Rules),</w:t>
      </w:r>
      <w:r w:rsidRPr="00337FE3">
        <w:rPr>
          <w:rStyle w:val="FootnoteReference"/>
          <w:sz w:val="22"/>
          <w:szCs w:val="22"/>
        </w:rPr>
        <w:footnoteReference w:id="2"/>
      </w:r>
      <w:r w:rsidRPr="00337FE3">
        <w:rPr>
          <w:szCs w:val="22"/>
        </w:rPr>
        <w:t xml:space="preserve"> we </w:t>
      </w:r>
      <w:r w:rsidR="0005179A">
        <w:rPr>
          <w:szCs w:val="22"/>
        </w:rPr>
        <w:t>find that NBC Telemundo License</w:t>
      </w:r>
      <w:r w:rsidRPr="00337FE3">
        <w:rPr>
          <w:szCs w:val="22"/>
        </w:rPr>
        <w:t xml:space="preserve"> LLC (Licensee), licensee of Station KVEA</w:t>
      </w:r>
      <w:r w:rsidR="00EA6BC8">
        <w:rPr>
          <w:szCs w:val="22"/>
        </w:rPr>
        <w:t>(TV)</w:t>
      </w:r>
      <w:r w:rsidRPr="00337FE3">
        <w:rPr>
          <w:szCs w:val="22"/>
        </w:rPr>
        <w:t>, Corona, California (Sta</w:t>
      </w:r>
      <w:r w:rsidR="0005179A">
        <w:rPr>
          <w:szCs w:val="22"/>
        </w:rPr>
        <w:t>ti</w:t>
      </w:r>
      <w:r w:rsidR="00837A2C">
        <w:rPr>
          <w:szCs w:val="22"/>
        </w:rPr>
        <w:t>on), apparently willfully and/or</w:t>
      </w:r>
      <w:r w:rsidR="0005179A">
        <w:rPr>
          <w:szCs w:val="22"/>
        </w:rPr>
        <w:t xml:space="preserve"> </w:t>
      </w:r>
      <w:r w:rsidRPr="00337FE3">
        <w:rPr>
          <w:szCs w:val="22"/>
        </w:rPr>
        <w:t>repeatedly violated Section 73.3526(e)(11)(iii)</w:t>
      </w:r>
      <w:r w:rsidR="00570E25" w:rsidRPr="00570E25">
        <w:rPr>
          <w:rStyle w:val="FootnoteReference"/>
          <w:sz w:val="22"/>
          <w:szCs w:val="22"/>
        </w:rPr>
        <w:t xml:space="preserve"> </w:t>
      </w:r>
      <w:r w:rsidR="00570E25" w:rsidRPr="00337FE3">
        <w:rPr>
          <w:rStyle w:val="FootnoteReference"/>
          <w:sz w:val="22"/>
          <w:szCs w:val="22"/>
        </w:rPr>
        <w:footnoteReference w:id="3"/>
      </w:r>
      <w:r w:rsidR="00570E25">
        <w:rPr>
          <w:szCs w:val="22"/>
        </w:rPr>
        <w:t xml:space="preserve"> </w:t>
      </w:r>
      <w:r w:rsidRPr="00337FE3">
        <w:rPr>
          <w:szCs w:val="22"/>
        </w:rPr>
        <w:t xml:space="preserve">of the Rules by failing to publicize the existence and location of the Station’s Children’s Television Programming Reports. </w:t>
      </w:r>
      <w:r w:rsidR="00570E25">
        <w:rPr>
          <w:szCs w:val="22"/>
        </w:rPr>
        <w:t xml:space="preserve"> </w:t>
      </w:r>
      <w:r w:rsidRPr="00337FE3">
        <w:rPr>
          <w:szCs w:val="22"/>
        </w:rPr>
        <w:t>Based upon our review of the facts and circumstances before us, we conclude that the Licensee is apparently liable for a monetary forfeiture in the amount of eight thousand dollars ($8,000).</w:t>
      </w:r>
    </w:p>
    <w:p w:rsidR="00DE068C" w:rsidRPr="00337FE3" w:rsidRDefault="00DE068C" w:rsidP="00DE068C">
      <w:pPr>
        <w:pStyle w:val="Heading1"/>
        <w:keepNext w:val="0"/>
        <w:suppressAutoHyphens w:val="0"/>
        <w:rPr>
          <w:rFonts w:ascii="Times New Roman" w:hAnsi="Times New Roman"/>
          <w:szCs w:val="22"/>
        </w:rPr>
      </w:pPr>
      <w:r w:rsidRPr="00337FE3">
        <w:rPr>
          <w:rFonts w:ascii="Times New Roman" w:hAnsi="Times New Roman"/>
          <w:szCs w:val="22"/>
        </w:rPr>
        <w:t>BACKGROUND:</w:t>
      </w:r>
    </w:p>
    <w:p w:rsidR="00DE068C" w:rsidRPr="00337FE3" w:rsidRDefault="00DE068C" w:rsidP="00DE068C">
      <w:pPr>
        <w:pStyle w:val="ParaNum"/>
        <w:rPr>
          <w:szCs w:val="22"/>
        </w:rPr>
      </w:pPr>
      <w:r w:rsidRPr="00337FE3">
        <w:rPr>
          <w:szCs w:val="22"/>
        </w:rPr>
        <w:t>Section 73.3526 of the Rules requires each commercial broadcast licensee to maintain a public inspection file containing specific types of information related to station operations.</w:t>
      </w:r>
      <w:r w:rsidRPr="00337FE3">
        <w:rPr>
          <w:rStyle w:val="FootnoteReference"/>
          <w:sz w:val="22"/>
          <w:szCs w:val="22"/>
        </w:rPr>
        <w:footnoteReference w:id="4"/>
      </w:r>
      <w:r w:rsidRPr="00337FE3">
        <w:rPr>
          <w:szCs w:val="22"/>
        </w:rPr>
        <w:t xml:space="preserve">  As set forth in subsection 73.3526(e)(11)(iii), each commercial television licensee is required to prepare and place in its public inspection file a Children’s Television Programming Report (FCC Form 398) for each calendar quarter reflecting, </w:t>
      </w:r>
      <w:r w:rsidRPr="00337FE3">
        <w:rPr>
          <w:i/>
          <w:szCs w:val="22"/>
        </w:rPr>
        <w:t>inter alia</w:t>
      </w:r>
      <w:r w:rsidRPr="00337FE3">
        <w:rPr>
          <w:szCs w:val="22"/>
        </w:rPr>
        <w:t>, the efforts that it made during that quarter to serve the educational and informational needs of children. That subsection also requires licensees to file the reports with the Commission and to publicize the existence and location of the reports.</w:t>
      </w:r>
      <w:r w:rsidRPr="00337FE3">
        <w:rPr>
          <w:rStyle w:val="FootnoteReference"/>
          <w:sz w:val="22"/>
          <w:szCs w:val="22"/>
        </w:rPr>
        <w:footnoteReference w:id="5"/>
      </w:r>
      <w:r w:rsidRPr="00337FE3">
        <w:rPr>
          <w:szCs w:val="22"/>
        </w:rPr>
        <w:t xml:space="preserve">  </w:t>
      </w:r>
    </w:p>
    <w:p w:rsidR="00DE068C" w:rsidRPr="00337FE3" w:rsidRDefault="00DE068C" w:rsidP="00DE068C">
      <w:pPr>
        <w:pStyle w:val="ParaNum"/>
        <w:rPr>
          <w:szCs w:val="22"/>
        </w:rPr>
      </w:pPr>
      <w:r w:rsidRPr="00337FE3">
        <w:rPr>
          <w:szCs w:val="22"/>
        </w:rPr>
        <w:t>On August 1, 2014, the Licensee filed its license renewal application (FCC Form 303-S) for the Station.</w:t>
      </w:r>
      <w:r w:rsidRPr="00337FE3">
        <w:rPr>
          <w:rStyle w:val="FootnoteReference"/>
          <w:sz w:val="22"/>
          <w:szCs w:val="22"/>
        </w:rPr>
        <w:footnoteReference w:id="6"/>
      </w:r>
      <w:r w:rsidRPr="00337FE3">
        <w:rPr>
          <w:szCs w:val="22"/>
        </w:rPr>
        <w:t xml:space="preserve">  In response to Section IV, Question 10 of the Application, the Licensee stated that announcements concerning the existence and location of Children’s Television Programming Reports were had not been broadcast throughout the entire preceding license term (</w:t>
      </w:r>
      <w:r w:rsidRPr="00337FE3">
        <w:rPr>
          <w:i/>
          <w:szCs w:val="22"/>
        </w:rPr>
        <w:t>i.e.,</w:t>
      </w:r>
      <w:r w:rsidRPr="00337FE3">
        <w:rPr>
          <w:szCs w:val="22"/>
        </w:rPr>
        <w:t xml:space="preserve"> for a period of eight years).  The announcements began airing again in July 2014 and a process has been implanted to ensure the announcements occur in the future.</w:t>
      </w:r>
      <w:r w:rsidRPr="00337FE3">
        <w:rPr>
          <w:rStyle w:val="FootnoteReference"/>
          <w:sz w:val="22"/>
          <w:szCs w:val="22"/>
        </w:rPr>
        <w:footnoteReference w:id="7"/>
      </w:r>
    </w:p>
    <w:p w:rsidR="00DE068C" w:rsidRPr="00337FE3" w:rsidRDefault="00DE068C" w:rsidP="00DE068C">
      <w:pPr>
        <w:pStyle w:val="Heading1"/>
        <w:keepNext w:val="0"/>
        <w:suppressAutoHyphens w:val="0"/>
        <w:rPr>
          <w:rStyle w:val="documentbody1"/>
          <w:rFonts w:ascii="Times New Roman" w:hAnsi="Times New Roman"/>
          <w:sz w:val="22"/>
          <w:szCs w:val="22"/>
        </w:rPr>
      </w:pPr>
      <w:r w:rsidRPr="00337FE3">
        <w:rPr>
          <w:rFonts w:ascii="Times New Roman" w:hAnsi="Times New Roman"/>
          <w:szCs w:val="22"/>
        </w:rPr>
        <w:lastRenderedPageBreak/>
        <w:t>DISCUSSION</w:t>
      </w:r>
    </w:p>
    <w:p w:rsidR="00DE068C" w:rsidRPr="00337FE3" w:rsidRDefault="00DE068C" w:rsidP="00837A2C">
      <w:pPr>
        <w:pStyle w:val="ParaNum"/>
        <w:rPr>
          <w:szCs w:val="22"/>
        </w:rPr>
      </w:pPr>
      <w:r w:rsidRPr="00337FE3">
        <w:rPr>
          <w:szCs w:val="22"/>
        </w:rPr>
        <w:t>The Licensee apparently failed to publicize the existence and location of the Station’s Children’s Television Programming Reports for eight years. This constitutes apparent willful and/or repeated violations of Section 73.3526(e)(11)(iii) of the Rules.</w:t>
      </w:r>
      <w:r w:rsidRPr="00337FE3">
        <w:rPr>
          <w:rStyle w:val="FootnoteReference"/>
          <w:sz w:val="22"/>
          <w:szCs w:val="22"/>
        </w:rPr>
        <w:footnoteReference w:id="8"/>
      </w:r>
      <w:r w:rsidRPr="00337FE3">
        <w:rPr>
          <w:szCs w:val="22"/>
        </w:rPr>
        <w:t xml:space="preserve">  </w:t>
      </w:r>
      <w:r w:rsidRPr="00337FE3">
        <w:rPr>
          <w:rStyle w:val="documentbody1"/>
          <w:rFonts w:ascii="Times New Roman" w:hAnsi="Times New Roman"/>
          <w:sz w:val="22"/>
          <w:szCs w:val="22"/>
        </w:rPr>
        <w:t xml:space="preserve">The Licensee may have since taken </w:t>
      </w:r>
      <w:r w:rsidRPr="00337FE3">
        <w:rPr>
          <w:rStyle w:val="documentbody1"/>
          <w:rFonts w:ascii="Times New Roman" w:hAnsi="Times New Roman"/>
          <w:color w:val="000000"/>
          <w:sz w:val="22"/>
          <w:szCs w:val="22"/>
        </w:rPr>
        <w:t xml:space="preserve">corrective actions to prevent subsequent violations of the children's television rules and policies; however, </w:t>
      </w:r>
      <w:r w:rsidRPr="00337FE3">
        <w:rPr>
          <w:rStyle w:val="documentbody1"/>
          <w:rFonts w:ascii="Times New Roman" w:hAnsi="Times New Roman"/>
          <w:sz w:val="22"/>
          <w:szCs w:val="22"/>
        </w:rPr>
        <w:t xml:space="preserve">the Commission has found that the </w:t>
      </w:r>
      <w:r w:rsidRPr="00337FE3">
        <w:rPr>
          <w:szCs w:val="22"/>
        </w:rPr>
        <w:t>fact that a broadcast station may have implemented a plan to prevent future violations does not relieve the licensee of liability for prior violations.</w:t>
      </w:r>
      <w:r w:rsidRPr="00337FE3">
        <w:rPr>
          <w:rStyle w:val="FootnoteReference"/>
          <w:sz w:val="22"/>
          <w:szCs w:val="22"/>
        </w:rPr>
        <w:footnoteReference w:id="9"/>
      </w:r>
      <w:r w:rsidRPr="00337FE3">
        <w:rPr>
          <w:szCs w:val="22"/>
        </w:rPr>
        <w:t xml:space="preserve">  </w:t>
      </w:r>
    </w:p>
    <w:p w:rsidR="00DE068C" w:rsidRPr="00337FE3" w:rsidRDefault="00DE068C" w:rsidP="00837A2C">
      <w:pPr>
        <w:pStyle w:val="ParaNum"/>
        <w:rPr>
          <w:szCs w:val="22"/>
        </w:rPr>
      </w:pPr>
      <w:r w:rsidRPr="00337FE3">
        <w:rPr>
          <w:szCs w:val="22"/>
        </w:rPr>
        <w:t xml:space="preserve">This </w:t>
      </w:r>
      <w:r w:rsidRPr="00337FE3">
        <w:rPr>
          <w:i/>
          <w:szCs w:val="22"/>
        </w:rPr>
        <w:t>NAL</w:t>
      </w:r>
      <w:r w:rsidRPr="00337FE3">
        <w:rPr>
          <w:szCs w:val="22"/>
        </w:rPr>
        <w:t xml:space="preserve"> is issued pursuant to Section 503(b)(1)(B) of the Act.  Under that provision, any person who is determined by the Commission to have “willfully and/or repeatedly failed to comply with any provision of the Act or any rule, regulation, or order issued by the Commission…shall be liable to the United States for a forfeiture penalty.”</w:t>
      </w:r>
      <w:r w:rsidRPr="00337FE3">
        <w:rPr>
          <w:rStyle w:val="FootnoteReference"/>
          <w:sz w:val="22"/>
          <w:szCs w:val="22"/>
        </w:rPr>
        <w:footnoteReference w:id="10"/>
      </w:r>
      <w:r w:rsidRPr="00337FE3">
        <w:rPr>
          <w:rStyle w:val="FootnoteReference"/>
          <w:sz w:val="22"/>
          <w:szCs w:val="22"/>
        </w:rPr>
        <w:t xml:space="preserve"> </w:t>
      </w:r>
      <w:r w:rsidRPr="00337FE3">
        <w:rPr>
          <w:szCs w:val="22"/>
        </w:rPr>
        <w:t xml:space="preserve"> Section 312(f)(1) of the Act defines willful as “the conscious and deliberate commission or omission of [any] act, irrespective of any intent to violate” the law.</w:t>
      </w:r>
      <w:r w:rsidRPr="00337FE3">
        <w:rPr>
          <w:rStyle w:val="FootnoteReference"/>
          <w:sz w:val="22"/>
          <w:szCs w:val="22"/>
        </w:rPr>
        <w:footnoteReference w:id="11"/>
      </w:r>
      <w:r w:rsidRPr="00337FE3">
        <w:rPr>
          <w:szCs w:val="22"/>
        </w:rPr>
        <w:t xml:space="preserve">  The legislative history to Section 312(f)(1) of the Act clarifies that this definition of willful applies to both Sections 312 and 503(b) of the Act,</w:t>
      </w:r>
      <w:r w:rsidRPr="00337FE3">
        <w:rPr>
          <w:rStyle w:val="FootnoteReference"/>
          <w:sz w:val="22"/>
          <w:szCs w:val="22"/>
        </w:rPr>
        <w:footnoteReference w:id="12"/>
      </w:r>
      <w:r w:rsidRPr="00337FE3">
        <w:rPr>
          <w:szCs w:val="22"/>
        </w:rPr>
        <w:t xml:space="preserve"> and the Commission has so interpreted the term in the Section 503(b) context.</w:t>
      </w:r>
      <w:r w:rsidRPr="00337FE3">
        <w:rPr>
          <w:rStyle w:val="FootnoteReference"/>
          <w:sz w:val="22"/>
          <w:szCs w:val="22"/>
        </w:rPr>
        <w:footnoteReference w:id="13"/>
      </w:r>
      <w:r w:rsidRPr="00337FE3">
        <w:rPr>
          <w:rStyle w:val="FootnoteReference"/>
          <w:sz w:val="22"/>
          <w:szCs w:val="22"/>
        </w:rPr>
        <w:t xml:space="preserve"> </w:t>
      </w:r>
      <w:r w:rsidRPr="00337FE3">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sidRPr="00337FE3">
        <w:rPr>
          <w:rStyle w:val="FootnoteReference"/>
          <w:sz w:val="22"/>
          <w:szCs w:val="22"/>
        </w:rPr>
        <w:footnoteReference w:id="14"/>
      </w:r>
      <w:r w:rsidRPr="00337FE3">
        <w:rPr>
          <w:szCs w:val="22"/>
        </w:rPr>
        <w:t xml:space="preserve">  </w:t>
      </w:r>
    </w:p>
    <w:p w:rsidR="00DE068C" w:rsidRPr="00337FE3" w:rsidRDefault="00DE068C" w:rsidP="00837A2C">
      <w:pPr>
        <w:pStyle w:val="ParaNum"/>
        <w:rPr>
          <w:szCs w:val="22"/>
        </w:rPr>
      </w:pPr>
      <w:r w:rsidRPr="00337FE3">
        <w:rPr>
          <w:szCs w:val="22"/>
        </w:rPr>
        <w:t>The</w:t>
      </w:r>
      <w:r w:rsidRPr="00337FE3">
        <w:rPr>
          <w:i/>
          <w:szCs w:val="22"/>
        </w:rPr>
        <w:t xml:space="preserve"> </w:t>
      </w:r>
      <w:r w:rsidRPr="00337FE3">
        <w:rPr>
          <w:szCs w:val="22"/>
        </w:rPr>
        <w:t>Commission’s</w:t>
      </w:r>
      <w:r w:rsidRPr="00337FE3">
        <w:rPr>
          <w:i/>
          <w:szCs w:val="22"/>
        </w:rPr>
        <w:t xml:space="preserve"> Forfeiture Policy Statement</w:t>
      </w:r>
      <w:r w:rsidRPr="00337FE3">
        <w:rPr>
          <w:szCs w:val="22"/>
        </w:rPr>
        <w:t xml:space="preserve"> and Section 1.80(b) of the Rules establish a base forfeiture amount of $8,000 for violations of the Commission’s children’s requirements.</w:t>
      </w:r>
      <w:r w:rsidRPr="00337FE3">
        <w:rPr>
          <w:rStyle w:val="FootnoteReference"/>
          <w:sz w:val="22"/>
          <w:szCs w:val="22"/>
        </w:rPr>
        <w:footnoteReference w:id="15"/>
      </w:r>
      <w:r w:rsidRPr="00337FE3">
        <w:rPr>
          <w:szCs w:val="22"/>
        </w:rP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sidRPr="00337FE3">
        <w:rPr>
          <w:rStyle w:val="FootnoteReference"/>
          <w:sz w:val="22"/>
          <w:szCs w:val="22"/>
        </w:rPr>
        <w:footnoteReference w:id="16"/>
      </w:r>
      <w:r w:rsidRPr="00337FE3">
        <w:rPr>
          <w:szCs w:val="22"/>
        </w:rPr>
        <w:t xml:space="preserve">  Based on our review of the facts and circumstances, including the duration of the violation, we find that the Licensee is</w:t>
      </w:r>
      <w:r w:rsidR="0005179A">
        <w:rPr>
          <w:szCs w:val="22"/>
        </w:rPr>
        <w:t xml:space="preserve"> apparently</w:t>
      </w:r>
      <w:r w:rsidRPr="00337FE3">
        <w:rPr>
          <w:szCs w:val="22"/>
        </w:rPr>
        <w:t xml:space="preserve"> liable for a forfeiture in the amount of $8,000 for its failure to publicize the existence and location of the Station’s Children’s Television Programming Reports for eight (8) years.  Accordingly, the Licensee is</w:t>
      </w:r>
      <w:r w:rsidR="0005179A">
        <w:rPr>
          <w:szCs w:val="22"/>
        </w:rPr>
        <w:t xml:space="preserve"> apparently</w:t>
      </w:r>
      <w:r w:rsidRPr="00337FE3">
        <w:rPr>
          <w:szCs w:val="22"/>
        </w:rPr>
        <w:t xml:space="preserve"> liable for a forfeiture in the amount of $8,000 for its apparent willful and</w:t>
      </w:r>
      <w:r w:rsidR="0005179A">
        <w:rPr>
          <w:szCs w:val="22"/>
        </w:rPr>
        <w:t>/or</w:t>
      </w:r>
      <w:r w:rsidRPr="00337FE3">
        <w:rPr>
          <w:szCs w:val="22"/>
        </w:rPr>
        <w:t xml:space="preserve"> repea</w:t>
      </w:r>
      <w:r w:rsidR="0005179A">
        <w:rPr>
          <w:szCs w:val="22"/>
        </w:rPr>
        <w:t>ted violations of Section</w:t>
      </w:r>
      <w:r w:rsidRPr="00337FE3">
        <w:rPr>
          <w:szCs w:val="22"/>
        </w:rPr>
        <w:t xml:space="preserve"> 73.3526(e)(11)(iii) of the Rules.</w:t>
      </w:r>
      <w:r w:rsidRPr="00337FE3">
        <w:rPr>
          <w:rStyle w:val="FootnoteReference"/>
          <w:sz w:val="22"/>
          <w:szCs w:val="22"/>
        </w:rPr>
        <w:footnoteReference w:id="17"/>
      </w:r>
    </w:p>
    <w:p w:rsidR="00DE068C" w:rsidRPr="0005179A" w:rsidRDefault="00DE068C" w:rsidP="00837A2C">
      <w:pPr>
        <w:pStyle w:val="Heading1"/>
        <w:keepNext w:val="0"/>
        <w:suppressAutoHyphens w:val="0"/>
        <w:rPr>
          <w:rFonts w:ascii="Times New Roman" w:hAnsi="Times New Roman"/>
          <w:szCs w:val="22"/>
        </w:rPr>
      </w:pPr>
      <w:r w:rsidRPr="0005179A">
        <w:rPr>
          <w:rFonts w:ascii="Times New Roman" w:hAnsi="Times New Roman"/>
          <w:szCs w:val="22"/>
        </w:rPr>
        <w:lastRenderedPageBreak/>
        <w:t>ORDERING CLAUSES</w:t>
      </w:r>
    </w:p>
    <w:p w:rsidR="00DE068C" w:rsidRPr="00337FE3" w:rsidRDefault="00DE068C" w:rsidP="00837A2C">
      <w:pPr>
        <w:pStyle w:val="ParaNum"/>
        <w:rPr>
          <w:szCs w:val="22"/>
        </w:rPr>
      </w:pPr>
      <w:r w:rsidRPr="00337FE3">
        <w:rPr>
          <w:szCs w:val="22"/>
        </w:rPr>
        <w:t>Accordingly, IT IS ORDERED, pursuant to Section 503(b) of the Communications Act of 1934, as amended, 47 U.S.C. § 503(b), and Section 1.80 of the Commission’s Rules, 47 C.F.R. § 1.80, that NBC Telemundo Licensee LLC, licensee of Station KVEA</w:t>
      </w:r>
      <w:r w:rsidR="00EA6BC8">
        <w:rPr>
          <w:szCs w:val="22"/>
        </w:rPr>
        <w:t>(TV)</w:t>
      </w:r>
      <w:r w:rsidRPr="00337FE3">
        <w:rPr>
          <w:szCs w:val="22"/>
        </w:rPr>
        <w:t>, Corona, California, is hereby NOTIFIED of its APPARENT LIABILITY FOR FORFEITURE in the amount of eight thousand dollars ($8,000) for its apparent willful and/or repeated violations of Se</w:t>
      </w:r>
      <w:r w:rsidR="0005179A">
        <w:rPr>
          <w:szCs w:val="22"/>
        </w:rPr>
        <w:t xml:space="preserve">ction </w:t>
      </w:r>
      <w:r w:rsidRPr="00337FE3">
        <w:rPr>
          <w:szCs w:val="22"/>
        </w:rPr>
        <w:t xml:space="preserve">73.3526(e)(11)(iii) of the </w:t>
      </w:r>
      <w:r w:rsidR="0005179A">
        <w:rPr>
          <w:szCs w:val="22"/>
        </w:rPr>
        <w:t>Commission’s Rules, 47 C.F.R. §</w:t>
      </w:r>
      <w:r w:rsidRPr="00337FE3">
        <w:rPr>
          <w:szCs w:val="22"/>
        </w:rPr>
        <w:t xml:space="preserve"> 73.3526(e)(11)(iii). </w:t>
      </w:r>
    </w:p>
    <w:p w:rsidR="00DE068C" w:rsidRPr="00337FE3" w:rsidRDefault="00DE068C" w:rsidP="00837A2C">
      <w:pPr>
        <w:pStyle w:val="ParaNum"/>
        <w:rPr>
          <w:szCs w:val="22"/>
        </w:rPr>
      </w:pPr>
      <w:r w:rsidRPr="00337FE3">
        <w:rPr>
          <w:szCs w:val="22"/>
        </w:rPr>
        <w:t xml:space="preserve">IT IS FURTHER ORDERED, pursuant to Section 1.80 of the Commission’s Rules, that within thirty (30) days of the release date of this </w:t>
      </w:r>
      <w:r w:rsidRPr="00337FE3">
        <w:rPr>
          <w:i/>
          <w:szCs w:val="22"/>
        </w:rPr>
        <w:t>NAL,</w:t>
      </w:r>
      <w:r w:rsidR="0005179A">
        <w:rPr>
          <w:szCs w:val="22"/>
        </w:rPr>
        <w:t xml:space="preserve"> NBC Telemundo Licens</w:t>
      </w:r>
      <w:r w:rsidRPr="00337FE3">
        <w:rPr>
          <w:szCs w:val="22"/>
        </w:rPr>
        <w:t>e LLC, SHALL PAY the full amount of the proposed forfeiture or SHALL FILE a written statement seeking reduction or cancellation of the proposed forfeiture.</w:t>
      </w:r>
    </w:p>
    <w:p w:rsidR="00DE068C" w:rsidRPr="00337FE3" w:rsidRDefault="00DE068C" w:rsidP="00837A2C">
      <w:pPr>
        <w:pStyle w:val="ParaNum"/>
        <w:rPr>
          <w:szCs w:val="22"/>
        </w:rPr>
      </w:pPr>
      <w:r w:rsidRPr="00337FE3">
        <w:rPr>
          <w:szCs w:val="22"/>
        </w:rPr>
        <w:t xml:space="preserve">Payments of the </w:t>
      </w:r>
      <w:r w:rsidRPr="0005179A">
        <w:rPr>
          <w:szCs w:val="22"/>
        </w:rPr>
        <w:t xml:space="preserve">proposed forfeiture must be made by check or similar instrument, wire transfer, or credit card, and must include the FRN referenced above.  </w:t>
      </w:r>
      <w:r w:rsidR="0005179A" w:rsidRPr="0005179A">
        <w:rPr>
          <w:iCs/>
        </w:rPr>
        <w:t>An FCC Form 159 (Remittance Advice) must be submitted with payment unless payment is made online at the Commission’s Fee Filer website</w:t>
      </w:r>
      <w:r w:rsidRPr="0005179A">
        <w:rPr>
          <w:szCs w:val="22"/>
        </w:rPr>
        <w:t>.</w:t>
      </w:r>
      <w:r w:rsidRPr="0005179A">
        <w:rPr>
          <w:rStyle w:val="FootnoteReference"/>
          <w:sz w:val="22"/>
          <w:szCs w:val="22"/>
        </w:rPr>
        <w:footnoteReference w:id="18"/>
      </w:r>
      <w:r w:rsidRPr="0005179A">
        <w:rPr>
          <w:szCs w:val="22"/>
        </w:rPr>
        <w:t xml:space="preserve">   When completing the FCC Form 159, enter the Account Number in block number 23A (call sign/other ID) and enter the letters “FORF” in block number 24A (payment type code).  Below are additional instructions you should follow based on the form of payment </w:t>
      </w:r>
      <w:r w:rsidRPr="00337FE3">
        <w:rPr>
          <w:szCs w:val="22"/>
        </w:rPr>
        <w:t>you select:</w:t>
      </w:r>
      <w:r w:rsidRPr="00337FE3">
        <w:rPr>
          <w:rStyle w:val="FootnoteReference"/>
          <w:sz w:val="22"/>
          <w:szCs w:val="22"/>
        </w:rPr>
        <w:footnoteReference w:id="19"/>
      </w:r>
      <w:r w:rsidRPr="00337FE3">
        <w:rPr>
          <w:szCs w:val="22"/>
        </w:rPr>
        <w:t xml:space="preserve"> </w:t>
      </w:r>
    </w:p>
    <w:p w:rsidR="00DE068C" w:rsidRPr="00337FE3" w:rsidRDefault="00DE068C" w:rsidP="00837A2C">
      <w:pPr>
        <w:pStyle w:val="ParaNum"/>
        <w:numPr>
          <w:ilvl w:val="0"/>
          <w:numId w:val="8"/>
        </w:numPr>
        <w:rPr>
          <w:spacing w:val="-2"/>
          <w:szCs w:val="22"/>
        </w:rPr>
      </w:pPr>
      <w:r w:rsidRPr="00337FE3">
        <w:rPr>
          <w:spacing w:val="-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DE068C" w:rsidRPr="00337FE3" w:rsidRDefault="00DE068C" w:rsidP="00837A2C">
      <w:pPr>
        <w:pStyle w:val="ParaNum"/>
        <w:numPr>
          <w:ilvl w:val="0"/>
          <w:numId w:val="8"/>
        </w:numPr>
        <w:rPr>
          <w:spacing w:val="-2"/>
          <w:szCs w:val="22"/>
        </w:rPr>
      </w:pPr>
      <w:r w:rsidRPr="00337FE3">
        <w:rPr>
          <w:spacing w:val="-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DE068C" w:rsidRPr="00337FE3" w:rsidRDefault="00DE068C" w:rsidP="00837A2C">
      <w:pPr>
        <w:pStyle w:val="ParaNum"/>
        <w:numPr>
          <w:ilvl w:val="0"/>
          <w:numId w:val="8"/>
        </w:numPr>
        <w:rPr>
          <w:spacing w:val="-2"/>
          <w:szCs w:val="22"/>
        </w:rPr>
      </w:pPr>
      <w:r w:rsidRPr="00337FE3">
        <w:rPr>
          <w:spacing w:val="-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DE068C" w:rsidRPr="00337FE3" w:rsidRDefault="00DE068C" w:rsidP="00837A2C">
      <w:pPr>
        <w:pStyle w:val="ParaNum"/>
        <w:rPr>
          <w:szCs w:val="22"/>
        </w:rPr>
      </w:pPr>
      <w:r w:rsidRPr="00337FE3">
        <w:rPr>
          <w:szCs w:val="22"/>
        </w:rPr>
        <w:t>The response, if any, must be mailed to Office of the Secretary, Federal Communications Commission, 445 12</w:t>
      </w:r>
      <w:r w:rsidRPr="00337FE3">
        <w:rPr>
          <w:szCs w:val="22"/>
          <w:vertAlign w:val="superscript"/>
        </w:rPr>
        <w:t>th</w:t>
      </w:r>
      <w:r w:rsidRPr="00337FE3">
        <w:rPr>
          <w:szCs w:val="22"/>
        </w:rPr>
        <w:t xml:space="preserve"> Street, S.W., Washington, D.C. 20554, ATTN:  Evan Morris, Video Division, Media Bureau, Room 2-C827 and MUST INCLUDE the NAL/Acct. No. referenced above.</w:t>
      </w:r>
    </w:p>
    <w:p w:rsidR="00DE068C" w:rsidRPr="00337FE3" w:rsidRDefault="00DE068C" w:rsidP="00837A2C">
      <w:pPr>
        <w:pStyle w:val="ParaNum"/>
        <w:widowControl/>
        <w:rPr>
          <w:szCs w:val="22"/>
        </w:rPr>
      </w:pPr>
      <w:r w:rsidRPr="00337FE3">
        <w:rPr>
          <w:szCs w:val="22"/>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337FE3">
        <w:rPr>
          <w:rStyle w:val="FootnoteReference"/>
          <w:sz w:val="22"/>
          <w:szCs w:val="22"/>
        </w:rPr>
        <w:footnoteReference w:id="20"/>
      </w:r>
      <w:r w:rsidRPr="00337FE3">
        <w:rPr>
          <w:szCs w:val="22"/>
        </w:rPr>
        <w:t xml:space="preserve"> </w:t>
      </w:r>
    </w:p>
    <w:p w:rsidR="00DE068C" w:rsidRPr="00337FE3" w:rsidRDefault="00DE068C" w:rsidP="00837A2C">
      <w:pPr>
        <w:pStyle w:val="ParaNum"/>
        <w:rPr>
          <w:szCs w:val="22"/>
        </w:rPr>
      </w:pPr>
      <w:r w:rsidRPr="00337FE3">
        <w:rPr>
          <w:szCs w:val="22"/>
        </w:rPr>
        <w:t xml:space="preserve">Requests for full payment of the forfeiture proposed in this </w:t>
      </w:r>
      <w:r w:rsidRPr="00337FE3">
        <w:rPr>
          <w:i/>
          <w:szCs w:val="22"/>
        </w:rPr>
        <w:t>NAL</w:t>
      </w:r>
      <w:r w:rsidRPr="00337FE3">
        <w:rPr>
          <w:szCs w:val="22"/>
        </w:rPr>
        <w:t xml:space="preserve"> under the installment plan should be sent to: Associate Managing Director- Financial Operations, 445 12th Street, S.W., Room 1-A625, Washington, D.C. 20554.</w:t>
      </w:r>
      <w:r w:rsidRPr="00337FE3">
        <w:rPr>
          <w:rStyle w:val="FootnoteReference"/>
          <w:sz w:val="22"/>
          <w:szCs w:val="22"/>
        </w:rPr>
        <w:footnoteReference w:id="21"/>
      </w:r>
    </w:p>
    <w:p w:rsidR="00DE068C" w:rsidRPr="00337FE3" w:rsidRDefault="00DE068C" w:rsidP="00837A2C">
      <w:pPr>
        <w:pStyle w:val="ParaNum"/>
        <w:rPr>
          <w:szCs w:val="22"/>
        </w:rPr>
      </w:pPr>
      <w:r w:rsidRPr="00337FE3">
        <w:rPr>
          <w:szCs w:val="22"/>
        </w:rPr>
        <w:t xml:space="preserve">IT IS FURTHER ORDERED that copies of this </w:t>
      </w:r>
      <w:r w:rsidRPr="00337FE3">
        <w:rPr>
          <w:i/>
          <w:szCs w:val="22"/>
        </w:rPr>
        <w:t>NAL</w:t>
      </w:r>
      <w:r w:rsidRPr="00337FE3">
        <w:rPr>
          <w:szCs w:val="22"/>
        </w:rPr>
        <w:t xml:space="preserve"> shall be sent, by First Class and Certified Mail, Return Receipt Requested, to NBC Telemundo License LLC, 300 New Jersey Avenue, NW, Suite 700, Washington DC 20001, Attention:  Margaret L. Tobey.   </w:t>
      </w:r>
    </w:p>
    <w:p w:rsidR="00DE068C" w:rsidRDefault="00DE068C" w:rsidP="00DE068C">
      <w:pPr>
        <w:tabs>
          <w:tab w:val="left" w:pos="0"/>
        </w:tabs>
        <w:jc w:val="both"/>
        <w:rPr>
          <w:szCs w:val="22"/>
        </w:rPr>
      </w:pPr>
      <w:r>
        <w:rPr>
          <w:szCs w:val="22"/>
        </w:rPr>
        <w:tab/>
      </w:r>
      <w:r>
        <w:rPr>
          <w:szCs w:val="22"/>
        </w:rPr>
        <w:tab/>
      </w:r>
      <w:r>
        <w:rPr>
          <w:szCs w:val="22"/>
        </w:rPr>
        <w:tab/>
      </w:r>
      <w:r>
        <w:rPr>
          <w:szCs w:val="22"/>
        </w:rPr>
        <w:tab/>
      </w:r>
      <w:r>
        <w:rPr>
          <w:szCs w:val="22"/>
        </w:rPr>
        <w:tab/>
      </w:r>
      <w:r>
        <w:rPr>
          <w:szCs w:val="22"/>
        </w:rPr>
        <w:tab/>
      </w:r>
      <w:r>
        <w:rPr>
          <w:szCs w:val="22"/>
        </w:rPr>
        <w:tab/>
      </w:r>
    </w:p>
    <w:p w:rsidR="00DE068C" w:rsidRDefault="00DE068C" w:rsidP="00DE068C">
      <w:pPr>
        <w:tabs>
          <w:tab w:val="left" w:pos="0"/>
        </w:tabs>
        <w:jc w:val="both"/>
        <w:rPr>
          <w:szCs w:val="22"/>
        </w:rPr>
      </w:pPr>
    </w:p>
    <w:p w:rsidR="00DE068C" w:rsidRDefault="00DE068C" w:rsidP="00DE068C">
      <w:pPr>
        <w:tabs>
          <w:tab w:val="left" w:pos="0"/>
        </w:tabs>
        <w:jc w:val="both"/>
        <w:rPr>
          <w:szCs w:val="22"/>
        </w:rPr>
      </w:pPr>
    </w:p>
    <w:p w:rsidR="00DE068C" w:rsidRPr="007C3D9A" w:rsidRDefault="00DE068C" w:rsidP="00DE068C">
      <w:pPr>
        <w:tabs>
          <w:tab w:val="left" w:pos="0"/>
        </w:tabs>
        <w:jc w:val="both"/>
        <w:rPr>
          <w:szCs w:val="22"/>
        </w:rPr>
      </w:pPr>
      <w:r>
        <w:rPr>
          <w:szCs w:val="22"/>
        </w:rPr>
        <w:tab/>
      </w:r>
      <w:r>
        <w:rPr>
          <w:szCs w:val="22"/>
        </w:rPr>
        <w:tab/>
      </w:r>
      <w:r>
        <w:rPr>
          <w:szCs w:val="22"/>
        </w:rPr>
        <w:tab/>
      </w:r>
      <w:r>
        <w:rPr>
          <w:szCs w:val="22"/>
        </w:rPr>
        <w:tab/>
      </w:r>
      <w:r>
        <w:rPr>
          <w:szCs w:val="22"/>
        </w:rPr>
        <w:tab/>
      </w:r>
      <w:r>
        <w:rPr>
          <w:szCs w:val="22"/>
        </w:rPr>
        <w:tab/>
      </w:r>
      <w:r w:rsidRPr="007C3D9A">
        <w:rPr>
          <w:szCs w:val="22"/>
        </w:rPr>
        <w:t>FEDERAL COMMUNICATIONS COMMISSION</w:t>
      </w:r>
    </w:p>
    <w:p w:rsidR="00DE068C" w:rsidRPr="007C3D9A" w:rsidRDefault="00DE068C" w:rsidP="00DE068C">
      <w:pPr>
        <w:tabs>
          <w:tab w:val="left" w:pos="0"/>
        </w:tabs>
        <w:jc w:val="both"/>
        <w:rPr>
          <w:szCs w:val="22"/>
        </w:rPr>
      </w:pPr>
    </w:p>
    <w:p w:rsidR="00DE068C" w:rsidRDefault="00DE068C" w:rsidP="00DE068C">
      <w:pPr>
        <w:tabs>
          <w:tab w:val="left" w:pos="0"/>
        </w:tabs>
        <w:jc w:val="both"/>
        <w:rPr>
          <w:szCs w:val="22"/>
        </w:rPr>
      </w:pPr>
    </w:p>
    <w:p w:rsidR="00DE068C" w:rsidRPr="007C3D9A" w:rsidRDefault="00DE068C" w:rsidP="00DE068C">
      <w:pPr>
        <w:tabs>
          <w:tab w:val="left" w:pos="0"/>
        </w:tabs>
        <w:jc w:val="both"/>
        <w:rPr>
          <w:szCs w:val="22"/>
        </w:rPr>
      </w:pPr>
    </w:p>
    <w:p w:rsidR="00DE068C" w:rsidRPr="007C3D9A" w:rsidRDefault="00DE068C" w:rsidP="00DE068C">
      <w:pPr>
        <w:tabs>
          <w:tab w:val="left" w:pos="0"/>
        </w:tabs>
        <w:jc w:val="both"/>
        <w:rPr>
          <w:szCs w:val="22"/>
        </w:rPr>
      </w:pP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t>Barbara A. Kreisman</w:t>
      </w:r>
    </w:p>
    <w:p w:rsidR="00DE068C" w:rsidRPr="007C3D9A" w:rsidRDefault="00DE068C" w:rsidP="00DE068C">
      <w:pPr>
        <w:tabs>
          <w:tab w:val="left" w:pos="0"/>
        </w:tabs>
        <w:jc w:val="both"/>
        <w:rPr>
          <w:szCs w:val="22"/>
        </w:rPr>
      </w:pP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t>Chief, Video Division</w:t>
      </w:r>
    </w:p>
    <w:p w:rsidR="002C00E8" w:rsidRPr="00DE068C" w:rsidRDefault="00DE068C" w:rsidP="00DE068C">
      <w:pPr>
        <w:tabs>
          <w:tab w:val="left" w:pos="0"/>
        </w:tabs>
        <w:jc w:val="both"/>
        <w:rPr>
          <w:sz w:val="24"/>
          <w:szCs w:val="24"/>
        </w:rPr>
      </w:pP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t>Media Bureau</w:t>
      </w:r>
    </w:p>
    <w:sectPr w:rsidR="002C00E8" w:rsidRPr="00DE068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E3" w:rsidRDefault="00EB20E3">
      <w:pPr>
        <w:spacing w:line="20" w:lineRule="exact"/>
      </w:pPr>
    </w:p>
  </w:endnote>
  <w:endnote w:type="continuationSeparator" w:id="0">
    <w:p w:rsidR="00EB20E3" w:rsidRDefault="00EB20E3">
      <w:r>
        <w:t xml:space="preserve"> </w:t>
      </w:r>
    </w:p>
  </w:endnote>
  <w:endnote w:type="continuationNotice" w:id="1">
    <w:p w:rsidR="00EB20E3" w:rsidRDefault="00EB20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B6C3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E3" w:rsidRDefault="00EB20E3">
      <w:r>
        <w:separator/>
      </w:r>
    </w:p>
  </w:footnote>
  <w:footnote w:type="continuationSeparator" w:id="0">
    <w:p w:rsidR="00EB20E3" w:rsidRDefault="00EB20E3" w:rsidP="00C721AC">
      <w:pPr>
        <w:spacing w:before="120"/>
        <w:rPr>
          <w:sz w:val="20"/>
        </w:rPr>
      </w:pPr>
      <w:r>
        <w:rPr>
          <w:sz w:val="20"/>
        </w:rPr>
        <w:t xml:space="preserve">(Continued from previous page)  </w:t>
      </w:r>
      <w:r>
        <w:rPr>
          <w:sz w:val="20"/>
        </w:rPr>
        <w:separator/>
      </w:r>
    </w:p>
  </w:footnote>
  <w:footnote w:type="continuationNotice" w:id="1">
    <w:p w:rsidR="00EB20E3" w:rsidRDefault="00EB20E3" w:rsidP="00C721AC">
      <w:pPr>
        <w:jc w:val="right"/>
        <w:rPr>
          <w:sz w:val="20"/>
        </w:rPr>
      </w:pPr>
      <w:r>
        <w:rPr>
          <w:sz w:val="20"/>
        </w:rPr>
        <w:t>(continued….)</w:t>
      </w:r>
    </w:p>
  </w:footnote>
  <w:footnote w:id="2">
    <w:p w:rsidR="00DE068C" w:rsidRDefault="00DE068C" w:rsidP="00DE068C">
      <w:pPr>
        <w:pStyle w:val="FootnoteText"/>
        <w:widowControl w:val="0"/>
      </w:pPr>
      <w:r>
        <w:rPr>
          <w:rStyle w:val="FootnoteReference"/>
        </w:rPr>
        <w:footnoteRef/>
      </w:r>
      <w:r>
        <w:t xml:space="preserve"> 47 U.S.C. § 503(b); 47 C.F.R. § 1.80.</w:t>
      </w:r>
    </w:p>
  </w:footnote>
  <w:footnote w:id="3">
    <w:p w:rsidR="00570E25" w:rsidRDefault="00570E25" w:rsidP="00570E25">
      <w:pPr>
        <w:pStyle w:val="FootnoteText"/>
        <w:widowControl w:val="0"/>
      </w:pPr>
      <w:r>
        <w:rPr>
          <w:rStyle w:val="FootnoteReference"/>
        </w:rPr>
        <w:footnoteRef/>
      </w:r>
      <w:r>
        <w:t xml:space="preserve"> 47 C.F.R. § 73.3526(e)(11)(iii)</w:t>
      </w:r>
    </w:p>
  </w:footnote>
  <w:footnote w:id="4">
    <w:p w:rsidR="00DE068C" w:rsidRDefault="00DE068C" w:rsidP="00DE068C">
      <w:pPr>
        <w:pStyle w:val="FootnoteText"/>
        <w:widowControl w:val="0"/>
      </w:pPr>
      <w:r>
        <w:rPr>
          <w:rStyle w:val="FootnoteReference"/>
        </w:rPr>
        <w:footnoteRef/>
      </w:r>
      <w:r>
        <w:t xml:space="preserve"> 47 C.F.R. § 73.3526, </w:t>
      </w:r>
      <w:r w:rsidRPr="00E738D0">
        <w:rPr>
          <w:i/>
        </w:rPr>
        <w:t>generally</w:t>
      </w:r>
      <w:r>
        <w:t>.</w:t>
      </w:r>
    </w:p>
  </w:footnote>
  <w:footnote w:id="5">
    <w:p w:rsidR="00DE068C" w:rsidRDefault="00DE068C" w:rsidP="00DE068C">
      <w:pPr>
        <w:pStyle w:val="FootnoteText"/>
        <w:widowControl w:val="0"/>
      </w:pPr>
      <w:r>
        <w:rPr>
          <w:rStyle w:val="FootnoteReference"/>
        </w:rPr>
        <w:footnoteRef/>
      </w:r>
      <w:r>
        <w:t xml:space="preserve"> 47 C.F.R. § 73.3526(e)(11)(iii)</w:t>
      </w:r>
    </w:p>
  </w:footnote>
  <w:footnote w:id="6">
    <w:p w:rsidR="00DE068C" w:rsidRDefault="00DE068C" w:rsidP="00DE068C">
      <w:pPr>
        <w:pStyle w:val="FootnoteText"/>
        <w:widowControl w:val="0"/>
      </w:pPr>
      <w:r>
        <w:rPr>
          <w:rStyle w:val="FootnoteReference"/>
        </w:rPr>
        <w:footnoteRef/>
      </w:r>
      <w:r>
        <w:t xml:space="preserve"> File No. BRCDT-20140801AJD (KVEA Renewal).</w:t>
      </w:r>
    </w:p>
  </w:footnote>
  <w:footnote w:id="7">
    <w:p w:rsidR="00DE068C" w:rsidRDefault="00DE068C" w:rsidP="00DE068C">
      <w:pPr>
        <w:pStyle w:val="FootnoteText"/>
        <w:widowControl w:val="0"/>
      </w:pPr>
      <w:r>
        <w:rPr>
          <w:rStyle w:val="FootnoteReference"/>
        </w:rPr>
        <w:footnoteRef/>
      </w:r>
      <w:r>
        <w:t xml:space="preserve"> (</w:t>
      </w:r>
      <w:r w:rsidRPr="000A1445">
        <w:t>KVEA Renewal)</w:t>
      </w:r>
      <w:r>
        <w:t xml:space="preserve"> Exhibit 27.</w:t>
      </w:r>
    </w:p>
  </w:footnote>
  <w:footnote w:id="8">
    <w:p w:rsidR="00DE068C" w:rsidRDefault="00DE068C" w:rsidP="00DE068C">
      <w:pPr>
        <w:pStyle w:val="FootnoteText"/>
        <w:widowControl w:val="0"/>
      </w:pPr>
      <w:r>
        <w:rPr>
          <w:rStyle w:val="FootnoteReference"/>
        </w:rPr>
        <w:footnoteRef/>
      </w:r>
      <w:r>
        <w:t xml:space="preserve"> 47 C.F.R. § 73.3526(e)(11)(iii); s</w:t>
      </w:r>
      <w:r w:rsidRPr="00E738D0">
        <w:rPr>
          <w:i/>
        </w:rPr>
        <w:t>ee e.g.,</w:t>
      </w:r>
      <w:r>
        <w:t xml:space="preserve"> </w:t>
      </w:r>
      <w:r>
        <w:rPr>
          <w:i/>
        </w:rPr>
        <w:t>Barrington Peoria License LLC</w:t>
      </w:r>
      <w:r>
        <w:t>, Notice of Apparent Liability for Forfeiture, 28 FCC Rcd 15478 (Vid. Div. 2013).</w:t>
      </w:r>
    </w:p>
  </w:footnote>
  <w:footnote w:id="9">
    <w:p w:rsidR="00DE068C" w:rsidRDefault="00DE068C" w:rsidP="00DE068C">
      <w:pPr>
        <w:pStyle w:val="FootnoteText"/>
        <w:widowControl w:val="0"/>
      </w:pPr>
      <w:r>
        <w:rPr>
          <w:rStyle w:val="FootnoteReference"/>
        </w:rPr>
        <w:footnoteRef/>
      </w:r>
      <w:r>
        <w:t xml:space="preserve"> </w:t>
      </w:r>
      <w:r w:rsidRPr="00205327">
        <w:rPr>
          <w:i/>
        </w:rPr>
        <w:t>See</w:t>
      </w:r>
      <w:r>
        <w:rPr>
          <w:i/>
        </w:rPr>
        <w:t xml:space="preserve"> e.g.,</w:t>
      </w:r>
      <w:r w:rsidRPr="00205327">
        <w:rPr>
          <w:i/>
        </w:rPr>
        <w:t xml:space="preserve"> International Broadcasting Corp.</w:t>
      </w:r>
      <w:r w:rsidRPr="00205327">
        <w:t xml:space="preserve">, </w:t>
      </w:r>
      <w:r>
        <w:t xml:space="preserve">Memorandum Opinion and Order, </w:t>
      </w:r>
      <w:r w:rsidRPr="00205327">
        <w:t>19 FCC 2d 793, 794 (1969) (permitting mitigation as an excuse based upon corrective action following a violation would “tend to encourage remedial rather than preventive action”).</w:t>
      </w:r>
    </w:p>
  </w:footnote>
  <w:footnote w:id="10">
    <w:p w:rsidR="00DE068C" w:rsidRPr="001255E3" w:rsidRDefault="00DE068C" w:rsidP="00DE068C">
      <w:pPr>
        <w:pStyle w:val="FootnoteText"/>
        <w:widowControl w:val="0"/>
      </w:pPr>
      <w:r w:rsidRPr="001255E3">
        <w:rPr>
          <w:rStyle w:val="FootnoteReference"/>
        </w:rPr>
        <w:footnoteRef/>
      </w:r>
      <w:r w:rsidRPr="001255E3">
        <w:t xml:space="preserve"> 47 U.S.C. § 503(b)(1)(B); s</w:t>
      </w:r>
      <w:r w:rsidRPr="001255E3">
        <w:rPr>
          <w:i/>
          <w:iCs/>
        </w:rPr>
        <w:t>ee also</w:t>
      </w:r>
      <w:r w:rsidRPr="001255E3">
        <w:t xml:space="preserve"> 47 C.F.R. § 1.80(a)(1).</w:t>
      </w:r>
    </w:p>
  </w:footnote>
  <w:footnote w:id="11">
    <w:p w:rsidR="00DE068C" w:rsidRPr="001255E3" w:rsidRDefault="00DE068C" w:rsidP="00DE068C">
      <w:pPr>
        <w:pStyle w:val="FootnoteText"/>
        <w:widowControl w:val="0"/>
      </w:pPr>
      <w:r w:rsidRPr="001255E3">
        <w:rPr>
          <w:rStyle w:val="FootnoteReference"/>
        </w:rPr>
        <w:footnoteRef/>
      </w:r>
      <w:r w:rsidRPr="001255E3">
        <w:t xml:space="preserve"> 47 U.S.C. § 312(f)(1).  </w:t>
      </w:r>
    </w:p>
  </w:footnote>
  <w:footnote w:id="12">
    <w:p w:rsidR="00DE068C" w:rsidRPr="001255E3" w:rsidRDefault="00DE068C" w:rsidP="00DE068C">
      <w:pPr>
        <w:pStyle w:val="FootnoteText"/>
        <w:widowControl w:val="0"/>
      </w:pPr>
      <w:r w:rsidRPr="001255E3">
        <w:rPr>
          <w:rStyle w:val="FootnoteReference"/>
        </w:rPr>
        <w:footnoteRef/>
      </w:r>
      <w:r w:rsidRPr="001255E3">
        <w:rPr>
          <w:i/>
        </w:rPr>
        <w:t xml:space="preserve"> See</w:t>
      </w:r>
      <w:r w:rsidRPr="001255E3">
        <w:t xml:space="preserve"> H.R. Rep. No. 97-765, 97</w:t>
      </w:r>
      <w:r w:rsidRPr="001255E3">
        <w:rPr>
          <w:vertAlign w:val="superscript"/>
        </w:rPr>
        <w:t>th</w:t>
      </w:r>
      <w:r w:rsidRPr="001255E3">
        <w:t xml:space="preserve"> Cong. 2d Sess. 51 (1982).</w:t>
      </w:r>
    </w:p>
  </w:footnote>
  <w:footnote w:id="13">
    <w:p w:rsidR="00DE068C" w:rsidRPr="001255E3" w:rsidRDefault="00DE068C" w:rsidP="00DE068C">
      <w:pPr>
        <w:pStyle w:val="FootnoteText"/>
        <w:widowControl w:val="0"/>
      </w:pPr>
      <w:r w:rsidRPr="001255E3">
        <w:rPr>
          <w:rStyle w:val="FootnoteReference"/>
        </w:rPr>
        <w:footnoteRef/>
      </w:r>
      <w:r w:rsidRPr="001255E3">
        <w:rPr>
          <w:i/>
          <w:iCs/>
        </w:rPr>
        <w:t xml:space="preserve"> See Southern California Broadcasting Co.</w:t>
      </w:r>
      <w:r w:rsidRPr="001255E3">
        <w:t>, Memorandum Opinion and Order, 6 FCC Rcd 4387, 4388 (1991).</w:t>
      </w:r>
    </w:p>
  </w:footnote>
  <w:footnote w:id="14">
    <w:p w:rsidR="00DE068C" w:rsidRPr="001255E3" w:rsidRDefault="00DE068C" w:rsidP="00DE068C">
      <w:pPr>
        <w:pStyle w:val="FootnoteText"/>
        <w:widowControl w:val="0"/>
      </w:pPr>
      <w:r w:rsidRPr="001255E3">
        <w:rPr>
          <w:rStyle w:val="FootnoteReference"/>
        </w:rPr>
        <w:footnoteRef/>
      </w:r>
      <w:r w:rsidRPr="001255E3">
        <w:t xml:space="preserve"> 47 U.S.C. § 312(f)(2)</w:t>
      </w:r>
      <w:r w:rsidRPr="001255E3">
        <w:rPr>
          <w:i/>
        </w:rPr>
        <w:t>; see also Callais Cablevision, Inc.</w:t>
      </w:r>
      <w:r w:rsidRPr="001255E3">
        <w:t>, Notice of Apparent Liability for Forfeiture, 16 FCC Rcd 1359, 1362 (2001).</w:t>
      </w:r>
    </w:p>
  </w:footnote>
  <w:footnote w:id="15">
    <w:p w:rsidR="00DE068C" w:rsidRPr="001255E3" w:rsidRDefault="00DE068C" w:rsidP="00DE068C">
      <w:pPr>
        <w:pStyle w:val="FootnoteText"/>
        <w:widowControl w:val="0"/>
      </w:pPr>
      <w:r w:rsidRPr="001255E3">
        <w:rPr>
          <w:rStyle w:val="FootnoteReference"/>
        </w:rPr>
        <w:footnoteRef/>
      </w:r>
      <w:r w:rsidRPr="001255E3">
        <w:t xml:space="preserve"> </w:t>
      </w:r>
      <w:r w:rsidRPr="001255E3">
        <w:rPr>
          <w:i/>
        </w:rPr>
        <w:t>See Forfeiture Policy Statement and Amendment of Section 1.80(b) of the Rules to Incorporate the Forfeiture Guidelines</w:t>
      </w:r>
      <w:r w:rsidRPr="001255E3">
        <w:t>, Report and Order, 12 FCC Rcd 17087, 17113-15 (1997</w:t>
      </w:r>
      <w:r w:rsidRPr="000A1445">
        <w:t>) (</w:t>
      </w:r>
      <w:r>
        <w:rPr>
          <w:i/>
        </w:rPr>
        <w:t>Forfeiture Policy Statement</w:t>
      </w:r>
      <w:r w:rsidRPr="000A1445">
        <w:t xml:space="preserve">), </w:t>
      </w:r>
      <w:r w:rsidRPr="001255E3">
        <w:rPr>
          <w:i/>
        </w:rPr>
        <w:t>recon. denied</w:t>
      </w:r>
      <w:r w:rsidRPr="001255E3">
        <w:t>, 15 FCC Rcd. 303 (1999); 47 C.F.R. § 1.80(b), note to paragraph (b)(8), Section I.</w:t>
      </w:r>
    </w:p>
  </w:footnote>
  <w:footnote w:id="16">
    <w:p w:rsidR="00DE068C" w:rsidRPr="001255E3" w:rsidRDefault="00DE068C" w:rsidP="00DE068C">
      <w:pPr>
        <w:pStyle w:val="FootnoteText"/>
        <w:widowControl w:val="0"/>
      </w:pPr>
      <w:r w:rsidRPr="001255E3">
        <w:rPr>
          <w:rStyle w:val="FootnoteReference"/>
        </w:rPr>
        <w:footnoteRef/>
      </w:r>
      <w:r w:rsidRPr="001255E3">
        <w:t xml:space="preserve"> 47 U.S.C. § 503(b)(2)(E); </w:t>
      </w:r>
      <w:r w:rsidRPr="001255E3">
        <w:rPr>
          <w:i/>
        </w:rPr>
        <w:t xml:space="preserve">see also Forfeiture Policy Statement, </w:t>
      </w:r>
      <w:r w:rsidRPr="001255E3">
        <w:t>12 FCC Rcd at 17100-01; 47 C.F.R. § 1.80(b)(8) and note to paragraph (b)(8), Section II.</w:t>
      </w:r>
    </w:p>
  </w:footnote>
  <w:footnote w:id="17">
    <w:p w:rsidR="00DE068C" w:rsidRDefault="00DE068C" w:rsidP="00DE068C">
      <w:pPr>
        <w:pStyle w:val="FootnoteText"/>
        <w:widowControl w:val="0"/>
      </w:pPr>
      <w:r>
        <w:rPr>
          <w:rStyle w:val="FootnoteReference"/>
        </w:rPr>
        <w:footnoteRef/>
      </w:r>
      <w:r>
        <w:t xml:space="preserve"> 47 C.F.R. § 73.3526(e)(11)(iii).</w:t>
      </w:r>
    </w:p>
  </w:footnote>
  <w:footnote w:id="18">
    <w:p w:rsidR="00DE068C" w:rsidRDefault="00DE068C" w:rsidP="00DE068C">
      <w:pPr>
        <w:pStyle w:val="FootnoteText"/>
        <w:widowControl w:val="0"/>
      </w:pPr>
      <w:r>
        <w:rPr>
          <w:rStyle w:val="FootnoteReference"/>
        </w:rPr>
        <w:footnoteRef/>
      </w:r>
      <w:r>
        <w:t xml:space="preserve"> </w:t>
      </w:r>
      <w:r w:rsidRPr="00436E1C">
        <w:rPr>
          <w:rFonts w:eastAsia="MS Mincho" w:cs="Arial"/>
        </w:rPr>
        <w:t xml:space="preserve">Payment may be made at the Commission’s online Fee Filer website: https://www.fcc.gov/encyclopedia/fee-filer. Payment may also be made by FCC Form 159; detailed instructions for completing the form may be obtained at </w:t>
      </w:r>
      <w:hyperlink r:id="rId1" w:history="1">
        <w:r w:rsidRPr="00FF0843">
          <w:rPr>
            <w:rStyle w:val="Hyperlink"/>
            <w:rFonts w:eastAsia="MS Mincho" w:cs="Arial"/>
          </w:rPr>
          <w:t>http://www.fcc.gov/Forms/Form159/159.pdf</w:t>
        </w:r>
      </w:hyperlink>
      <w:r w:rsidRPr="00436E1C">
        <w:rPr>
          <w:rFonts w:eastAsia="MS Mincho" w:cs="Arial"/>
        </w:rPr>
        <w:t>.</w:t>
      </w:r>
    </w:p>
  </w:footnote>
  <w:footnote w:id="19">
    <w:p w:rsidR="00DE068C" w:rsidRDefault="00DE068C" w:rsidP="00837A2C">
      <w:pPr>
        <w:pStyle w:val="FootnoteText"/>
        <w:widowControl w:val="0"/>
      </w:pPr>
      <w:r>
        <w:rPr>
          <w:rStyle w:val="FootnoteReference"/>
        </w:rPr>
        <w:footnoteRef/>
      </w:r>
      <w:r>
        <w:t xml:space="preserve"> For q</w:t>
      </w:r>
      <w:r w:rsidRPr="001B654A">
        <w:t>uestions regardi</w:t>
      </w:r>
      <w:r>
        <w:t>ng payment procedures,</w:t>
      </w:r>
      <w:r w:rsidRPr="001B654A">
        <w:t xml:space="preserve"> contact the Financial Operations Group Help Desk b</w:t>
      </w:r>
      <w:r>
        <w:t>y phone at 1-877-480-3201 or e-</w:t>
      </w:r>
      <w:r w:rsidRPr="001B654A">
        <w:t>mail at ARINQUIRIES@fcc.gov.</w:t>
      </w:r>
    </w:p>
  </w:footnote>
  <w:footnote w:id="20">
    <w:p w:rsidR="00DE068C" w:rsidRPr="001255E3" w:rsidRDefault="00DE068C" w:rsidP="00DE068C">
      <w:pPr>
        <w:pStyle w:val="FootnoteText"/>
        <w:keepLines/>
      </w:pPr>
      <w:r w:rsidRPr="001255E3">
        <w:rPr>
          <w:rStyle w:val="FootnoteReference"/>
        </w:rPr>
        <w:footnoteRef/>
      </w:r>
      <w:r w:rsidRPr="001255E3">
        <w:t xml:space="preserve"> </w:t>
      </w:r>
      <w:r w:rsidRPr="001255E3">
        <w:rPr>
          <w:i/>
        </w:rPr>
        <w:t>See</w:t>
      </w:r>
      <w:r w:rsidRPr="001255E3">
        <w:t xml:space="preserve"> </w:t>
      </w:r>
      <w:r w:rsidRPr="001255E3">
        <w:rPr>
          <w:i/>
        </w:rPr>
        <w:t>San Jose State Univ.</w:t>
      </w:r>
      <w:r w:rsidRPr="001255E3">
        <w:t>, 26 F.C.C. Rcd. 5908 (2011) (noting that “[t]ypically, the Commission uses gross revenue as the primary measuring stick by which it evaluates a licensee's ability to pay. Other financial indicators may be considered….”).</w:t>
      </w:r>
    </w:p>
  </w:footnote>
  <w:footnote w:id="21">
    <w:p w:rsidR="00DE068C" w:rsidRPr="001255E3" w:rsidRDefault="00DE068C" w:rsidP="00DE068C">
      <w:pPr>
        <w:pStyle w:val="FootnoteText"/>
        <w:widowControl w:val="0"/>
      </w:pPr>
      <w:r w:rsidRPr="001255E3">
        <w:rPr>
          <w:rStyle w:val="FootnoteReference"/>
        </w:rPr>
        <w:footnoteRef/>
      </w:r>
      <w:r w:rsidRPr="001255E3">
        <w:t xml:space="preserve"> </w:t>
      </w:r>
      <w:r w:rsidRPr="001255E3">
        <w:rPr>
          <w:i/>
        </w:rPr>
        <w:t>See</w:t>
      </w:r>
      <w:r w:rsidRPr="001255E3">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D6" w:rsidRDefault="00721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37FE3">
      <w:t>DA 16-</w:t>
    </w:r>
    <w:r w:rsidR="0005179A">
      <w:t>382</w:t>
    </w:r>
  </w:p>
  <w:p w:rsidR="00D25FB5" w:rsidRDefault="00EA6BC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7C2D4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A6BC8"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023A0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337FE3">
      <w:rPr>
        <w:spacing w:val="-2"/>
      </w:rPr>
      <w:t>DA 16-</w:t>
    </w:r>
    <w:r w:rsidR="0005179A">
      <w:rPr>
        <w:spacing w:val="-2"/>
      </w:rPr>
      <w:t>382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8C"/>
    <w:rsid w:val="00036039"/>
    <w:rsid w:val="00037F90"/>
    <w:rsid w:val="0005179A"/>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37FE3"/>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70E25"/>
    <w:rsid w:val="005E14C2"/>
    <w:rsid w:val="00607BA5"/>
    <w:rsid w:val="0061180A"/>
    <w:rsid w:val="00626EB6"/>
    <w:rsid w:val="00655D03"/>
    <w:rsid w:val="00683388"/>
    <w:rsid w:val="00683F84"/>
    <w:rsid w:val="006A6A81"/>
    <w:rsid w:val="006F7393"/>
    <w:rsid w:val="0070224F"/>
    <w:rsid w:val="007115F7"/>
    <w:rsid w:val="007214D6"/>
    <w:rsid w:val="00785689"/>
    <w:rsid w:val="0079754B"/>
    <w:rsid w:val="007A1E6D"/>
    <w:rsid w:val="007B0EB2"/>
    <w:rsid w:val="00810B6F"/>
    <w:rsid w:val="00822CE0"/>
    <w:rsid w:val="00837A2C"/>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068C"/>
    <w:rsid w:val="00DF62B6"/>
    <w:rsid w:val="00E07225"/>
    <w:rsid w:val="00E5409F"/>
    <w:rsid w:val="00EA6BC8"/>
    <w:rsid w:val="00EB20E3"/>
    <w:rsid w:val="00ED7562"/>
    <w:rsid w:val="00EE6488"/>
    <w:rsid w:val="00F021FA"/>
    <w:rsid w:val="00F62E97"/>
    <w:rsid w:val="00F64209"/>
    <w:rsid w:val="00F93BF5"/>
    <w:rsid w:val="00FB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Style 17,FR,Footnote Reference/,Footnote Reference1,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DE068C"/>
  </w:style>
  <w:style w:type="character" w:customStyle="1" w:styleId="documentbody1">
    <w:name w:val="documentbody1"/>
    <w:rsid w:val="00DE068C"/>
    <w:rPr>
      <w:rFonts w:ascii="Verdana" w:hAnsi="Verdana" w:hint="default"/>
      <w:sz w:val="19"/>
      <w:szCs w:val="19"/>
    </w:rPr>
  </w:style>
  <w:style w:type="character" w:customStyle="1" w:styleId="ParaNumChar">
    <w:name w:val="ParaNum Char"/>
    <w:link w:val="ParaNum"/>
    <w:rsid w:val="00DE068C"/>
    <w:rPr>
      <w:snapToGrid w:val="0"/>
      <w:kern w:val="28"/>
      <w:sz w:val="22"/>
    </w:rPr>
  </w:style>
  <w:style w:type="paragraph" w:styleId="BalloonText">
    <w:name w:val="Balloon Text"/>
    <w:basedOn w:val="Normal"/>
    <w:link w:val="BalloonTextChar"/>
    <w:rsid w:val="00ED7562"/>
    <w:rPr>
      <w:rFonts w:ascii="Segoe UI" w:hAnsi="Segoe UI" w:cs="Segoe UI"/>
      <w:sz w:val="18"/>
      <w:szCs w:val="18"/>
    </w:rPr>
  </w:style>
  <w:style w:type="character" w:customStyle="1" w:styleId="BalloonTextChar">
    <w:name w:val="Balloon Text Char"/>
    <w:basedOn w:val="DefaultParagraphFont"/>
    <w:link w:val="BalloonText"/>
    <w:rsid w:val="00ED7562"/>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Style 17,FR,Footnote Reference/,Footnote Reference1,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DE068C"/>
  </w:style>
  <w:style w:type="character" w:customStyle="1" w:styleId="documentbody1">
    <w:name w:val="documentbody1"/>
    <w:rsid w:val="00DE068C"/>
    <w:rPr>
      <w:rFonts w:ascii="Verdana" w:hAnsi="Verdana" w:hint="default"/>
      <w:sz w:val="19"/>
      <w:szCs w:val="19"/>
    </w:rPr>
  </w:style>
  <w:style w:type="character" w:customStyle="1" w:styleId="ParaNumChar">
    <w:name w:val="ParaNum Char"/>
    <w:link w:val="ParaNum"/>
    <w:rsid w:val="00DE068C"/>
    <w:rPr>
      <w:snapToGrid w:val="0"/>
      <w:kern w:val="28"/>
      <w:sz w:val="22"/>
    </w:rPr>
  </w:style>
  <w:style w:type="paragraph" w:styleId="BalloonText">
    <w:name w:val="Balloon Text"/>
    <w:basedOn w:val="Normal"/>
    <w:link w:val="BalloonTextChar"/>
    <w:rsid w:val="00ED7562"/>
    <w:rPr>
      <w:rFonts w:ascii="Segoe UI" w:hAnsi="Segoe UI" w:cs="Segoe UI"/>
      <w:sz w:val="18"/>
      <w:szCs w:val="18"/>
    </w:rPr>
  </w:style>
  <w:style w:type="character" w:customStyle="1" w:styleId="BalloonTextChar">
    <w:name w:val="Balloon Text Char"/>
    <w:basedOn w:val="DefaultParagraphFont"/>
    <w:link w:val="BalloonText"/>
    <w:rsid w:val="00ED756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1382</Words>
  <Characters>7598</Characters>
  <Application>Microsoft Office Word</Application>
  <DocSecurity>0</DocSecurity>
  <Lines>134</Lines>
  <Paragraphs>42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9021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2016-04-11T13:54:00Z</cp:lastPrinted>
  <dcterms:created xsi:type="dcterms:W3CDTF">2016-04-11T14:28:00Z</dcterms:created>
  <dcterms:modified xsi:type="dcterms:W3CDTF">2016-04-11T14:28:00Z</dcterms:modified>
  <cp:category> </cp:category>
  <cp:contentStatus> </cp:contentStatus>
</cp:coreProperties>
</file>