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872A5" w14:textId="77777777" w:rsidR="00DA1EC1" w:rsidRPr="0093773F" w:rsidRDefault="00DA1EC1" w:rsidP="00D47505">
      <w:pPr>
        <w:jc w:val="right"/>
        <w:rPr>
          <w:b/>
          <w:szCs w:val="22"/>
        </w:rPr>
      </w:pPr>
      <w:bookmarkStart w:id="0" w:name="_GoBack"/>
      <w:bookmarkEnd w:id="0"/>
    </w:p>
    <w:p w14:paraId="24030BA5" w14:textId="088CC7D2" w:rsidR="00D47505" w:rsidRPr="0093773F" w:rsidRDefault="008C7BE8" w:rsidP="00D47505">
      <w:pPr>
        <w:jc w:val="right"/>
        <w:rPr>
          <w:b/>
          <w:szCs w:val="22"/>
        </w:rPr>
      </w:pPr>
      <w:r>
        <w:rPr>
          <w:b/>
          <w:szCs w:val="22"/>
        </w:rPr>
        <w:t>DA 16-390</w:t>
      </w:r>
    </w:p>
    <w:p w14:paraId="23E27B68" w14:textId="29443545" w:rsidR="00D47505" w:rsidRPr="0093773F" w:rsidRDefault="00B338A9" w:rsidP="00D47505">
      <w:pPr>
        <w:spacing w:before="60"/>
        <w:jc w:val="right"/>
        <w:rPr>
          <w:b/>
          <w:szCs w:val="22"/>
        </w:rPr>
      </w:pPr>
      <w:r w:rsidRPr="0093773F">
        <w:rPr>
          <w:b/>
          <w:szCs w:val="22"/>
        </w:rPr>
        <w:t xml:space="preserve">Released:  </w:t>
      </w:r>
      <w:r w:rsidR="008C7BE8">
        <w:rPr>
          <w:b/>
          <w:szCs w:val="22"/>
        </w:rPr>
        <w:t>April 11</w:t>
      </w:r>
      <w:r w:rsidR="00DA1EC1" w:rsidRPr="0093773F">
        <w:rPr>
          <w:b/>
          <w:szCs w:val="22"/>
        </w:rPr>
        <w:t>, 2016</w:t>
      </w:r>
    </w:p>
    <w:p w14:paraId="42A4FCAE" w14:textId="77777777" w:rsidR="00D47505" w:rsidRPr="0093773F" w:rsidRDefault="00D47505" w:rsidP="00D47505">
      <w:pPr>
        <w:jc w:val="right"/>
        <w:rPr>
          <w:szCs w:val="22"/>
        </w:rPr>
      </w:pPr>
    </w:p>
    <w:p w14:paraId="4E7E6605" w14:textId="77777777" w:rsidR="00D47505" w:rsidRPr="0093773F" w:rsidRDefault="00DA1EC1" w:rsidP="00D47505">
      <w:pPr>
        <w:spacing w:after="240"/>
        <w:jc w:val="center"/>
        <w:rPr>
          <w:b/>
          <w:caps/>
          <w:szCs w:val="22"/>
        </w:rPr>
      </w:pPr>
      <w:r w:rsidRPr="0093773F">
        <w:rPr>
          <w:b/>
          <w:caps/>
          <w:szCs w:val="22"/>
        </w:rPr>
        <w:t xml:space="preserve">Wireline competition Bureau authorizes frontier to receive </w:t>
      </w:r>
      <w:r w:rsidR="000D6447" w:rsidRPr="0093773F">
        <w:rPr>
          <w:b/>
          <w:caps/>
          <w:szCs w:val="22"/>
        </w:rPr>
        <w:t xml:space="preserve">over $48.5 Million in </w:t>
      </w:r>
      <w:r w:rsidRPr="0093773F">
        <w:rPr>
          <w:b/>
          <w:caps/>
          <w:szCs w:val="22"/>
        </w:rPr>
        <w:t xml:space="preserve">connect america Phase ii support in </w:t>
      </w:r>
      <w:r w:rsidR="000D6447" w:rsidRPr="0093773F">
        <w:rPr>
          <w:b/>
          <w:caps/>
          <w:szCs w:val="22"/>
        </w:rPr>
        <w:t>california and texas</w:t>
      </w:r>
    </w:p>
    <w:p w14:paraId="621C9A3E" w14:textId="77777777" w:rsidR="00D47505" w:rsidRPr="0093773F" w:rsidRDefault="00DA1EC1" w:rsidP="00D47505">
      <w:pPr>
        <w:jc w:val="center"/>
        <w:rPr>
          <w:b/>
          <w:szCs w:val="22"/>
        </w:rPr>
      </w:pPr>
      <w:r w:rsidRPr="0093773F">
        <w:rPr>
          <w:b/>
          <w:szCs w:val="22"/>
        </w:rPr>
        <w:t>WC Docket No. 10-90</w:t>
      </w:r>
    </w:p>
    <w:p w14:paraId="7E5620D9" w14:textId="77777777" w:rsidR="00D47505" w:rsidRPr="0093773F" w:rsidRDefault="00D47505" w:rsidP="00D47505">
      <w:pPr>
        <w:jc w:val="center"/>
        <w:rPr>
          <w:szCs w:val="22"/>
        </w:rPr>
      </w:pPr>
    </w:p>
    <w:p w14:paraId="49372D5A" w14:textId="77777777" w:rsidR="006A1F49" w:rsidRPr="0093773F" w:rsidRDefault="00E1768C" w:rsidP="00B11FB6">
      <w:pPr>
        <w:spacing w:after="120"/>
        <w:rPr>
          <w:szCs w:val="22"/>
        </w:rPr>
      </w:pPr>
      <w:r w:rsidRPr="0093773F">
        <w:rPr>
          <w:szCs w:val="22"/>
        </w:rPr>
        <w:tab/>
        <w:t xml:space="preserve">By this Public Notice, the Wireline Competition Bureau (Bureau) authorizes Frontier </w:t>
      </w:r>
      <w:r w:rsidR="000D6447" w:rsidRPr="0093773F">
        <w:rPr>
          <w:szCs w:val="22"/>
        </w:rPr>
        <w:t xml:space="preserve">Communications Corporation </w:t>
      </w:r>
      <w:r w:rsidRPr="0093773F">
        <w:rPr>
          <w:szCs w:val="22"/>
        </w:rPr>
        <w:t>(Frontier) to receive Connect America Phase II model-based</w:t>
      </w:r>
      <w:r w:rsidR="000D6447" w:rsidRPr="0093773F">
        <w:rPr>
          <w:szCs w:val="22"/>
        </w:rPr>
        <w:t xml:space="preserve"> (Phase II)</w:t>
      </w:r>
      <w:r w:rsidR="00621A03" w:rsidRPr="0093773F">
        <w:rPr>
          <w:szCs w:val="22"/>
        </w:rPr>
        <w:t xml:space="preserve"> support for the states of California and Texas in the areas served by former Verizon Communications Inc. (Verizon) subsidiaries.</w:t>
      </w:r>
      <w:r w:rsidR="00BC5770" w:rsidRPr="0093773F">
        <w:rPr>
          <w:rStyle w:val="FootnoteReference"/>
          <w:sz w:val="22"/>
          <w:szCs w:val="22"/>
        </w:rPr>
        <w:footnoteReference w:id="2"/>
      </w:r>
      <w:r w:rsidR="00621A03" w:rsidRPr="0093773F">
        <w:rPr>
          <w:szCs w:val="22"/>
        </w:rPr>
        <w:t xml:space="preserve"> </w:t>
      </w:r>
    </w:p>
    <w:p w14:paraId="64D3ADBC" w14:textId="77777777" w:rsidR="000F1035" w:rsidRPr="0093773F" w:rsidRDefault="000D6447" w:rsidP="00B11FB6">
      <w:pPr>
        <w:spacing w:before="120" w:after="120"/>
        <w:rPr>
          <w:szCs w:val="22"/>
        </w:rPr>
      </w:pPr>
      <w:r w:rsidRPr="0093773F">
        <w:rPr>
          <w:szCs w:val="22"/>
        </w:rPr>
        <w:tab/>
        <w:t>In August 2015, Verizon accepted Phase II support conditioned “upon issuance and acceptance of” regulatory approvals for Frontier’s acquisition of all the ownership interest of certain Verizon subsidiaries, including Verizon California Inc.</w:t>
      </w:r>
      <w:r w:rsidR="000F1035" w:rsidRPr="0093773F">
        <w:rPr>
          <w:szCs w:val="22"/>
        </w:rPr>
        <w:t xml:space="preserve"> (Verizon California)</w:t>
      </w:r>
      <w:r w:rsidRPr="0093773F">
        <w:rPr>
          <w:szCs w:val="22"/>
        </w:rPr>
        <w:t xml:space="preserve"> and GTE Southwest Incorporated d/b/a Verizon Southwest</w:t>
      </w:r>
      <w:r w:rsidR="000F1035" w:rsidRPr="0093773F">
        <w:rPr>
          <w:szCs w:val="22"/>
        </w:rPr>
        <w:t xml:space="preserve"> (Verizon Texas).</w:t>
      </w:r>
      <w:r w:rsidR="00BB1747" w:rsidRPr="0093773F">
        <w:rPr>
          <w:rStyle w:val="FootnoteReference"/>
          <w:sz w:val="22"/>
          <w:szCs w:val="22"/>
        </w:rPr>
        <w:footnoteReference w:id="3"/>
      </w:r>
      <w:r w:rsidR="000F1035" w:rsidRPr="0093773F">
        <w:rPr>
          <w:szCs w:val="22"/>
        </w:rPr>
        <w:t xml:space="preserve">  The Bureau directed </w:t>
      </w:r>
      <w:r w:rsidR="0067714F" w:rsidRPr="0093773F">
        <w:rPr>
          <w:szCs w:val="22"/>
        </w:rPr>
        <w:t xml:space="preserve">the Universal Service Administrative Company (USAC) </w:t>
      </w:r>
      <w:r w:rsidR="000F1035" w:rsidRPr="0093773F">
        <w:rPr>
          <w:szCs w:val="22"/>
        </w:rPr>
        <w:t>to suspend the payment of Connect America support to Verizon in these two states for the month of August and thereafter</w:t>
      </w:r>
      <w:r w:rsidR="003F7E54" w:rsidRPr="0093773F">
        <w:rPr>
          <w:szCs w:val="22"/>
        </w:rPr>
        <w:t>,</w:t>
      </w:r>
      <w:r w:rsidR="000F1035" w:rsidRPr="0093773F">
        <w:rPr>
          <w:szCs w:val="22"/>
        </w:rPr>
        <w:t xml:space="preserve"> until the Bureau received notice that the transaction had closed and subsequently rel</w:t>
      </w:r>
      <w:r w:rsidR="00621A03" w:rsidRPr="0093773F">
        <w:rPr>
          <w:szCs w:val="22"/>
        </w:rPr>
        <w:t>eased a public notice directing USAC</w:t>
      </w:r>
      <w:r w:rsidR="000F1035" w:rsidRPr="0093773F">
        <w:rPr>
          <w:szCs w:val="22"/>
        </w:rPr>
        <w:t xml:space="preserve"> to obligate and disburse to Frontier the deferred support payments from the Universal Service Fund.</w:t>
      </w:r>
      <w:r w:rsidR="00BB1747" w:rsidRPr="0093773F">
        <w:rPr>
          <w:rStyle w:val="FootnoteReference"/>
          <w:sz w:val="22"/>
          <w:szCs w:val="22"/>
        </w:rPr>
        <w:footnoteReference w:id="4"/>
      </w:r>
    </w:p>
    <w:p w14:paraId="27BCEF8C" w14:textId="51186EB1" w:rsidR="000D6447" w:rsidRPr="0093773F" w:rsidRDefault="000F1035" w:rsidP="00B11FB6">
      <w:pPr>
        <w:spacing w:before="120" w:after="120"/>
        <w:rPr>
          <w:szCs w:val="22"/>
        </w:rPr>
      </w:pPr>
      <w:r w:rsidRPr="0093773F">
        <w:rPr>
          <w:szCs w:val="22"/>
        </w:rPr>
        <w:tab/>
      </w:r>
      <w:r w:rsidR="002D7BD1" w:rsidRPr="0093773F">
        <w:rPr>
          <w:szCs w:val="22"/>
        </w:rPr>
        <w:t xml:space="preserve">On December </w:t>
      </w:r>
      <w:r w:rsidR="00B07047" w:rsidRPr="0093773F">
        <w:rPr>
          <w:szCs w:val="22"/>
        </w:rPr>
        <w:t>16</w:t>
      </w:r>
      <w:r w:rsidR="000F6408" w:rsidRPr="0093773F">
        <w:rPr>
          <w:szCs w:val="22"/>
        </w:rPr>
        <w:t>, 2015</w:t>
      </w:r>
      <w:r w:rsidR="002D7BD1" w:rsidRPr="0093773F">
        <w:rPr>
          <w:szCs w:val="22"/>
        </w:rPr>
        <w:t>, Verizon notified the Commission that it had received all the regulatory approvals needed to complete the transaction</w:t>
      </w:r>
      <w:r w:rsidR="00B07047" w:rsidRPr="0093773F">
        <w:rPr>
          <w:szCs w:val="22"/>
        </w:rPr>
        <w:t xml:space="preserve"> and requested that USAC continue to defer the Phase II payments until the transaction had been closed</w:t>
      </w:r>
      <w:r w:rsidR="002D7BD1" w:rsidRPr="0093773F">
        <w:rPr>
          <w:szCs w:val="22"/>
        </w:rPr>
        <w:t>.</w:t>
      </w:r>
      <w:r w:rsidR="002D7BD1" w:rsidRPr="0093773F">
        <w:rPr>
          <w:rStyle w:val="FootnoteReference"/>
          <w:sz w:val="22"/>
          <w:szCs w:val="22"/>
        </w:rPr>
        <w:footnoteReference w:id="5"/>
      </w:r>
      <w:r w:rsidR="002D7BD1" w:rsidRPr="0093773F">
        <w:rPr>
          <w:szCs w:val="22"/>
        </w:rPr>
        <w:t xml:space="preserve">  </w:t>
      </w:r>
      <w:r w:rsidRPr="0093773F">
        <w:rPr>
          <w:szCs w:val="22"/>
        </w:rPr>
        <w:t>O</w:t>
      </w:r>
      <w:r w:rsidR="007812EF" w:rsidRPr="0093773F">
        <w:rPr>
          <w:szCs w:val="22"/>
        </w:rPr>
        <w:t xml:space="preserve">n </w:t>
      </w:r>
      <w:r w:rsidR="00574B4D" w:rsidRPr="0093773F">
        <w:rPr>
          <w:szCs w:val="22"/>
        </w:rPr>
        <w:t>April 1</w:t>
      </w:r>
      <w:r w:rsidR="007812EF" w:rsidRPr="0093773F">
        <w:rPr>
          <w:szCs w:val="22"/>
        </w:rPr>
        <w:t>, 2016</w:t>
      </w:r>
      <w:r w:rsidRPr="0093773F">
        <w:rPr>
          <w:szCs w:val="22"/>
        </w:rPr>
        <w:t xml:space="preserve">, Frontier and Verizon notified the Bureau that the transaction </w:t>
      </w:r>
      <w:r w:rsidR="00F874B3" w:rsidRPr="0093773F">
        <w:rPr>
          <w:szCs w:val="22"/>
        </w:rPr>
        <w:t>has</w:t>
      </w:r>
      <w:r w:rsidRPr="0093773F">
        <w:rPr>
          <w:szCs w:val="22"/>
        </w:rPr>
        <w:t xml:space="preserve"> closed</w:t>
      </w:r>
      <w:r w:rsidR="00791A23" w:rsidRPr="0093773F">
        <w:rPr>
          <w:szCs w:val="22"/>
        </w:rPr>
        <w:t>.</w:t>
      </w:r>
      <w:r w:rsidR="00574B4D" w:rsidRPr="0093773F">
        <w:rPr>
          <w:rStyle w:val="FootnoteReference"/>
          <w:sz w:val="22"/>
          <w:szCs w:val="22"/>
        </w:rPr>
        <w:footnoteReference w:id="6"/>
      </w:r>
      <w:r w:rsidR="00791A23" w:rsidRPr="0093773F">
        <w:rPr>
          <w:szCs w:val="22"/>
        </w:rPr>
        <w:t xml:space="preserve">  </w:t>
      </w:r>
      <w:r w:rsidR="00402E92" w:rsidRPr="0093773F">
        <w:rPr>
          <w:szCs w:val="22"/>
        </w:rPr>
        <w:t xml:space="preserve">Frontier </w:t>
      </w:r>
      <w:r w:rsidR="00947F75" w:rsidRPr="0093773F">
        <w:rPr>
          <w:szCs w:val="22"/>
        </w:rPr>
        <w:t xml:space="preserve">also </w:t>
      </w:r>
      <w:r w:rsidR="00402E92" w:rsidRPr="0093773F">
        <w:rPr>
          <w:szCs w:val="22"/>
        </w:rPr>
        <w:t xml:space="preserve">committed to satisfy the service obligations for </w:t>
      </w:r>
      <w:r w:rsidR="00402E92" w:rsidRPr="0093773F">
        <w:rPr>
          <w:szCs w:val="22"/>
        </w:rPr>
        <w:lastRenderedPageBreak/>
        <w:t>Phase II</w:t>
      </w:r>
      <w:r w:rsidRPr="0093773F">
        <w:rPr>
          <w:szCs w:val="22"/>
        </w:rPr>
        <w:t>.</w:t>
      </w:r>
      <w:r w:rsidR="00BB1747" w:rsidRPr="0093773F">
        <w:rPr>
          <w:rStyle w:val="FootnoteReference"/>
          <w:sz w:val="22"/>
          <w:szCs w:val="22"/>
        </w:rPr>
        <w:footnoteReference w:id="7"/>
      </w:r>
      <w:r w:rsidRPr="0093773F">
        <w:rPr>
          <w:szCs w:val="22"/>
        </w:rPr>
        <w:t xml:space="preserve"> </w:t>
      </w:r>
      <w:r w:rsidR="00621A03" w:rsidRPr="0093773F">
        <w:rPr>
          <w:szCs w:val="22"/>
        </w:rPr>
        <w:t xml:space="preserve"> Accordingly, we authorize and direct </w:t>
      </w:r>
      <w:r w:rsidR="0067714F" w:rsidRPr="0093773F">
        <w:rPr>
          <w:szCs w:val="22"/>
        </w:rPr>
        <w:t>USAC to obligate and disburse from the Universal Service Fund the support amounts identified below for California and Texas</w:t>
      </w:r>
      <w:r w:rsidR="00BC5770" w:rsidRPr="0093773F">
        <w:rPr>
          <w:szCs w:val="22"/>
        </w:rPr>
        <w:t xml:space="preserve"> to Frontier</w:t>
      </w:r>
      <w:r w:rsidR="006E3D96" w:rsidRPr="0093773F">
        <w:rPr>
          <w:szCs w:val="22"/>
        </w:rPr>
        <w:t xml:space="preserve">.  In California, </w:t>
      </w:r>
      <w:r w:rsidR="00F874B3" w:rsidRPr="0093773F">
        <w:rPr>
          <w:szCs w:val="22"/>
        </w:rPr>
        <w:t>the</w:t>
      </w:r>
      <w:r w:rsidR="006E3D96" w:rsidRPr="0093773F">
        <w:rPr>
          <w:szCs w:val="22"/>
        </w:rPr>
        <w:t xml:space="preserve"> Phase II support </w:t>
      </w:r>
      <w:r w:rsidR="00F874B3" w:rsidRPr="0093773F">
        <w:rPr>
          <w:szCs w:val="22"/>
        </w:rPr>
        <w:t>will exceed the amount of Phase I frozen support that</w:t>
      </w:r>
      <w:r w:rsidR="006E3D96" w:rsidRPr="0093773F">
        <w:rPr>
          <w:szCs w:val="22"/>
        </w:rPr>
        <w:t xml:space="preserve"> </w:t>
      </w:r>
      <w:r w:rsidR="00704DAB" w:rsidRPr="0093773F">
        <w:rPr>
          <w:szCs w:val="22"/>
        </w:rPr>
        <w:t xml:space="preserve">Verizon received in </w:t>
      </w:r>
      <w:r w:rsidR="00F874B3" w:rsidRPr="0093773F">
        <w:rPr>
          <w:szCs w:val="22"/>
        </w:rPr>
        <w:t>the state</w:t>
      </w:r>
      <w:r w:rsidR="00704DAB" w:rsidRPr="0093773F">
        <w:rPr>
          <w:szCs w:val="22"/>
        </w:rPr>
        <w:t>.</w:t>
      </w:r>
      <w:r w:rsidR="00BC0F7E" w:rsidRPr="0093773F">
        <w:rPr>
          <w:rStyle w:val="FootnoteReference"/>
          <w:sz w:val="22"/>
          <w:szCs w:val="22"/>
        </w:rPr>
        <w:footnoteReference w:id="8"/>
      </w:r>
      <w:r w:rsidR="00704DAB" w:rsidRPr="0093773F">
        <w:rPr>
          <w:szCs w:val="22"/>
        </w:rPr>
        <w:t xml:space="preserve">  </w:t>
      </w:r>
      <w:r w:rsidR="00F516F4" w:rsidRPr="0093773F">
        <w:rPr>
          <w:szCs w:val="22"/>
        </w:rPr>
        <w:t>Thus</w:t>
      </w:r>
      <w:r w:rsidR="007904B4" w:rsidRPr="0093773F">
        <w:rPr>
          <w:szCs w:val="22"/>
        </w:rPr>
        <w:t xml:space="preserve">, </w:t>
      </w:r>
      <w:r w:rsidR="006E3D96" w:rsidRPr="0093773F">
        <w:rPr>
          <w:szCs w:val="22"/>
        </w:rPr>
        <w:t>t</w:t>
      </w:r>
      <w:r w:rsidR="0067714F" w:rsidRPr="0093773F">
        <w:rPr>
          <w:szCs w:val="22"/>
        </w:rPr>
        <w:t xml:space="preserve">he first disbursement </w:t>
      </w:r>
      <w:r w:rsidR="00F516F4" w:rsidRPr="0093773F">
        <w:rPr>
          <w:szCs w:val="22"/>
        </w:rPr>
        <w:t xml:space="preserve">for California </w:t>
      </w:r>
      <w:r w:rsidR="0067714F" w:rsidRPr="0093773F">
        <w:rPr>
          <w:szCs w:val="22"/>
        </w:rPr>
        <w:t>sh</w:t>
      </w:r>
      <w:r w:rsidR="003F7E54" w:rsidRPr="0093773F">
        <w:rPr>
          <w:szCs w:val="22"/>
        </w:rPr>
        <w:t>all</w:t>
      </w:r>
      <w:r w:rsidR="0067714F" w:rsidRPr="0093773F">
        <w:rPr>
          <w:szCs w:val="22"/>
        </w:rPr>
        <w:t xml:space="preserve"> include a lump </w:t>
      </w:r>
      <w:r w:rsidR="00CE53AE" w:rsidRPr="0093773F">
        <w:rPr>
          <w:szCs w:val="22"/>
        </w:rPr>
        <w:t xml:space="preserve">sum </w:t>
      </w:r>
      <w:r w:rsidR="0067714F" w:rsidRPr="0093773F">
        <w:rPr>
          <w:szCs w:val="22"/>
        </w:rPr>
        <w:t xml:space="preserve">payment </w:t>
      </w:r>
      <w:r w:rsidR="003F7E54" w:rsidRPr="0093773F">
        <w:rPr>
          <w:szCs w:val="22"/>
        </w:rPr>
        <w:t>for</w:t>
      </w:r>
      <w:r w:rsidR="00CE53AE" w:rsidRPr="0093773F">
        <w:rPr>
          <w:szCs w:val="22"/>
        </w:rPr>
        <w:t xml:space="preserve"> the deferred support amounts associated with </w:t>
      </w:r>
      <w:r w:rsidR="006E3D96" w:rsidRPr="0093773F">
        <w:rPr>
          <w:szCs w:val="22"/>
        </w:rPr>
        <w:t>August 2015</w:t>
      </w:r>
      <w:r w:rsidR="00CE53AE" w:rsidRPr="0093773F">
        <w:rPr>
          <w:szCs w:val="22"/>
        </w:rPr>
        <w:t xml:space="preserve"> through </w:t>
      </w:r>
      <w:r w:rsidR="006E3D96" w:rsidRPr="0093773F">
        <w:rPr>
          <w:szCs w:val="22"/>
        </w:rPr>
        <w:t xml:space="preserve">March 2016 as well as a true-up amount </w:t>
      </w:r>
      <w:r w:rsidR="00F516F4" w:rsidRPr="0093773F">
        <w:rPr>
          <w:szCs w:val="22"/>
        </w:rPr>
        <w:t xml:space="preserve">for </w:t>
      </w:r>
      <w:r w:rsidR="006E3D96" w:rsidRPr="0093773F">
        <w:rPr>
          <w:szCs w:val="22"/>
        </w:rPr>
        <w:t xml:space="preserve">January 2015 through July 2015 to reflect </w:t>
      </w:r>
      <w:r w:rsidR="00704DAB" w:rsidRPr="0093773F">
        <w:rPr>
          <w:szCs w:val="22"/>
        </w:rPr>
        <w:t xml:space="preserve">the difference between Phase II and Phase I frozen support.  In Texas, </w:t>
      </w:r>
      <w:r w:rsidR="00F874B3" w:rsidRPr="0093773F">
        <w:rPr>
          <w:szCs w:val="22"/>
        </w:rPr>
        <w:t xml:space="preserve">Verizon received more Phase I frozen support than the </w:t>
      </w:r>
      <w:r w:rsidR="00704DAB" w:rsidRPr="0093773F">
        <w:rPr>
          <w:szCs w:val="22"/>
        </w:rPr>
        <w:t xml:space="preserve">Phase II support </w:t>
      </w:r>
      <w:r w:rsidR="00F874B3" w:rsidRPr="0093773F">
        <w:rPr>
          <w:szCs w:val="22"/>
        </w:rPr>
        <w:t>allocated to the state</w:t>
      </w:r>
      <w:r w:rsidR="00704DAB" w:rsidRPr="0093773F">
        <w:rPr>
          <w:szCs w:val="22"/>
        </w:rPr>
        <w:t>.</w:t>
      </w:r>
      <w:r w:rsidR="00BC0F7E" w:rsidRPr="0093773F">
        <w:rPr>
          <w:rStyle w:val="FootnoteReference"/>
          <w:sz w:val="22"/>
          <w:szCs w:val="22"/>
        </w:rPr>
        <w:footnoteReference w:id="9"/>
      </w:r>
      <w:r w:rsidR="00704DAB" w:rsidRPr="0093773F">
        <w:rPr>
          <w:szCs w:val="22"/>
        </w:rPr>
        <w:t xml:space="preserve">  </w:t>
      </w:r>
      <w:r w:rsidR="00F516F4" w:rsidRPr="0093773F">
        <w:rPr>
          <w:szCs w:val="22"/>
        </w:rPr>
        <w:t>Thus</w:t>
      </w:r>
      <w:r w:rsidR="00704DAB" w:rsidRPr="0093773F">
        <w:rPr>
          <w:szCs w:val="22"/>
        </w:rPr>
        <w:t>, the first disbursement</w:t>
      </w:r>
      <w:r w:rsidR="00F516F4" w:rsidRPr="0093773F">
        <w:rPr>
          <w:szCs w:val="22"/>
        </w:rPr>
        <w:t xml:space="preserve"> for Texas</w:t>
      </w:r>
      <w:r w:rsidR="00704DAB" w:rsidRPr="0093773F">
        <w:rPr>
          <w:szCs w:val="22"/>
        </w:rPr>
        <w:t xml:space="preserve"> shall include a lump sum payment for the deferred support amounts associated with August 2015 through March 2016 as well as transitional support</w:t>
      </w:r>
      <w:r w:rsidR="00CE53AE" w:rsidRPr="0093773F">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60"/>
        <w:gridCol w:w="2970"/>
      </w:tblGrid>
      <w:tr w:rsidR="00E03414" w:rsidRPr="0093773F" w14:paraId="78C5CD27" w14:textId="77777777" w:rsidTr="005E4782">
        <w:trPr>
          <w:cantSplit/>
          <w:trHeight w:val="317"/>
        </w:trPr>
        <w:tc>
          <w:tcPr>
            <w:tcW w:w="3078" w:type="dxa"/>
            <w:shd w:val="clear" w:color="auto" w:fill="D9D9D9"/>
            <w:vAlign w:val="center"/>
          </w:tcPr>
          <w:p w14:paraId="163E9711" w14:textId="77777777" w:rsidR="00E03414" w:rsidRPr="0093773F" w:rsidRDefault="00E03414" w:rsidP="005E4782">
            <w:pPr>
              <w:keepNext/>
              <w:jc w:val="center"/>
              <w:rPr>
                <w:rFonts w:eastAsia="Calibri"/>
                <w:b/>
                <w:bCs/>
                <w:szCs w:val="22"/>
              </w:rPr>
            </w:pPr>
            <w:r w:rsidRPr="0093773F">
              <w:rPr>
                <w:rFonts w:eastAsia="Calibri"/>
                <w:b/>
                <w:bCs/>
                <w:szCs w:val="22"/>
              </w:rPr>
              <w:t>State</w:t>
            </w:r>
          </w:p>
        </w:tc>
        <w:tc>
          <w:tcPr>
            <w:tcW w:w="3060" w:type="dxa"/>
            <w:shd w:val="clear" w:color="auto" w:fill="D9D9D9"/>
            <w:vAlign w:val="center"/>
          </w:tcPr>
          <w:p w14:paraId="7A362C68" w14:textId="77777777" w:rsidR="00E03414" w:rsidRPr="0093773F" w:rsidRDefault="00E03414" w:rsidP="005E4782">
            <w:pPr>
              <w:keepNext/>
              <w:jc w:val="center"/>
              <w:rPr>
                <w:rFonts w:eastAsia="Calibri"/>
                <w:b/>
                <w:bCs/>
                <w:szCs w:val="22"/>
              </w:rPr>
            </w:pPr>
            <w:r w:rsidRPr="0093773F">
              <w:rPr>
                <w:rFonts w:eastAsia="Calibri"/>
                <w:b/>
                <w:bCs/>
                <w:szCs w:val="22"/>
              </w:rPr>
              <w:t>Number of Funded Locations</w:t>
            </w:r>
          </w:p>
        </w:tc>
        <w:tc>
          <w:tcPr>
            <w:tcW w:w="2970" w:type="dxa"/>
            <w:shd w:val="clear" w:color="auto" w:fill="D9D9D9"/>
            <w:vAlign w:val="center"/>
          </w:tcPr>
          <w:p w14:paraId="0B528BB1" w14:textId="77777777" w:rsidR="00E03414" w:rsidRPr="0093773F" w:rsidRDefault="00E03414" w:rsidP="005E4782">
            <w:pPr>
              <w:keepNext/>
              <w:jc w:val="center"/>
              <w:rPr>
                <w:rFonts w:eastAsia="Calibri"/>
                <w:szCs w:val="22"/>
              </w:rPr>
            </w:pPr>
            <w:r w:rsidRPr="0093773F">
              <w:rPr>
                <w:rFonts w:eastAsia="Calibri"/>
                <w:b/>
                <w:bCs/>
                <w:szCs w:val="22"/>
              </w:rPr>
              <w:t>Amount of Support</w:t>
            </w:r>
          </w:p>
        </w:tc>
      </w:tr>
      <w:tr w:rsidR="00E03414" w:rsidRPr="0093773F" w14:paraId="52E9E24F" w14:textId="77777777" w:rsidTr="005E4782">
        <w:trPr>
          <w:cantSplit/>
          <w:trHeight w:val="317"/>
        </w:trPr>
        <w:tc>
          <w:tcPr>
            <w:tcW w:w="3078" w:type="dxa"/>
            <w:shd w:val="clear" w:color="auto" w:fill="auto"/>
            <w:vAlign w:val="center"/>
          </w:tcPr>
          <w:p w14:paraId="575C58C9" w14:textId="77777777" w:rsidR="00E03414" w:rsidRPr="0093773F" w:rsidRDefault="00E03414" w:rsidP="005E4782">
            <w:pPr>
              <w:keepNext/>
              <w:jc w:val="center"/>
              <w:rPr>
                <w:rFonts w:eastAsia="Calibri"/>
                <w:szCs w:val="22"/>
              </w:rPr>
            </w:pPr>
            <w:r w:rsidRPr="0093773F">
              <w:rPr>
                <w:rFonts w:eastAsia="Calibri"/>
                <w:szCs w:val="22"/>
              </w:rPr>
              <w:t>Total</w:t>
            </w:r>
          </w:p>
        </w:tc>
        <w:tc>
          <w:tcPr>
            <w:tcW w:w="3060" w:type="dxa"/>
            <w:shd w:val="clear" w:color="auto" w:fill="auto"/>
            <w:vAlign w:val="center"/>
          </w:tcPr>
          <w:p w14:paraId="0CC70E89" w14:textId="77777777" w:rsidR="00E03414" w:rsidRPr="0093773F" w:rsidRDefault="00F14317" w:rsidP="005E4782">
            <w:pPr>
              <w:keepNext/>
              <w:jc w:val="right"/>
              <w:rPr>
                <w:rFonts w:eastAsia="Calibri"/>
                <w:szCs w:val="22"/>
              </w:rPr>
            </w:pPr>
            <w:r w:rsidRPr="0093773F">
              <w:rPr>
                <w:rFonts w:eastAsia="Calibri"/>
                <w:szCs w:val="22"/>
              </w:rPr>
              <w:t>114,610</w:t>
            </w:r>
          </w:p>
        </w:tc>
        <w:tc>
          <w:tcPr>
            <w:tcW w:w="2970" w:type="dxa"/>
            <w:shd w:val="clear" w:color="auto" w:fill="auto"/>
            <w:vAlign w:val="center"/>
          </w:tcPr>
          <w:p w14:paraId="4B854661" w14:textId="77777777" w:rsidR="00E03414" w:rsidRPr="0093773F" w:rsidRDefault="00E03414" w:rsidP="005E4782">
            <w:pPr>
              <w:keepNext/>
              <w:jc w:val="right"/>
              <w:rPr>
                <w:rFonts w:eastAsia="Calibri"/>
                <w:szCs w:val="22"/>
              </w:rPr>
            </w:pPr>
            <w:r w:rsidRPr="0093773F">
              <w:rPr>
                <w:rFonts w:eastAsia="Calibri"/>
                <w:szCs w:val="22"/>
              </w:rPr>
              <w:t>$</w:t>
            </w:r>
            <w:r w:rsidR="00F14317" w:rsidRPr="0093773F">
              <w:rPr>
                <w:rFonts w:eastAsia="Calibri"/>
                <w:szCs w:val="22"/>
              </w:rPr>
              <w:t>48,554,986</w:t>
            </w:r>
            <w:r w:rsidRPr="0093773F">
              <w:rPr>
                <w:rFonts w:eastAsia="Calibri"/>
                <w:szCs w:val="22"/>
              </w:rPr>
              <w:t xml:space="preserve">                            </w:t>
            </w:r>
          </w:p>
        </w:tc>
      </w:tr>
      <w:tr w:rsidR="00E03414" w:rsidRPr="0093773F" w14:paraId="655B6AC3" w14:textId="77777777" w:rsidTr="005E4782">
        <w:trPr>
          <w:cantSplit/>
          <w:trHeight w:val="317"/>
        </w:trPr>
        <w:tc>
          <w:tcPr>
            <w:tcW w:w="3078" w:type="dxa"/>
            <w:shd w:val="clear" w:color="auto" w:fill="D9D9D9"/>
            <w:vAlign w:val="center"/>
          </w:tcPr>
          <w:p w14:paraId="719BE031" w14:textId="77777777" w:rsidR="00E03414" w:rsidRPr="0093773F" w:rsidRDefault="00E03414" w:rsidP="005E4782">
            <w:pPr>
              <w:keepNext/>
              <w:rPr>
                <w:rFonts w:eastAsia="Calibri"/>
                <w:szCs w:val="22"/>
              </w:rPr>
            </w:pPr>
          </w:p>
        </w:tc>
        <w:tc>
          <w:tcPr>
            <w:tcW w:w="3060" w:type="dxa"/>
            <w:shd w:val="clear" w:color="auto" w:fill="D9D9D9"/>
            <w:vAlign w:val="center"/>
          </w:tcPr>
          <w:p w14:paraId="03F49C6F" w14:textId="77777777" w:rsidR="00E03414" w:rsidRPr="0093773F" w:rsidRDefault="00E03414" w:rsidP="005E4782">
            <w:pPr>
              <w:keepNext/>
              <w:jc w:val="right"/>
              <w:rPr>
                <w:rFonts w:eastAsia="Calibri"/>
                <w:szCs w:val="22"/>
              </w:rPr>
            </w:pPr>
          </w:p>
        </w:tc>
        <w:tc>
          <w:tcPr>
            <w:tcW w:w="2970" w:type="dxa"/>
            <w:shd w:val="clear" w:color="auto" w:fill="D9D9D9"/>
            <w:vAlign w:val="center"/>
          </w:tcPr>
          <w:p w14:paraId="5A21FFB3" w14:textId="77777777" w:rsidR="00E03414" w:rsidRPr="0093773F" w:rsidRDefault="00E03414" w:rsidP="005E4782">
            <w:pPr>
              <w:keepNext/>
              <w:jc w:val="right"/>
              <w:rPr>
                <w:rFonts w:eastAsia="Calibri"/>
                <w:szCs w:val="22"/>
              </w:rPr>
            </w:pPr>
          </w:p>
        </w:tc>
      </w:tr>
      <w:tr w:rsidR="00E03414" w:rsidRPr="0093773F" w14:paraId="2350DA69" w14:textId="77777777" w:rsidTr="005E4782">
        <w:trPr>
          <w:cantSplit/>
          <w:trHeight w:val="317"/>
        </w:trPr>
        <w:tc>
          <w:tcPr>
            <w:tcW w:w="3078" w:type="dxa"/>
            <w:shd w:val="clear" w:color="auto" w:fill="auto"/>
            <w:vAlign w:val="center"/>
          </w:tcPr>
          <w:p w14:paraId="7F1BBAE4" w14:textId="77777777" w:rsidR="00E03414" w:rsidRPr="0093773F" w:rsidRDefault="00E03414" w:rsidP="005E4782">
            <w:pPr>
              <w:keepNext/>
              <w:jc w:val="center"/>
              <w:rPr>
                <w:rFonts w:eastAsia="Calibri"/>
                <w:szCs w:val="22"/>
              </w:rPr>
            </w:pPr>
            <w:r w:rsidRPr="0093773F">
              <w:rPr>
                <w:rFonts w:eastAsia="Calibri"/>
                <w:szCs w:val="22"/>
              </w:rPr>
              <w:t>CA</w:t>
            </w:r>
          </w:p>
        </w:tc>
        <w:tc>
          <w:tcPr>
            <w:tcW w:w="3060" w:type="dxa"/>
            <w:shd w:val="clear" w:color="auto" w:fill="auto"/>
            <w:vAlign w:val="center"/>
          </w:tcPr>
          <w:p w14:paraId="65DDA6ED" w14:textId="77777777" w:rsidR="00E03414" w:rsidRPr="0093773F" w:rsidRDefault="00E03414" w:rsidP="005E4782">
            <w:pPr>
              <w:keepNext/>
              <w:widowControl/>
              <w:jc w:val="right"/>
              <w:rPr>
                <w:snapToGrid/>
                <w:color w:val="000000"/>
                <w:kern w:val="0"/>
                <w:szCs w:val="22"/>
              </w:rPr>
            </w:pPr>
            <w:r w:rsidRPr="0093773F">
              <w:rPr>
                <w:color w:val="000000"/>
                <w:szCs w:val="22"/>
              </w:rPr>
              <w:t xml:space="preserve">                                  </w:t>
            </w:r>
            <w:r w:rsidR="00F14317" w:rsidRPr="0093773F">
              <w:rPr>
                <w:color w:val="000000"/>
                <w:szCs w:val="22"/>
              </w:rPr>
              <w:t>77,402</w:t>
            </w:r>
            <w:r w:rsidRPr="0093773F">
              <w:rPr>
                <w:color w:val="000000"/>
                <w:szCs w:val="22"/>
              </w:rPr>
              <w:t xml:space="preserve"> </w:t>
            </w:r>
          </w:p>
        </w:tc>
        <w:tc>
          <w:tcPr>
            <w:tcW w:w="2970" w:type="dxa"/>
            <w:shd w:val="clear" w:color="auto" w:fill="auto"/>
            <w:vAlign w:val="center"/>
          </w:tcPr>
          <w:p w14:paraId="0359B3BC" w14:textId="77777777" w:rsidR="00E03414" w:rsidRPr="0093773F" w:rsidRDefault="00E03414" w:rsidP="005E4782">
            <w:pPr>
              <w:keepNext/>
              <w:jc w:val="right"/>
              <w:rPr>
                <w:rFonts w:eastAsia="Calibri"/>
                <w:szCs w:val="22"/>
              </w:rPr>
            </w:pPr>
            <w:r w:rsidRPr="0093773F">
              <w:rPr>
                <w:rFonts w:eastAsia="Calibri"/>
                <w:szCs w:val="22"/>
              </w:rPr>
              <w:t>$</w:t>
            </w:r>
            <w:r w:rsidRPr="0093773F">
              <w:rPr>
                <w:color w:val="000000"/>
                <w:szCs w:val="22"/>
              </w:rPr>
              <w:t>31,978,057</w:t>
            </w:r>
            <w:r w:rsidRPr="0093773F">
              <w:rPr>
                <w:rFonts w:eastAsia="Calibri"/>
                <w:szCs w:val="22"/>
              </w:rPr>
              <w:t xml:space="preserve">                            </w:t>
            </w:r>
          </w:p>
        </w:tc>
      </w:tr>
      <w:tr w:rsidR="00E03414" w:rsidRPr="0093773F" w14:paraId="084F9077" w14:textId="77777777" w:rsidTr="005E4782">
        <w:trPr>
          <w:cantSplit/>
          <w:trHeight w:val="317"/>
        </w:trPr>
        <w:tc>
          <w:tcPr>
            <w:tcW w:w="3078" w:type="dxa"/>
            <w:shd w:val="clear" w:color="auto" w:fill="auto"/>
            <w:vAlign w:val="center"/>
          </w:tcPr>
          <w:p w14:paraId="6FD7C0F0" w14:textId="77777777" w:rsidR="00E03414" w:rsidRPr="0093773F" w:rsidRDefault="00E03414" w:rsidP="005E4782">
            <w:pPr>
              <w:keepNext/>
              <w:jc w:val="center"/>
              <w:rPr>
                <w:rFonts w:eastAsia="Calibri"/>
                <w:szCs w:val="22"/>
              </w:rPr>
            </w:pPr>
            <w:r w:rsidRPr="0093773F">
              <w:rPr>
                <w:rFonts w:eastAsia="Calibri"/>
                <w:szCs w:val="22"/>
              </w:rPr>
              <w:t>TX</w:t>
            </w:r>
          </w:p>
        </w:tc>
        <w:tc>
          <w:tcPr>
            <w:tcW w:w="3060" w:type="dxa"/>
            <w:shd w:val="clear" w:color="auto" w:fill="auto"/>
            <w:vAlign w:val="center"/>
          </w:tcPr>
          <w:p w14:paraId="4311AC60" w14:textId="77777777" w:rsidR="00E03414" w:rsidRPr="0093773F" w:rsidRDefault="00E03414" w:rsidP="00F14317">
            <w:pPr>
              <w:widowControl/>
              <w:jc w:val="right"/>
              <w:rPr>
                <w:snapToGrid/>
                <w:color w:val="000000"/>
                <w:kern w:val="0"/>
                <w:szCs w:val="22"/>
              </w:rPr>
            </w:pPr>
            <w:r w:rsidRPr="0093773F">
              <w:rPr>
                <w:color w:val="000000"/>
                <w:szCs w:val="22"/>
              </w:rPr>
              <w:t xml:space="preserve">                                  </w:t>
            </w:r>
            <w:r w:rsidR="00F14317" w:rsidRPr="0093773F">
              <w:rPr>
                <w:color w:val="000000"/>
                <w:szCs w:val="22"/>
              </w:rPr>
              <w:t>37,208</w:t>
            </w:r>
          </w:p>
        </w:tc>
        <w:tc>
          <w:tcPr>
            <w:tcW w:w="2970" w:type="dxa"/>
            <w:shd w:val="clear" w:color="auto" w:fill="auto"/>
            <w:vAlign w:val="center"/>
          </w:tcPr>
          <w:p w14:paraId="180EBC03" w14:textId="77777777" w:rsidR="00E03414" w:rsidRPr="0093773F" w:rsidRDefault="00F14317" w:rsidP="00E03414">
            <w:pPr>
              <w:jc w:val="right"/>
              <w:rPr>
                <w:rFonts w:eastAsia="Calibri"/>
                <w:szCs w:val="22"/>
              </w:rPr>
            </w:pPr>
            <w:r w:rsidRPr="0093773F">
              <w:rPr>
                <w:rFonts w:eastAsia="Calibri"/>
                <w:szCs w:val="22"/>
              </w:rPr>
              <w:t>$</w:t>
            </w:r>
            <w:r w:rsidRPr="0093773F">
              <w:rPr>
                <w:color w:val="000000"/>
                <w:szCs w:val="22"/>
              </w:rPr>
              <w:t xml:space="preserve">16,576,929 </w:t>
            </w:r>
            <w:r w:rsidR="00E03414" w:rsidRPr="0093773F">
              <w:rPr>
                <w:rFonts w:eastAsia="Calibri"/>
                <w:szCs w:val="22"/>
              </w:rPr>
              <w:t xml:space="preserve">                              </w:t>
            </w:r>
          </w:p>
        </w:tc>
      </w:tr>
    </w:tbl>
    <w:p w14:paraId="6F65E2BE" w14:textId="77777777" w:rsidR="003F7E54" w:rsidRPr="0093773F" w:rsidRDefault="003F7E54" w:rsidP="00B11FB6">
      <w:pPr>
        <w:spacing w:before="120" w:after="120"/>
        <w:rPr>
          <w:szCs w:val="22"/>
        </w:rPr>
      </w:pPr>
      <w:r w:rsidRPr="0093773F">
        <w:rPr>
          <w:szCs w:val="22"/>
        </w:rPr>
        <w:t>For additional information on this proceeding, contact Heidi Lankau (Heidi.Lankau@fcc.gov) of the Wireline Competition Bureau, Telecommunications Access Policy Division, (202) 418-7400.</w:t>
      </w:r>
    </w:p>
    <w:p w14:paraId="32B89819" w14:textId="77777777" w:rsidR="003F7E54" w:rsidRPr="0093773F" w:rsidRDefault="003F7E54" w:rsidP="003F7E54">
      <w:pPr>
        <w:spacing w:before="120" w:after="240"/>
        <w:jc w:val="center"/>
        <w:rPr>
          <w:b/>
          <w:szCs w:val="22"/>
        </w:rPr>
      </w:pPr>
      <w:r w:rsidRPr="0093773F">
        <w:rPr>
          <w:b/>
          <w:szCs w:val="22"/>
        </w:rPr>
        <w:t>– FCC –</w:t>
      </w:r>
    </w:p>
    <w:sectPr w:rsidR="003F7E54" w:rsidRPr="0093773F"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D8C29" w14:textId="77777777" w:rsidR="008761A1" w:rsidRDefault="008761A1">
      <w:pPr>
        <w:spacing w:line="20" w:lineRule="exact"/>
      </w:pPr>
    </w:p>
  </w:endnote>
  <w:endnote w:type="continuationSeparator" w:id="0">
    <w:p w14:paraId="027AAEA1" w14:textId="77777777" w:rsidR="008761A1" w:rsidRDefault="008761A1">
      <w:r>
        <w:t xml:space="preserve"> </w:t>
      </w:r>
    </w:p>
  </w:endnote>
  <w:endnote w:type="continuationNotice" w:id="1">
    <w:p w14:paraId="42F85993" w14:textId="77777777" w:rsidR="008761A1" w:rsidRDefault="008761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208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FE406A2" w14:textId="77777777" w:rsidR="00D25FB5" w:rsidRDefault="00D25FB5">
    <w:pPr>
      <w:pStyle w:val="Footer"/>
    </w:pPr>
  </w:p>
  <w:p w14:paraId="09DF26AF"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213C"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F4AF9">
      <w:rPr>
        <w:noProof/>
      </w:rPr>
      <w:t>2</w:t>
    </w:r>
    <w:r>
      <w:fldChar w:fldCharType="end"/>
    </w:r>
  </w:p>
  <w:p w14:paraId="43B7C0C8"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658C" w14:textId="650186B9" w:rsidR="0069108A" w:rsidRDefault="0069108A">
    <w:pPr>
      <w:pStyle w:val="Footer"/>
      <w:jc w:val="center"/>
    </w:pPr>
  </w:p>
  <w:p w14:paraId="06A241B4" w14:textId="3978E8B9" w:rsidR="00D25FB5" w:rsidRDefault="00D25FB5" w:rsidP="005A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291D0" w14:textId="77777777" w:rsidR="008761A1" w:rsidRDefault="008761A1">
      <w:r>
        <w:separator/>
      </w:r>
    </w:p>
  </w:footnote>
  <w:footnote w:type="continuationSeparator" w:id="0">
    <w:p w14:paraId="769DB839" w14:textId="77777777" w:rsidR="008761A1" w:rsidRDefault="008761A1" w:rsidP="00C721AC">
      <w:pPr>
        <w:spacing w:before="120"/>
        <w:rPr>
          <w:sz w:val="20"/>
        </w:rPr>
      </w:pPr>
      <w:r>
        <w:rPr>
          <w:sz w:val="20"/>
        </w:rPr>
        <w:t xml:space="preserve">(Continued from previous page)  </w:t>
      </w:r>
      <w:r>
        <w:rPr>
          <w:sz w:val="20"/>
        </w:rPr>
        <w:separator/>
      </w:r>
    </w:p>
  </w:footnote>
  <w:footnote w:type="continuationNotice" w:id="1">
    <w:p w14:paraId="7C2CD8D8" w14:textId="77777777" w:rsidR="008761A1" w:rsidRDefault="008761A1" w:rsidP="00C721AC">
      <w:pPr>
        <w:jc w:val="right"/>
        <w:rPr>
          <w:sz w:val="20"/>
        </w:rPr>
      </w:pPr>
      <w:r>
        <w:rPr>
          <w:sz w:val="20"/>
        </w:rPr>
        <w:t>(continued….)</w:t>
      </w:r>
    </w:p>
  </w:footnote>
  <w:footnote w:id="2">
    <w:p w14:paraId="1F5F308D" w14:textId="77777777" w:rsidR="00BC5770" w:rsidRDefault="00BC5770">
      <w:pPr>
        <w:pStyle w:val="FootnoteText"/>
      </w:pPr>
      <w:r>
        <w:rPr>
          <w:rStyle w:val="FootnoteReference"/>
        </w:rPr>
        <w:footnoteRef/>
      </w:r>
      <w:r>
        <w:t xml:space="preserve"> </w:t>
      </w:r>
      <w:r w:rsidR="00281797">
        <w:t xml:space="preserve">On April 29, 2015, the Bureau released a public notice announcing the offers of model-based Phase II support to each price cap carrier to fund the deployment of voice and broadband-capable networks in their service territories. </w:t>
      </w:r>
      <w:r w:rsidR="00281797">
        <w:rPr>
          <w:i/>
          <w:iCs/>
        </w:rPr>
        <w:t>Wireline Competition Bureau Announces Connect America Phase II Support Amounts Offered to Price Cap Carriers to Expand Rural Broadband</w:t>
      </w:r>
      <w:r w:rsidR="00281797">
        <w:t xml:space="preserve">, Public Notice, 30 FCC Rcd 3905 (WCB 2015).  </w:t>
      </w:r>
      <w:r>
        <w:t xml:space="preserve">Frontier was authorized to receive over $283 million in Phase II support for 28 states in June 2015.  </w:t>
      </w:r>
      <w:r w:rsidRPr="00F36CC2">
        <w:rPr>
          <w:i/>
        </w:rPr>
        <w:t>Wireline Competition Bureau Authorizes F</w:t>
      </w:r>
      <w:r w:rsidR="00F36CC2">
        <w:rPr>
          <w:i/>
        </w:rPr>
        <w:t>rontier Communications Corporation</w:t>
      </w:r>
      <w:r w:rsidRPr="00F36CC2">
        <w:rPr>
          <w:i/>
        </w:rPr>
        <w:t xml:space="preserve"> to Receive Over $283 Million in Connect America Phase II Support to Serve 1.3 Million Rural Americans in 28 States</w:t>
      </w:r>
      <w:r w:rsidR="00F36CC2">
        <w:t xml:space="preserve">, Public Notice, 30 FCC Rcd 6310 (WCB 2015). </w:t>
      </w:r>
    </w:p>
  </w:footnote>
  <w:footnote w:id="3">
    <w:p w14:paraId="21D65F4D" w14:textId="494E63E9" w:rsidR="00BB1747" w:rsidRDefault="00BB1747" w:rsidP="005E4782">
      <w:pPr>
        <w:pStyle w:val="Default"/>
        <w:spacing w:before="120" w:after="120"/>
      </w:pPr>
      <w:r>
        <w:rPr>
          <w:rStyle w:val="FootnoteReference"/>
        </w:rPr>
        <w:footnoteRef/>
      </w:r>
      <w:r>
        <w:t xml:space="preserve"> </w:t>
      </w:r>
      <w:r>
        <w:rPr>
          <w:i/>
          <w:iCs/>
          <w:sz w:val="20"/>
          <w:szCs w:val="20"/>
        </w:rPr>
        <w:t xml:space="preserve">See </w:t>
      </w:r>
      <w:r>
        <w:rPr>
          <w:sz w:val="20"/>
          <w:szCs w:val="20"/>
        </w:rPr>
        <w:t>Letter from Christopher Creager, Senior Vice President West Area Operations, Strategic Initiatives, Verizon Communications Inc., to Marlene H. Dortch, Secretary, FCC, WC</w:t>
      </w:r>
      <w:r w:rsidR="005B7095">
        <w:rPr>
          <w:sz w:val="20"/>
          <w:szCs w:val="20"/>
        </w:rPr>
        <w:t xml:space="preserve"> Docket No. 10-90 (filed Aug. 27</w:t>
      </w:r>
      <w:r>
        <w:rPr>
          <w:sz w:val="20"/>
          <w:szCs w:val="20"/>
        </w:rPr>
        <w:t>, 2015)</w:t>
      </w:r>
      <w:r w:rsidR="00281797">
        <w:rPr>
          <w:sz w:val="20"/>
          <w:szCs w:val="20"/>
        </w:rPr>
        <w:t>.</w:t>
      </w:r>
    </w:p>
  </w:footnote>
  <w:footnote w:id="4">
    <w:p w14:paraId="3812CACA" w14:textId="77777777" w:rsidR="00BB1747" w:rsidRDefault="00BB1747" w:rsidP="005E4782">
      <w:pPr>
        <w:pStyle w:val="FootnoteText"/>
        <w:spacing w:before="120"/>
      </w:pPr>
      <w:r>
        <w:rPr>
          <w:rStyle w:val="FootnoteReference"/>
        </w:rPr>
        <w:footnoteRef/>
      </w:r>
      <w:r>
        <w:t xml:space="preserve"> </w:t>
      </w:r>
      <w:r w:rsidRPr="00BB1747">
        <w:rPr>
          <w:i/>
        </w:rPr>
        <w:t>Verizon Communications Inc. Conditionally Accepts Over $48.5 Million in Connect America Phase II Support in California and Texas</w:t>
      </w:r>
      <w:r>
        <w:t>, Public Notice, 30 FCC Rcd 8594 (WCB 2015).</w:t>
      </w:r>
    </w:p>
  </w:footnote>
  <w:footnote w:id="5">
    <w:p w14:paraId="78A9ED50" w14:textId="4999AE45" w:rsidR="002D7BD1" w:rsidRDefault="002D7BD1">
      <w:pPr>
        <w:pStyle w:val="FootnoteText"/>
      </w:pPr>
      <w:r>
        <w:rPr>
          <w:rStyle w:val="FootnoteReference"/>
        </w:rPr>
        <w:footnoteRef/>
      </w:r>
      <w:r>
        <w:t xml:space="preserve"> </w:t>
      </w:r>
      <w:r w:rsidR="00B07047">
        <w:rPr>
          <w:i/>
          <w:iCs/>
        </w:rPr>
        <w:t xml:space="preserve">See </w:t>
      </w:r>
      <w:r w:rsidR="00B07047">
        <w:t>Letter from Christopher Creager, Senior Vice President West Area Operations, Strategic Initiatives, Verizon Communications Inc., to Marlene H. Dortch, Secretary, FCC, WC Docket No. 10-90 (filed Dec. 16, 2015).</w:t>
      </w:r>
    </w:p>
  </w:footnote>
  <w:footnote w:id="6">
    <w:p w14:paraId="09FE9D01" w14:textId="31E16B95" w:rsidR="00574B4D" w:rsidRDefault="00574B4D">
      <w:pPr>
        <w:pStyle w:val="FootnoteText"/>
      </w:pPr>
      <w:r>
        <w:rPr>
          <w:rStyle w:val="FootnoteReference"/>
        </w:rPr>
        <w:footnoteRef/>
      </w:r>
      <w:r>
        <w:t xml:space="preserve"> </w:t>
      </w:r>
      <w:r w:rsidR="003A796A">
        <w:t xml:space="preserve">Letter from Kathleen Q. Abernathy, Executive Vice President, External Affairs, Frontier Communications Corporation, to Marlene H. Dortch, Secretary, FCC, WC Docket No. 10-90 (filed Apr. 1, 2016); </w:t>
      </w:r>
      <w:r w:rsidR="00791A23">
        <w:t xml:space="preserve">Letter from </w:t>
      </w:r>
      <w:r w:rsidR="003A796A">
        <w:t xml:space="preserve">Alan Buzacott, Executive Director, Federal Regulatory Affairs, Verizon, to Marlene H. Dortch, Secretary, FCC, </w:t>
      </w:r>
      <w:r w:rsidR="00791A23">
        <w:t>WC Docket No. 10-90 (filed Apr</w:t>
      </w:r>
      <w:r w:rsidR="003A796A">
        <w:t xml:space="preserve">. 1, 2016). </w:t>
      </w:r>
    </w:p>
  </w:footnote>
  <w:footnote w:id="7">
    <w:p w14:paraId="43FA7B9A" w14:textId="60D0F3C4" w:rsidR="00BB1747" w:rsidRDefault="00BB1747" w:rsidP="005E4782">
      <w:pPr>
        <w:pStyle w:val="FootnoteText"/>
        <w:spacing w:before="120"/>
      </w:pPr>
      <w:r>
        <w:rPr>
          <w:rStyle w:val="FootnoteReference"/>
        </w:rPr>
        <w:footnoteRef/>
      </w:r>
      <w:r>
        <w:t xml:space="preserve"> </w:t>
      </w:r>
      <w:r w:rsidR="00947F75">
        <w:t xml:space="preserve">Letter from Kathleen Q. Abernathy, Executive Vice President, External Affairs, Frontier Communications Corporation, to Marlene H. Dortch, Secretary, FCC, WC Docket No. 10-90 (filed Apr. 4, 2016). </w:t>
      </w:r>
    </w:p>
  </w:footnote>
  <w:footnote w:id="8">
    <w:p w14:paraId="34003A25" w14:textId="48A32A41" w:rsidR="00BC0F7E" w:rsidRDefault="00BC0F7E">
      <w:pPr>
        <w:pStyle w:val="FootnoteText"/>
      </w:pPr>
      <w:r>
        <w:rPr>
          <w:rStyle w:val="FootnoteReference"/>
        </w:rPr>
        <w:footnoteRef/>
      </w:r>
      <w:r>
        <w:t xml:space="preserve"> </w:t>
      </w:r>
      <w:r w:rsidR="00F874B3" w:rsidRPr="00F874B3">
        <w:rPr>
          <w:i/>
        </w:rPr>
        <w:t>See</w:t>
      </w:r>
      <w:r w:rsidR="00F874B3">
        <w:t xml:space="preserve"> </w:t>
      </w:r>
      <w:r w:rsidRPr="0031286B">
        <w:rPr>
          <w:i/>
        </w:rPr>
        <w:t>Connect America et al.</w:t>
      </w:r>
      <w:r>
        <w:t>, Report and Order, 29 FCC Rcd 15644, 15677-78, para</w:t>
      </w:r>
      <w:r w:rsidR="00C75E22">
        <w:t>s</w:t>
      </w:r>
      <w:r>
        <w:t>. 92</w:t>
      </w:r>
      <w:r w:rsidR="00C75E22">
        <w:t>-93</w:t>
      </w:r>
      <w:r>
        <w:t xml:space="preserve"> (2014) (directing USAC to make a lump sum payment in the month after the authorization public notice to price cap carriers that will receive more Phase II support than Phase I frozen support representing the additional amount of Phase II support that accrued for the months of 2015 prior to the price cap carrier’s acceptance).</w:t>
      </w:r>
    </w:p>
  </w:footnote>
  <w:footnote w:id="9">
    <w:p w14:paraId="30E43F17" w14:textId="5566F6AC" w:rsidR="00BC0F7E" w:rsidRDefault="00BC0F7E">
      <w:pPr>
        <w:pStyle w:val="FootnoteText"/>
      </w:pPr>
      <w:r>
        <w:rPr>
          <w:rStyle w:val="FootnoteReference"/>
        </w:rPr>
        <w:footnoteRef/>
      </w:r>
      <w:r>
        <w:t xml:space="preserve"> </w:t>
      </w:r>
      <w:r w:rsidR="00F874B3" w:rsidRPr="00F874B3">
        <w:rPr>
          <w:i/>
        </w:rPr>
        <w:t>See</w:t>
      </w:r>
      <w:r w:rsidR="00F874B3">
        <w:t xml:space="preserve"> </w:t>
      </w:r>
      <w:r w:rsidRPr="009805BA">
        <w:rPr>
          <w:i/>
        </w:rPr>
        <w:t>Connect America et al.</w:t>
      </w:r>
      <w:r>
        <w:t>, Report and Order et al., 29 FCC Rcd 7051, 7067-68, para. 52 (2014) (</w:t>
      </w:r>
      <w:r w:rsidR="00CB2FE4">
        <w:t>adopting a transition period for p</w:t>
      </w:r>
      <w:r>
        <w:t>rice cap carriers that r</w:t>
      </w:r>
      <w:r w:rsidR="00CB2FE4">
        <w:t xml:space="preserve">eceive less Phase II support than Phase I frozen support so that in the first year the price cap carrier will receive in addition to its Phase II support, 75 percent </w:t>
      </w:r>
      <w:r>
        <w:t>of the difference between the annualized amount of Phase II support it accepted and the amount of Phase I frozen high-cost support</w:t>
      </w:r>
      <w:r w:rsidR="00C75E22">
        <w:t xml:space="preserve"> it received in 2014</w:t>
      </w:r>
      <w:r w:rsidR="00CB2FE4">
        <w:t>; the second year</w:t>
      </w:r>
      <w:r>
        <w:t xml:space="preserve"> the </w:t>
      </w:r>
      <w:r w:rsidR="00CB2FE4">
        <w:t xml:space="preserve">price cap </w:t>
      </w:r>
      <w:r>
        <w:t xml:space="preserve">carrier would receive 50 percent of the difference; in </w:t>
      </w:r>
      <w:r w:rsidR="00AD58FB">
        <w:t>the third year</w:t>
      </w:r>
      <w:r>
        <w:t xml:space="preserve"> it would receive 25 percent of the difference; and in </w:t>
      </w:r>
      <w:r w:rsidR="00AD58FB">
        <w:t xml:space="preserve">the final years </w:t>
      </w:r>
      <w:r>
        <w:t>it would receive only Phase II support)</w:t>
      </w:r>
      <w:r w:rsidR="00AD58FB">
        <w:t xml:space="preserve">.  </w:t>
      </w:r>
      <w:r w:rsidR="00AD58FB" w:rsidRPr="003E25E4">
        <w:rPr>
          <w:i/>
        </w:rPr>
        <w:t xml:space="preserve">See also </w:t>
      </w:r>
      <w:r w:rsidR="003E25E4" w:rsidRPr="003E25E4">
        <w:rPr>
          <w:i/>
        </w:rPr>
        <w:t>Wireline Competition Bureau Addresses Transition to Model-Based Support for Carriers that Accepted the Offer of Phase II Connect America Fund Suppo</w:t>
      </w:r>
      <w:r w:rsidR="003E25E4" w:rsidRPr="007812EF">
        <w:rPr>
          <w:i/>
        </w:rPr>
        <w:t>rt</w:t>
      </w:r>
      <w:r w:rsidR="003E25E4">
        <w:t xml:space="preserve">, Public Notice, 30 FCC Rcd 9780 (WCB 2015) (directing USAC to treat August 1, 2015 through July 31, 2016 as the first year of the transition to the lower Phase II amount).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D2D4" w14:textId="77777777" w:rsidR="0043524F" w:rsidRDefault="00435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7626" w14:textId="77777777" w:rsidR="0043524F" w:rsidRDefault="00435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3AD4"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11922684" wp14:editId="2EDC464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5CAA9" w14:textId="77777777" w:rsidR="00D47505" w:rsidRDefault="00D47505" w:rsidP="00D47505">
                          <w:pPr>
                            <w:rPr>
                              <w:rFonts w:ascii="Arial" w:hAnsi="Arial"/>
                              <w:b/>
                            </w:rPr>
                          </w:pPr>
                          <w:r>
                            <w:rPr>
                              <w:rFonts w:ascii="Arial" w:hAnsi="Arial"/>
                              <w:b/>
                            </w:rPr>
                            <w:t>Federal Communications Commission</w:t>
                          </w:r>
                        </w:p>
                        <w:p w14:paraId="145C644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780AC93"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922684"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5A5CAA9" w14:textId="77777777" w:rsidR="00D47505" w:rsidRDefault="00D47505" w:rsidP="00D47505">
                    <w:pPr>
                      <w:rPr>
                        <w:rFonts w:ascii="Arial" w:hAnsi="Arial"/>
                        <w:b/>
                      </w:rPr>
                    </w:pPr>
                    <w:r>
                      <w:rPr>
                        <w:rFonts w:ascii="Arial" w:hAnsi="Arial"/>
                        <w:b/>
                      </w:rPr>
                      <w:t>Federal Communications Commission</w:t>
                    </w:r>
                  </w:p>
                  <w:p w14:paraId="145C644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780AC93"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3811810" wp14:editId="1A850AD6">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33DB50D"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7CFD723B" wp14:editId="22142E02">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8D3E23"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B35BDD7" wp14:editId="57C0ED5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7639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D04543F" w14:textId="7F511B1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AF9">
                            <w:rPr>
                              <w:rFonts w:ascii="Arial" w:hAnsi="Arial"/>
                              <w:b/>
                              <w:sz w:val="16"/>
                            </w:rPr>
                            <w:instrText>HYPERLINK "https://www.fcc.gov/"</w:instrText>
                          </w:r>
                          <w:r w:rsidR="007F4AF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A20DE29"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0887639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D04543F" w14:textId="7F511B1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AF9">
                      <w:rPr>
                        <w:rFonts w:ascii="Arial" w:hAnsi="Arial"/>
                        <w:b/>
                        <w:sz w:val="16"/>
                      </w:rPr>
                      <w:instrText>HYPERLINK "https://www.fcc.gov/"</w:instrText>
                    </w:r>
                    <w:r w:rsidR="007F4AF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A20DE29"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ED"/>
    <w:rsid w:val="00036039"/>
    <w:rsid w:val="00037F90"/>
    <w:rsid w:val="000875BF"/>
    <w:rsid w:val="00096D8C"/>
    <w:rsid w:val="000C0B65"/>
    <w:rsid w:val="000D6447"/>
    <w:rsid w:val="000E05FE"/>
    <w:rsid w:val="000E3D42"/>
    <w:rsid w:val="000F1035"/>
    <w:rsid w:val="000F6408"/>
    <w:rsid w:val="00122BD5"/>
    <w:rsid w:val="00133F79"/>
    <w:rsid w:val="00194A66"/>
    <w:rsid w:val="001D6BCF"/>
    <w:rsid w:val="001E01CA"/>
    <w:rsid w:val="00275CF5"/>
    <w:rsid w:val="00281797"/>
    <w:rsid w:val="0028301F"/>
    <w:rsid w:val="00285017"/>
    <w:rsid w:val="0028529E"/>
    <w:rsid w:val="002A2D2E"/>
    <w:rsid w:val="002C00E8"/>
    <w:rsid w:val="002D7BD1"/>
    <w:rsid w:val="0031286B"/>
    <w:rsid w:val="00343749"/>
    <w:rsid w:val="003660ED"/>
    <w:rsid w:val="003A796A"/>
    <w:rsid w:val="003B0550"/>
    <w:rsid w:val="003B694F"/>
    <w:rsid w:val="003E25E4"/>
    <w:rsid w:val="003F171C"/>
    <w:rsid w:val="003F7E54"/>
    <w:rsid w:val="00402E92"/>
    <w:rsid w:val="00412FC5"/>
    <w:rsid w:val="00422276"/>
    <w:rsid w:val="004242F1"/>
    <w:rsid w:val="0043524F"/>
    <w:rsid w:val="00445A00"/>
    <w:rsid w:val="00451B0F"/>
    <w:rsid w:val="004C2EE3"/>
    <w:rsid w:val="004E068B"/>
    <w:rsid w:val="004E4A22"/>
    <w:rsid w:val="00511968"/>
    <w:rsid w:val="00524035"/>
    <w:rsid w:val="00530F24"/>
    <w:rsid w:val="00540EB7"/>
    <w:rsid w:val="0055614C"/>
    <w:rsid w:val="00574B4D"/>
    <w:rsid w:val="005A7283"/>
    <w:rsid w:val="005B7095"/>
    <w:rsid w:val="005E14C2"/>
    <w:rsid w:val="005E4782"/>
    <w:rsid w:val="00607BA5"/>
    <w:rsid w:val="0061180A"/>
    <w:rsid w:val="00621A03"/>
    <w:rsid w:val="00626EB6"/>
    <w:rsid w:val="00655D03"/>
    <w:rsid w:val="0067714F"/>
    <w:rsid w:val="00683388"/>
    <w:rsid w:val="00683F84"/>
    <w:rsid w:val="0069108A"/>
    <w:rsid w:val="006A1F49"/>
    <w:rsid w:val="006A6A81"/>
    <w:rsid w:val="006B1456"/>
    <w:rsid w:val="006E3D96"/>
    <w:rsid w:val="006F7393"/>
    <w:rsid w:val="0070224F"/>
    <w:rsid w:val="00704DAB"/>
    <w:rsid w:val="007115F7"/>
    <w:rsid w:val="007812EF"/>
    <w:rsid w:val="00785689"/>
    <w:rsid w:val="007904B4"/>
    <w:rsid w:val="00791A23"/>
    <w:rsid w:val="007927ED"/>
    <w:rsid w:val="0079754B"/>
    <w:rsid w:val="007A1E6D"/>
    <w:rsid w:val="007B0EB2"/>
    <w:rsid w:val="007F413A"/>
    <w:rsid w:val="007F4AF9"/>
    <w:rsid w:val="007F526E"/>
    <w:rsid w:val="00810B6F"/>
    <w:rsid w:val="00822CE0"/>
    <w:rsid w:val="00841AB1"/>
    <w:rsid w:val="008761A1"/>
    <w:rsid w:val="008C68F1"/>
    <w:rsid w:val="008C7BE8"/>
    <w:rsid w:val="00904786"/>
    <w:rsid w:val="00921803"/>
    <w:rsid w:val="00926503"/>
    <w:rsid w:val="0093773F"/>
    <w:rsid w:val="00947F75"/>
    <w:rsid w:val="009726D8"/>
    <w:rsid w:val="009805BA"/>
    <w:rsid w:val="009F76DB"/>
    <w:rsid w:val="00A13B09"/>
    <w:rsid w:val="00A32C3B"/>
    <w:rsid w:val="00A433E0"/>
    <w:rsid w:val="00A45F4F"/>
    <w:rsid w:val="00A600A9"/>
    <w:rsid w:val="00AA55B7"/>
    <w:rsid w:val="00AA5B9E"/>
    <w:rsid w:val="00AB2407"/>
    <w:rsid w:val="00AB53DF"/>
    <w:rsid w:val="00AC424B"/>
    <w:rsid w:val="00AD58FB"/>
    <w:rsid w:val="00AF46DC"/>
    <w:rsid w:val="00B07047"/>
    <w:rsid w:val="00B07E5C"/>
    <w:rsid w:val="00B11FB6"/>
    <w:rsid w:val="00B20363"/>
    <w:rsid w:val="00B2620E"/>
    <w:rsid w:val="00B338A9"/>
    <w:rsid w:val="00B679AB"/>
    <w:rsid w:val="00B76DB8"/>
    <w:rsid w:val="00B811F7"/>
    <w:rsid w:val="00BA5DC6"/>
    <w:rsid w:val="00BA6196"/>
    <w:rsid w:val="00BB1747"/>
    <w:rsid w:val="00BC0F7E"/>
    <w:rsid w:val="00BC5770"/>
    <w:rsid w:val="00BC6D8C"/>
    <w:rsid w:val="00C34006"/>
    <w:rsid w:val="00C426B1"/>
    <w:rsid w:val="00C66160"/>
    <w:rsid w:val="00C721AC"/>
    <w:rsid w:val="00C75E22"/>
    <w:rsid w:val="00C90D6A"/>
    <w:rsid w:val="00CA247E"/>
    <w:rsid w:val="00CA67D0"/>
    <w:rsid w:val="00CB2FE4"/>
    <w:rsid w:val="00CC72B6"/>
    <w:rsid w:val="00CC776F"/>
    <w:rsid w:val="00CE0CAA"/>
    <w:rsid w:val="00CE53AE"/>
    <w:rsid w:val="00D0218D"/>
    <w:rsid w:val="00D25FB5"/>
    <w:rsid w:val="00D44223"/>
    <w:rsid w:val="00D47505"/>
    <w:rsid w:val="00DA1EC1"/>
    <w:rsid w:val="00DA2529"/>
    <w:rsid w:val="00DB130A"/>
    <w:rsid w:val="00DB2EBB"/>
    <w:rsid w:val="00DC10A1"/>
    <w:rsid w:val="00DC655F"/>
    <w:rsid w:val="00DD0B59"/>
    <w:rsid w:val="00DD7EBD"/>
    <w:rsid w:val="00DE4C8D"/>
    <w:rsid w:val="00DF0810"/>
    <w:rsid w:val="00DF62B6"/>
    <w:rsid w:val="00E03414"/>
    <w:rsid w:val="00E07225"/>
    <w:rsid w:val="00E1768C"/>
    <w:rsid w:val="00E45630"/>
    <w:rsid w:val="00E5409F"/>
    <w:rsid w:val="00E72A74"/>
    <w:rsid w:val="00EA4CB7"/>
    <w:rsid w:val="00EB4ACC"/>
    <w:rsid w:val="00EB5F3D"/>
    <w:rsid w:val="00EE6488"/>
    <w:rsid w:val="00F021FA"/>
    <w:rsid w:val="00F14317"/>
    <w:rsid w:val="00F25ECB"/>
    <w:rsid w:val="00F36CC2"/>
    <w:rsid w:val="00F516F4"/>
    <w:rsid w:val="00F62E97"/>
    <w:rsid w:val="00F64209"/>
    <w:rsid w:val="00F8591E"/>
    <w:rsid w:val="00F874B3"/>
    <w:rsid w:val="00F93BF5"/>
    <w:rsid w:val="00FE1DF2"/>
    <w:rsid w:val="00FE2C64"/>
    <w:rsid w:val="00FE3BE0"/>
    <w:rsid w:val="00FF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42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BB1747"/>
    <w:rPr>
      <w:sz w:val="16"/>
      <w:szCs w:val="16"/>
    </w:rPr>
  </w:style>
  <w:style w:type="paragraph" w:styleId="CommentText">
    <w:name w:val="annotation text"/>
    <w:basedOn w:val="Normal"/>
    <w:link w:val="CommentTextChar"/>
    <w:rsid w:val="00BB1747"/>
    <w:rPr>
      <w:sz w:val="20"/>
    </w:rPr>
  </w:style>
  <w:style w:type="character" w:customStyle="1" w:styleId="CommentTextChar">
    <w:name w:val="Comment Text Char"/>
    <w:basedOn w:val="DefaultParagraphFont"/>
    <w:link w:val="CommentText"/>
    <w:rsid w:val="00BB1747"/>
    <w:rPr>
      <w:snapToGrid w:val="0"/>
      <w:kern w:val="28"/>
    </w:rPr>
  </w:style>
  <w:style w:type="paragraph" w:styleId="CommentSubject">
    <w:name w:val="annotation subject"/>
    <w:basedOn w:val="CommentText"/>
    <w:next w:val="CommentText"/>
    <w:link w:val="CommentSubjectChar"/>
    <w:rsid w:val="00BB1747"/>
    <w:rPr>
      <w:b/>
      <w:bCs/>
    </w:rPr>
  </w:style>
  <w:style w:type="character" w:customStyle="1" w:styleId="CommentSubjectChar">
    <w:name w:val="Comment Subject Char"/>
    <w:basedOn w:val="CommentTextChar"/>
    <w:link w:val="CommentSubject"/>
    <w:rsid w:val="00BB1747"/>
    <w:rPr>
      <w:b/>
      <w:bCs/>
      <w:snapToGrid w:val="0"/>
      <w:kern w:val="28"/>
    </w:rPr>
  </w:style>
  <w:style w:type="paragraph" w:customStyle="1" w:styleId="Default">
    <w:name w:val="Default"/>
    <w:rsid w:val="00BB174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BB1747"/>
    <w:rPr>
      <w:sz w:val="16"/>
      <w:szCs w:val="16"/>
    </w:rPr>
  </w:style>
  <w:style w:type="paragraph" w:styleId="CommentText">
    <w:name w:val="annotation text"/>
    <w:basedOn w:val="Normal"/>
    <w:link w:val="CommentTextChar"/>
    <w:rsid w:val="00BB1747"/>
    <w:rPr>
      <w:sz w:val="20"/>
    </w:rPr>
  </w:style>
  <w:style w:type="character" w:customStyle="1" w:styleId="CommentTextChar">
    <w:name w:val="Comment Text Char"/>
    <w:basedOn w:val="DefaultParagraphFont"/>
    <w:link w:val="CommentText"/>
    <w:rsid w:val="00BB1747"/>
    <w:rPr>
      <w:snapToGrid w:val="0"/>
      <w:kern w:val="28"/>
    </w:rPr>
  </w:style>
  <w:style w:type="paragraph" w:styleId="CommentSubject">
    <w:name w:val="annotation subject"/>
    <w:basedOn w:val="CommentText"/>
    <w:next w:val="CommentText"/>
    <w:link w:val="CommentSubjectChar"/>
    <w:rsid w:val="00BB1747"/>
    <w:rPr>
      <w:b/>
      <w:bCs/>
    </w:rPr>
  </w:style>
  <w:style w:type="character" w:customStyle="1" w:styleId="CommentSubjectChar">
    <w:name w:val="Comment Subject Char"/>
    <w:basedOn w:val="CommentTextChar"/>
    <w:link w:val="CommentSubject"/>
    <w:rsid w:val="00BB1747"/>
    <w:rPr>
      <w:b/>
      <w:bCs/>
      <w:snapToGrid w:val="0"/>
      <w:kern w:val="28"/>
    </w:rPr>
  </w:style>
  <w:style w:type="paragraph" w:customStyle="1" w:styleId="Default">
    <w:name w:val="Default"/>
    <w:rsid w:val="00BB17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51">
      <w:bodyDiv w:val="1"/>
      <w:marLeft w:val="0"/>
      <w:marRight w:val="0"/>
      <w:marTop w:val="0"/>
      <w:marBottom w:val="0"/>
      <w:divBdr>
        <w:top w:val="none" w:sz="0" w:space="0" w:color="auto"/>
        <w:left w:val="none" w:sz="0" w:space="0" w:color="auto"/>
        <w:bottom w:val="none" w:sz="0" w:space="0" w:color="auto"/>
        <w:right w:val="none" w:sz="0" w:space="0" w:color="auto"/>
      </w:divBdr>
    </w:div>
    <w:div w:id="687800366">
      <w:bodyDiv w:val="1"/>
      <w:marLeft w:val="0"/>
      <w:marRight w:val="0"/>
      <w:marTop w:val="0"/>
      <w:marBottom w:val="0"/>
      <w:divBdr>
        <w:top w:val="none" w:sz="0" w:space="0" w:color="auto"/>
        <w:left w:val="none" w:sz="0" w:space="0" w:color="auto"/>
        <w:bottom w:val="none" w:sz="0" w:space="0" w:color="auto"/>
        <w:right w:val="none" w:sz="0" w:space="0" w:color="auto"/>
      </w:divBdr>
    </w:div>
    <w:div w:id="1579169356">
      <w:bodyDiv w:val="1"/>
      <w:marLeft w:val="0"/>
      <w:marRight w:val="0"/>
      <w:marTop w:val="0"/>
      <w:marBottom w:val="0"/>
      <w:divBdr>
        <w:top w:val="none" w:sz="0" w:space="0" w:color="auto"/>
        <w:left w:val="none" w:sz="0" w:space="0" w:color="auto"/>
        <w:bottom w:val="none" w:sz="0" w:space="0" w:color="auto"/>
        <w:right w:val="none" w:sz="0" w:space="0" w:color="auto"/>
      </w:divBdr>
    </w:div>
    <w:div w:id="19700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2433</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2016-03-24T13:47:00Z</cp:lastPrinted>
  <dcterms:created xsi:type="dcterms:W3CDTF">2016-04-11T17:02:00Z</dcterms:created>
  <dcterms:modified xsi:type="dcterms:W3CDTF">2016-04-11T17:02:00Z</dcterms:modified>
  <cp:category> </cp:category>
  <cp:contentStatus> </cp:contentStatus>
</cp:coreProperties>
</file>