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790B4B" w:rsidRDefault="00E273E3" w:rsidP="002659F3">
      <w:pPr>
        <w:widowControl/>
        <w:jc w:val="center"/>
        <w:rPr>
          <w:b/>
        </w:rPr>
      </w:pPr>
      <w:bookmarkStart w:id="0" w:name="_GoBack"/>
      <w:bookmarkEnd w:id="0"/>
      <w:r w:rsidRPr="00790B4B">
        <w:rPr>
          <w:b/>
          <w:kern w:val="0"/>
          <w:szCs w:val="22"/>
        </w:rPr>
        <w:t>Before</w:t>
      </w:r>
      <w:r w:rsidRPr="00790B4B">
        <w:rPr>
          <w:b/>
        </w:rPr>
        <w:t xml:space="preserve"> the</w:t>
      </w:r>
    </w:p>
    <w:p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tc>
          <w:tcPr>
            <w:tcW w:w="4698" w:type="dxa"/>
          </w:tcPr>
          <w:p w:rsidR="00E273E3" w:rsidRPr="00790B4B" w:rsidRDefault="00E273E3" w:rsidP="002659F3">
            <w:pPr>
              <w:widowControl/>
              <w:suppressAutoHyphens/>
              <w:rPr>
                <w:spacing w:val="-2"/>
              </w:rPr>
            </w:pPr>
            <w:r w:rsidRPr="00790B4B">
              <w:rPr>
                <w:spacing w:val="-2"/>
              </w:rPr>
              <w:t>In the Matter of</w:t>
            </w:r>
          </w:p>
          <w:p w:rsidR="00E273E3" w:rsidRPr="00790B4B" w:rsidRDefault="00E273E3" w:rsidP="002659F3">
            <w:pPr>
              <w:widowControl/>
              <w:suppressAutoHyphens/>
              <w:rPr>
                <w:spacing w:val="-2"/>
              </w:rPr>
            </w:pPr>
          </w:p>
          <w:p w:rsidR="001136E0" w:rsidRDefault="001136E0" w:rsidP="002659F3">
            <w:pPr>
              <w:widowControl/>
              <w:suppressAutoHyphens/>
              <w:rPr>
                <w:spacing w:val="-2"/>
              </w:rPr>
            </w:pPr>
            <w:r>
              <w:rPr>
                <w:spacing w:val="-2"/>
              </w:rPr>
              <w:t>Andrew O. Turner</w:t>
            </w:r>
          </w:p>
          <w:p w:rsidR="00B26818" w:rsidRDefault="00B26818" w:rsidP="002659F3">
            <w:pPr>
              <w:widowControl/>
              <w:suppressAutoHyphens/>
              <w:rPr>
                <w:spacing w:val="-2"/>
              </w:rPr>
            </w:pPr>
          </w:p>
          <w:p w:rsidR="00E273E3" w:rsidRPr="00344C0B" w:rsidRDefault="001136E0" w:rsidP="002659F3">
            <w:pPr>
              <w:widowControl/>
              <w:suppressAutoHyphens/>
              <w:rPr>
                <w:spacing w:val="-2"/>
              </w:rPr>
            </w:pPr>
            <w:r>
              <w:rPr>
                <w:spacing w:val="-2"/>
              </w:rPr>
              <w:t>Miami Gardens, FL</w:t>
            </w:r>
            <w:r w:rsidR="00E273E3" w:rsidRPr="00344C0B">
              <w:rPr>
                <w:spacing w:val="-2"/>
              </w:rPr>
              <w:t xml:space="preserve"> </w:t>
            </w:r>
          </w:p>
        </w:tc>
        <w:tc>
          <w:tcPr>
            <w:tcW w:w="630" w:type="dxa"/>
          </w:tcPr>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tc>
        <w:tc>
          <w:tcPr>
            <w:tcW w:w="4248" w:type="dxa"/>
          </w:tcPr>
          <w:p w:rsidR="00E273E3" w:rsidRPr="00344C0B" w:rsidRDefault="00E273E3" w:rsidP="002659F3">
            <w:pPr>
              <w:widowControl/>
              <w:suppressAutoHyphens/>
              <w:rPr>
                <w:spacing w:val="-2"/>
              </w:rPr>
            </w:pPr>
          </w:p>
          <w:p w:rsidR="00E273E3" w:rsidRPr="00344C0B" w:rsidRDefault="00E273E3" w:rsidP="002659F3">
            <w:pPr>
              <w:widowControl/>
              <w:suppressAutoHyphens/>
              <w:rPr>
                <w:spacing w:val="-2"/>
              </w:rPr>
            </w:pPr>
          </w:p>
          <w:p w:rsidR="00E273E3" w:rsidRPr="0007571D" w:rsidRDefault="00E273E3" w:rsidP="00EE05DB">
            <w:pPr>
              <w:widowControl/>
              <w:suppressAutoHyphens/>
              <w:ind w:left="432"/>
              <w:rPr>
                <w:spacing w:val="-2"/>
              </w:rPr>
            </w:pPr>
            <w:r w:rsidRPr="00344C0B">
              <w:rPr>
                <w:spacing w:val="-2"/>
              </w:rPr>
              <w:t>File No.:  EB-</w:t>
            </w:r>
            <w:r w:rsidR="001136E0">
              <w:rPr>
                <w:spacing w:val="-2"/>
              </w:rPr>
              <w:t>FIELDSCR-15-00018593</w:t>
            </w:r>
          </w:p>
          <w:p w:rsidR="00E273E3" w:rsidRPr="0007571D" w:rsidRDefault="00E273E3" w:rsidP="00EE05DB">
            <w:pPr>
              <w:widowControl/>
              <w:suppressAutoHyphens/>
              <w:ind w:left="432"/>
              <w:rPr>
                <w:spacing w:val="-2"/>
              </w:rPr>
            </w:pPr>
            <w:r w:rsidRPr="00344C0B">
              <w:rPr>
                <w:spacing w:val="-2"/>
              </w:rPr>
              <w:t xml:space="preserve">NAL/Acct. No.:  </w:t>
            </w:r>
            <w:r w:rsidR="001136E0">
              <w:rPr>
                <w:spacing w:val="-2"/>
              </w:rPr>
              <w:t>201632600001</w:t>
            </w:r>
          </w:p>
          <w:p w:rsidR="00E273E3" w:rsidRPr="0007571D" w:rsidRDefault="00E273E3" w:rsidP="00153904">
            <w:pPr>
              <w:widowControl/>
              <w:suppressAutoHyphens/>
              <w:ind w:left="432"/>
              <w:rPr>
                <w:spacing w:val="-2"/>
              </w:rPr>
            </w:pPr>
            <w:r w:rsidRPr="00344C0B">
              <w:rPr>
                <w:spacing w:val="-2"/>
              </w:rPr>
              <w:t xml:space="preserve">FRN:  </w:t>
            </w:r>
            <w:r w:rsidR="001136E0">
              <w:rPr>
                <w:spacing w:val="-2"/>
              </w:rPr>
              <w:t>0025070996</w:t>
            </w:r>
          </w:p>
        </w:tc>
      </w:tr>
    </w:tbl>
    <w:p w:rsidR="00E273E3" w:rsidRPr="00344C0B" w:rsidRDefault="00E273E3" w:rsidP="002659F3">
      <w:pPr>
        <w:widowControl/>
      </w:pPr>
    </w:p>
    <w:p w:rsidR="00E273E3" w:rsidRPr="00344C0B" w:rsidRDefault="00E273E3" w:rsidP="002659F3">
      <w:pPr>
        <w:pStyle w:val="StyleBoldCentered"/>
        <w:widowControl/>
        <w:spacing w:after="220"/>
      </w:pPr>
      <w:r w:rsidRPr="00344C0B">
        <w:t>forfeiture ORDER</w:t>
      </w:r>
    </w:p>
    <w:p w:rsidR="00E273E3" w:rsidRPr="0007571D" w:rsidRDefault="00E273E3" w:rsidP="00226191">
      <w:pPr>
        <w:widowControl/>
        <w:tabs>
          <w:tab w:val="right" w:pos="9360"/>
        </w:tabs>
        <w:suppressAutoHyphens/>
        <w:rPr>
          <w:spacing w:val="-2"/>
        </w:rPr>
      </w:pPr>
      <w:r w:rsidRPr="00344C0B">
        <w:rPr>
          <w:b/>
          <w:spacing w:val="-2"/>
        </w:rPr>
        <w:t xml:space="preserve">Adopted: </w:t>
      </w:r>
      <w:r w:rsidR="00B6206E">
        <w:rPr>
          <w:b/>
          <w:spacing w:val="-2"/>
        </w:rPr>
        <w:t>April 12, 2016</w:t>
      </w:r>
      <w:r w:rsidRPr="00344C0B">
        <w:rPr>
          <w:b/>
          <w:spacing w:val="-2"/>
        </w:rPr>
        <w:t xml:space="preserve"> </w:t>
      </w:r>
      <w:r w:rsidR="006D2212" w:rsidRPr="0007571D">
        <w:rPr>
          <w:b/>
          <w:spacing w:val="-2"/>
        </w:rPr>
        <w:tab/>
        <w:t xml:space="preserve">Released: </w:t>
      </w:r>
      <w:r w:rsidR="00B6206E">
        <w:rPr>
          <w:b/>
          <w:spacing w:val="-2"/>
        </w:rPr>
        <w:t>April 12, 2016</w:t>
      </w:r>
      <w:r w:rsidR="006D2212" w:rsidRPr="0007571D">
        <w:rPr>
          <w:b/>
          <w:spacing w:val="-2"/>
        </w:rPr>
        <w:t xml:space="preserve"> </w:t>
      </w:r>
    </w:p>
    <w:p w:rsidR="00E273E3" w:rsidRPr="00344C0B" w:rsidRDefault="00E273E3" w:rsidP="00EE05DB">
      <w:pPr>
        <w:widowControl/>
        <w:jc w:val="center"/>
      </w:pPr>
    </w:p>
    <w:p w:rsidR="00E273E3" w:rsidRPr="00344C0B" w:rsidRDefault="00E273E3" w:rsidP="002659F3">
      <w:pPr>
        <w:widowControl/>
        <w:rPr>
          <w:spacing w:val="-2"/>
        </w:rPr>
      </w:pPr>
      <w:r w:rsidRPr="00344C0B">
        <w:t xml:space="preserve">By the </w:t>
      </w:r>
      <w:r w:rsidR="00E8343F">
        <w:t>Regional Director, South Central Region</w:t>
      </w:r>
      <w:r w:rsidR="00E703E5">
        <w:t>, Enforcement Bureau</w:t>
      </w:r>
      <w:r w:rsidRPr="0007571D">
        <w:rPr>
          <w:spacing w:val="-2"/>
        </w:rPr>
        <w:t>:</w:t>
      </w:r>
    </w:p>
    <w:p w:rsidR="00E273E3" w:rsidRPr="00344C0B" w:rsidRDefault="00E273E3" w:rsidP="002659F3">
      <w:pPr>
        <w:widowControl/>
        <w:rPr>
          <w:spacing w:val="-2"/>
        </w:rPr>
      </w:pPr>
    </w:p>
    <w:p w:rsidR="00E273E3" w:rsidRPr="00344C0B" w:rsidRDefault="00E273E3" w:rsidP="00226191">
      <w:pPr>
        <w:pStyle w:val="Heading1"/>
      </w:pPr>
      <w:bookmarkStart w:id="1" w:name="_Toc379288998"/>
      <w:bookmarkStart w:id="2" w:name="_Toc379365499"/>
      <w:r w:rsidRPr="00344C0B">
        <w:t>INTRODUCTION</w:t>
      </w:r>
      <w:bookmarkEnd w:id="1"/>
      <w:bookmarkEnd w:id="2"/>
    </w:p>
    <w:p w:rsidR="00A204BA" w:rsidRPr="00344C0B" w:rsidRDefault="00E273E3" w:rsidP="004766A3">
      <w:pPr>
        <w:pStyle w:val="ParaNum"/>
        <w:tabs>
          <w:tab w:val="clear" w:pos="1080"/>
        </w:tabs>
      </w:pPr>
      <w:r w:rsidRPr="00344C0B">
        <w:t>We impose a penalty of $</w:t>
      </w:r>
      <w:r w:rsidR="00E703E5">
        <w:t>15,000</w:t>
      </w:r>
      <w:r w:rsidRPr="0007571D">
        <w:t xml:space="preserve"> against </w:t>
      </w:r>
      <w:r w:rsidR="00E703E5">
        <w:t>Andrew O. Turner</w:t>
      </w:r>
      <w:r w:rsidRPr="00344C0B">
        <w:t xml:space="preserve"> for </w:t>
      </w:r>
      <w:r w:rsidR="00E703E5">
        <w:t>operating an unlicensed FM radio station on 95.9 MHz in Broward County, FL.</w:t>
      </w:r>
      <w:r w:rsidR="00F50307">
        <w:t xml:space="preserve"> Mr. Turner does not deny that he operated an unlicensed station, but argues that he did not intend to cause harm</w:t>
      </w:r>
      <w:r w:rsidR="00F447E4">
        <w:t xml:space="preserve"> or undermine the Commission’s authority, and that he does not have</w:t>
      </w:r>
      <w:r w:rsidR="00F50307">
        <w:t xml:space="preserve"> the funds to pay the forfeiture. After reviewing Mr. Turner’s response to the </w:t>
      </w:r>
      <w:r w:rsidR="00F50307" w:rsidRPr="004766A3">
        <w:t>NAL</w:t>
      </w:r>
      <w:r w:rsidR="00F50307">
        <w:t xml:space="preserve">, </w:t>
      </w:r>
      <w:r w:rsidR="00F50307" w:rsidRPr="00F50307">
        <w:t>we find no reason to cancel, withdraw or reduce the proposed penalty,</w:t>
      </w:r>
      <w:r w:rsidR="00F50307">
        <w:t xml:space="preserve"> and we therefore assess the $15</w:t>
      </w:r>
      <w:r w:rsidR="00F50307" w:rsidRPr="00F50307">
        <w:t>,000 forfeiture the Bureau previously proposed.</w:t>
      </w:r>
    </w:p>
    <w:p w:rsidR="00E273E3" w:rsidRPr="00344C0B" w:rsidRDefault="00E273E3" w:rsidP="00226191">
      <w:pPr>
        <w:pStyle w:val="Heading1"/>
      </w:pPr>
      <w:bookmarkStart w:id="3" w:name="_Toc379288999"/>
      <w:bookmarkStart w:id="4" w:name="_Toc379365500"/>
      <w:r w:rsidRPr="00344C0B">
        <w:t>BACKGROUND</w:t>
      </w:r>
      <w:bookmarkEnd w:id="3"/>
      <w:bookmarkEnd w:id="4"/>
    </w:p>
    <w:p w:rsidR="002B17E2" w:rsidRPr="00344C0B" w:rsidRDefault="00641144" w:rsidP="00363474">
      <w:pPr>
        <w:pStyle w:val="ParaNum"/>
        <w:tabs>
          <w:tab w:val="clear" w:pos="1080"/>
        </w:tabs>
      </w:pPr>
      <w:r>
        <w:t>In response to a complaint, o</w:t>
      </w:r>
      <w:r w:rsidRPr="00641144">
        <w:t>n January 26, March 7, Aug</w:t>
      </w:r>
      <w:r>
        <w:t xml:space="preserve">ust 17, and September 9, 2015, agents from the Enforcement Bureau’s Miami Office (Miami Office) and Tampa Office (Tampa Office) identified and located the source of unlicensed transmissions on the frequency </w:t>
      </w:r>
      <w:r w:rsidRPr="004766A3">
        <w:t>95.9 MHz originating from residences in Broward County, FL</w:t>
      </w:r>
      <w:r>
        <w:t>. A</w:t>
      </w:r>
      <w:r w:rsidRPr="00641144">
        <w:t xml:space="preserve">gents determined that Mr. Turner operated </w:t>
      </w:r>
      <w:r>
        <w:t>the unlicensed stations</w:t>
      </w:r>
      <w:r w:rsidRPr="00641144">
        <w:t>.</w:t>
      </w:r>
      <w:r w:rsidR="00C93AB5" w:rsidRPr="00CF358D">
        <w:rPr>
          <w:rStyle w:val="FootnoteReference"/>
        </w:rPr>
        <w:footnoteReference w:id="2"/>
      </w:r>
      <w:r w:rsidRPr="00CF358D">
        <w:rPr>
          <w:rStyle w:val="FootnoteReference"/>
        </w:rPr>
        <w:t xml:space="preserve"> </w:t>
      </w:r>
      <w:r w:rsidRPr="00641144">
        <w:t xml:space="preserve">  Mr. Turner was warned </w:t>
      </w:r>
      <w:r w:rsidR="00C93AB5">
        <w:t xml:space="preserve">of the unlicensed operations </w:t>
      </w:r>
      <w:r w:rsidRPr="00641144">
        <w:t>by the Commission in writing on March 7 and August 17, 2015</w:t>
      </w:r>
      <w:r>
        <w:t>.</w:t>
      </w:r>
      <w:r w:rsidR="00C93AB5" w:rsidRPr="004766A3">
        <w:rPr>
          <w:rStyle w:val="FootnoteReference"/>
        </w:rPr>
        <w:footnoteReference w:id="3"/>
      </w:r>
      <w:r w:rsidR="00DD7B34" w:rsidRPr="004766A3">
        <w:rPr>
          <w:rStyle w:val="FootnoteReference"/>
        </w:rPr>
        <w:t xml:space="preserve"> </w:t>
      </w:r>
    </w:p>
    <w:p w:rsidR="00E273E3" w:rsidRPr="00344C0B" w:rsidRDefault="00E273E3" w:rsidP="00C339C4">
      <w:pPr>
        <w:pStyle w:val="ParaNum"/>
        <w:tabs>
          <w:tab w:val="clear" w:pos="1080"/>
        </w:tabs>
      </w:pPr>
      <w:r w:rsidRPr="0007571D">
        <w:t xml:space="preserve">On </w:t>
      </w:r>
      <w:r w:rsidR="00872491">
        <w:t>November 20, 2015</w:t>
      </w:r>
      <w:r w:rsidRPr="0007571D">
        <w:t xml:space="preserve">, the </w:t>
      </w:r>
      <w:r w:rsidR="00872491">
        <w:t>Enforcement Bureau’s Miami Office</w:t>
      </w:r>
      <w:r w:rsidR="00CB6E37" w:rsidRPr="0007571D">
        <w:t xml:space="preserve"> </w:t>
      </w:r>
      <w:r w:rsidRPr="0007571D">
        <w:t xml:space="preserve">issued </w:t>
      </w:r>
      <w:r w:rsidR="00872491">
        <w:t>a Notice of Apparent Liability for Forfeiture (</w:t>
      </w:r>
      <w:r w:rsidRPr="0007571D">
        <w:rPr>
          <w:i/>
        </w:rPr>
        <w:t>NAL</w:t>
      </w:r>
      <w:r w:rsidR="00872491">
        <w:t>)</w:t>
      </w:r>
      <w:r w:rsidRPr="0007571D">
        <w:rPr>
          <w:i/>
        </w:rPr>
        <w:t xml:space="preserve"> </w:t>
      </w:r>
      <w:r w:rsidR="00CB6E37" w:rsidRPr="0007571D">
        <w:t xml:space="preserve">proposing a </w:t>
      </w:r>
      <w:r w:rsidRPr="00344C0B">
        <w:t>$</w:t>
      </w:r>
      <w:r w:rsidR="00872491">
        <w:t>15,000</w:t>
      </w:r>
      <w:r w:rsidRPr="0007571D">
        <w:t xml:space="preserve"> </w:t>
      </w:r>
      <w:r w:rsidR="00CB6E37" w:rsidRPr="00344C0B">
        <w:t xml:space="preserve">forfeiture </w:t>
      </w:r>
      <w:r w:rsidR="00154A5C" w:rsidRPr="00344C0B">
        <w:t xml:space="preserve">against </w:t>
      </w:r>
      <w:r w:rsidR="00872491">
        <w:t>Mr. Turner</w:t>
      </w:r>
      <w:r w:rsidR="00154A5C" w:rsidRPr="0007571D">
        <w:t xml:space="preserve"> </w:t>
      </w:r>
      <w:r w:rsidR="00872491">
        <w:t>for his</w:t>
      </w:r>
      <w:r w:rsidRPr="0007571D">
        <w:t xml:space="preserve"> apparent willful and</w:t>
      </w:r>
      <w:r w:rsidRPr="00344C0B">
        <w:t xml:space="preserve"> repeated violation of </w:t>
      </w:r>
      <w:r w:rsidR="00872491" w:rsidRPr="0097525F">
        <w:rPr>
          <w:color w:val="000000"/>
          <w:spacing w:val="-2"/>
        </w:rPr>
        <w:t>Section 301 of the Communications Act of 1934, as amended (Act)</w:t>
      </w:r>
      <w:r w:rsidR="00872491" w:rsidRPr="007166F4">
        <w:rPr>
          <w:color w:val="000000"/>
          <w:spacing w:val="-2"/>
          <w:vertAlign w:val="superscript"/>
        </w:rPr>
        <w:footnoteReference w:id="4"/>
      </w:r>
      <w:r w:rsidR="00872491">
        <w:rPr>
          <w:color w:val="000000"/>
          <w:spacing w:val="-2"/>
        </w:rPr>
        <w:t xml:space="preserve"> </w:t>
      </w:r>
      <w:r w:rsidR="00CB6E37" w:rsidRPr="0007571D">
        <w:t xml:space="preserve">by </w:t>
      </w:r>
      <w:r w:rsidR="00872491">
        <w:t>operating an FM broadcast transmitter without Commission authorization.</w:t>
      </w:r>
      <w:r w:rsidRPr="0007571D">
        <w:rPr>
          <w:color w:val="000000"/>
          <w:szCs w:val="22"/>
        </w:rPr>
        <w:t xml:space="preserve">  </w:t>
      </w:r>
    </w:p>
    <w:p w:rsidR="000B29ED" w:rsidRPr="0007571D" w:rsidRDefault="00E273E3" w:rsidP="005C0B84">
      <w:pPr>
        <w:pStyle w:val="ParaNum"/>
        <w:tabs>
          <w:tab w:val="clear" w:pos="1080"/>
        </w:tabs>
      </w:pPr>
      <w:r w:rsidRPr="00344C0B">
        <w:t xml:space="preserve">On </w:t>
      </w:r>
      <w:r w:rsidR="005526C8">
        <w:t>December 16, 2015</w:t>
      </w:r>
      <w:r w:rsidR="000B29ED" w:rsidRPr="0007571D">
        <w:t xml:space="preserve">, </w:t>
      </w:r>
      <w:r w:rsidR="005526C8">
        <w:t xml:space="preserve">Mr. Turner </w:t>
      </w:r>
      <w:r w:rsidRPr="0007571D">
        <w:t xml:space="preserve">filed a response to the </w:t>
      </w:r>
      <w:r w:rsidRPr="00344C0B">
        <w:rPr>
          <w:i/>
        </w:rPr>
        <w:t>NAL</w:t>
      </w:r>
      <w:r w:rsidRPr="00344C0B">
        <w:t>.</w:t>
      </w:r>
      <w:r w:rsidRPr="0007571D">
        <w:rPr>
          <w:rStyle w:val="FootnoteReference"/>
        </w:rPr>
        <w:footnoteReference w:id="5"/>
      </w:r>
      <w:r w:rsidRPr="0007571D">
        <w:t xml:space="preserve">  </w:t>
      </w:r>
      <w:r w:rsidR="004F0204">
        <w:t>Mr. Turner requests cancellation of the proposed forfeiture. While Mr. Turner does not deny operating the unlicensed station, he states that he “</w:t>
      </w:r>
      <w:r w:rsidR="004F0204" w:rsidRPr="004F0204">
        <w:t>had no intentions of creating or causing dang</w:t>
      </w:r>
      <w:r w:rsidR="004F0204">
        <w:t xml:space="preserve">er intentional or unintentional,” nor did he </w:t>
      </w:r>
      <w:r w:rsidR="004F0204">
        <w:lastRenderedPageBreak/>
        <w:t>“</w:t>
      </w:r>
      <w:r w:rsidR="004F0204" w:rsidRPr="004F0204">
        <w:t>deliberately intend to undermine the commissions’ authority.</w:t>
      </w:r>
      <w:r w:rsidR="004F0204">
        <w:t>”</w:t>
      </w:r>
      <w:r w:rsidR="004F0204">
        <w:rPr>
          <w:rStyle w:val="FootnoteReference"/>
        </w:rPr>
        <w:footnoteReference w:id="6"/>
      </w:r>
      <w:r w:rsidR="00BE4853">
        <w:t xml:space="preserve"> </w:t>
      </w:r>
      <w:r w:rsidR="00E62C71">
        <w:t xml:space="preserve"> </w:t>
      </w:r>
      <w:r w:rsidR="00BE4853">
        <w:t xml:space="preserve">Mr. Turner </w:t>
      </w:r>
      <w:r w:rsidR="00F115E0">
        <w:t>maintains that his broadcasts benefit his community</w:t>
      </w:r>
      <w:r w:rsidR="00EA147A">
        <w:t>, and asks the Commission to cancel the forfeiture in light of those community benefits</w:t>
      </w:r>
      <w:r w:rsidR="00F115E0">
        <w:t>.</w:t>
      </w:r>
      <w:r w:rsidR="00F115E0">
        <w:rPr>
          <w:rStyle w:val="FootnoteReference"/>
        </w:rPr>
        <w:footnoteReference w:id="7"/>
      </w:r>
      <w:r w:rsidR="00F115E0">
        <w:t xml:space="preserve">  He also </w:t>
      </w:r>
      <w:r w:rsidR="00BE4853">
        <w:t>argues that his ministry is nonprofit and he has insufficient funds to pay the forfeiture.</w:t>
      </w:r>
      <w:r w:rsidR="00BE4853">
        <w:rPr>
          <w:rStyle w:val="FootnoteReference"/>
        </w:rPr>
        <w:footnoteReference w:id="8"/>
      </w:r>
    </w:p>
    <w:p w:rsidR="00E273E3" w:rsidRPr="00344C0B" w:rsidRDefault="00E273E3" w:rsidP="00226191">
      <w:pPr>
        <w:pStyle w:val="Heading1"/>
      </w:pPr>
      <w:bookmarkStart w:id="5" w:name="_Toc379289000"/>
      <w:bookmarkStart w:id="6" w:name="_Toc379365501"/>
      <w:r w:rsidRPr="00344C0B">
        <w:t>DISCUSSION</w:t>
      </w:r>
      <w:bookmarkEnd w:id="5"/>
      <w:bookmarkEnd w:id="6"/>
    </w:p>
    <w:p w:rsidR="00E6009E" w:rsidRPr="00344C0B" w:rsidRDefault="00E6009E" w:rsidP="00B5182F">
      <w:pPr>
        <w:pStyle w:val="ParaNum"/>
        <w:tabs>
          <w:tab w:val="clear" w:pos="1080"/>
          <w:tab w:val="num" w:pos="1440"/>
        </w:tabs>
      </w:pPr>
      <w:r w:rsidRPr="00344C0B">
        <w:t xml:space="preserve">The </w:t>
      </w:r>
      <w:r w:rsidR="00DA31D8">
        <w:t>Bureau</w:t>
      </w:r>
      <w:r w:rsidRPr="00344C0B">
        <w:t xml:space="preserve"> </w:t>
      </w:r>
      <w:r w:rsidR="00E273E3" w:rsidRPr="00344C0B">
        <w:t xml:space="preserve">proposed </w:t>
      </w:r>
      <w:r w:rsidRPr="00344C0B">
        <w:t xml:space="preserve">a </w:t>
      </w:r>
      <w:r w:rsidR="00E273E3" w:rsidRPr="00344C0B">
        <w:t>forfeiture in this case in accordance with Section 503(b) of the Communications Act of 1934, as amended (Act),</w:t>
      </w:r>
      <w:r w:rsidR="00E273E3" w:rsidRPr="0007571D">
        <w:rPr>
          <w:rStyle w:val="FootnoteReference"/>
        </w:rPr>
        <w:footnoteReference w:id="9"/>
      </w:r>
      <w:r w:rsidR="00E273E3" w:rsidRPr="0007571D">
        <w:t xml:space="preserve"> Section 1.80 of the </w:t>
      </w:r>
      <w:r w:rsidR="00C339C4">
        <w:t>Commission’s r</w:t>
      </w:r>
      <w:r w:rsidR="00E273E3" w:rsidRPr="0007571D">
        <w:t>ules</w:t>
      </w:r>
      <w:r w:rsidR="00C339C4">
        <w:t xml:space="preserve"> (Rules)</w:t>
      </w:r>
      <w:r w:rsidR="00E273E3" w:rsidRPr="0007571D">
        <w:t>,</w:t>
      </w:r>
      <w:r w:rsidR="00E273E3" w:rsidRPr="0007571D">
        <w:rPr>
          <w:vertAlign w:val="superscript"/>
        </w:rPr>
        <w:footnoteReference w:id="10"/>
      </w:r>
      <w:r w:rsidR="00E273E3" w:rsidRPr="0007571D">
        <w:t xml:space="preserve"> and the Commissi</w:t>
      </w:r>
      <w:r w:rsidR="00E273E3" w:rsidRPr="00344C0B">
        <w:t xml:space="preserve">on’s </w:t>
      </w:r>
      <w:r w:rsidR="00E273E3" w:rsidRPr="00344C0B">
        <w:rPr>
          <w:i/>
        </w:rPr>
        <w:t xml:space="preserve">Forfeiture Policy </w:t>
      </w:r>
      <w:r w:rsidR="00E273E3" w:rsidRPr="00344C0B">
        <w:rPr>
          <w:rFonts w:eastAsia="MS Mincho"/>
          <w:i/>
          <w:szCs w:val="22"/>
        </w:rPr>
        <w:t>Statement</w:t>
      </w:r>
      <w:r w:rsidR="00E273E3" w:rsidRPr="00344C0B">
        <w:t>.</w:t>
      </w:r>
      <w:r w:rsidR="00E273E3" w:rsidRPr="0007571D">
        <w:rPr>
          <w:rStyle w:val="FootnoteReference"/>
          <w:szCs w:val="22"/>
        </w:rPr>
        <w:footnoteReference w:id="11"/>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12"/>
      </w:r>
      <w:r w:rsidR="00E273E3" w:rsidRPr="0007571D">
        <w:t xml:space="preserve">  </w:t>
      </w:r>
      <w:r w:rsidR="006B685D" w:rsidRPr="00344C0B">
        <w:rPr>
          <w:szCs w:val="22"/>
        </w:rPr>
        <w:t>As discussed below, we</w:t>
      </w:r>
      <w:r w:rsidRPr="00344C0B">
        <w:rPr>
          <w:szCs w:val="22"/>
        </w:rPr>
        <w:t xml:space="preserve"> have </w:t>
      </w:r>
      <w:r w:rsidR="006B685D" w:rsidRPr="00344C0B">
        <w:rPr>
          <w:szCs w:val="22"/>
        </w:rPr>
        <w:t xml:space="preserve">fully </w:t>
      </w:r>
      <w:r w:rsidRPr="00344C0B">
        <w:rPr>
          <w:szCs w:val="22"/>
        </w:rPr>
        <w:t xml:space="preserve">considered </w:t>
      </w:r>
      <w:r w:rsidR="00DA31D8">
        <w:t xml:space="preserve">Mr. Turner’s </w:t>
      </w:r>
      <w:r w:rsidRPr="00344C0B">
        <w:rPr>
          <w:szCs w:val="22"/>
        </w:rPr>
        <w:t xml:space="preserve">response to the </w:t>
      </w:r>
      <w:r w:rsidRPr="00344C0B">
        <w:rPr>
          <w:i/>
          <w:szCs w:val="22"/>
        </w:rPr>
        <w:t>NAL</w:t>
      </w:r>
      <w:r w:rsidRPr="00344C0B">
        <w:rPr>
          <w:szCs w:val="22"/>
        </w:rPr>
        <w:t>, but we find none of them persuasive.  We therefore affirm the $</w:t>
      </w:r>
      <w:r w:rsidR="00DA31D8">
        <w:rPr>
          <w:szCs w:val="22"/>
        </w:rPr>
        <w:t>15,000</w:t>
      </w:r>
      <w:r w:rsidRPr="0007571D">
        <w:rPr>
          <w:szCs w:val="22"/>
        </w:rPr>
        <w:t xml:space="preserve"> forfeiture proposed in the </w:t>
      </w:r>
      <w:r w:rsidRPr="0007571D">
        <w:rPr>
          <w:i/>
          <w:szCs w:val="22"/>
        </w:rPr>
        <w:t>NAL.</w:t>
      </w:r>
    </w:p>
    <w:p w:rsidR="003C5EF1" w:rsidRDefault="00536E59" w:rsidP="003C5EF1">
      <w:pPr>
        <w:pStyle w:val="Heading2"/>
        <w:rPr>
          <w:color w:val="000000"/>
          <w:spacing w:val="-2"/>
        </w:rPr>
      </w:pPr>
      <w:r>
        <w:rPr>
          <w:color w:val="000000"/>
          <w:spacing w:val="-2"/>
        </w:rPr>
        <w:t>The Commission of an Act, Irrespective of Any Intent to Violate the Law, Qualifies as Willful Under Section 312 of the Act</w:t>
      </w:r>
    </w:p>
    <w:p w:rsidR="00536E59" w:rsidRPr="008970C4" w:rsidRDefault="00536E59" w:rsidP="00926FF8">
      <w:pPr>
        <w:pStyle w:val="ParaNum"/>
        <w:keepNext/>
        <w:widowControl/>
        <w:tabs>
          <w:tab w:val="clear" w:pos="1080"/>
        </w:tabs>
        <w:rPr>
          <w:spacing w:val="-2"/>
        </w:rPr>
      </w:pPr>
      <w:r>
        <w:rPr>
          <w:color w:val="000000"/>
          <w:spacing w:val="-2"/>
        </w:rPr>
        <w:t xml:space="preserve">Mr. Turner does not contest the facts recited in the </w:t>
      </w:r>
      <w:r>
        <w:rPr>
          <w:i/>
          <w:color w:val="000000"/>
          <w:spacing w:val="-2"/>
        </w:rPr>
        <w:t>NAL</w:t>
      </w:r>
      <w:r>
        <w:rPr>
          <w:color w:val="000000"/>
        </w:rPr>
        <w:t>.</w:t>
      </w:r>
      <w:r w:rsidRPr="00F07DF9">
        <w:rPr>
          <w:color w:val="000000"/>
        </w:rPr>
        <w:t xml:space="preserve">  </w:t>
      </w:r>
      <w:r w:rsidRPr="00B175EB">
        <w:rPr>
          <w:color w:val="000000"/>
        </w:rPr>
        <w:t>In</w:t>
      </w:r>
      <w:r>
        <w:rPr>
          <w:color w:val="000000"/>
        </w:rPr>
        <w:t xml:space="preserve">stead, he </w:t>
      </w:r>
      <w:r w:rsidRPr="00B175EB">
        <w:rPr>
          <w:color w:val="000000"/>
        </w:rPr>
        <w:t xml:space="preserve">requests </w:t>
      </w:r>
      <w:r>
        <w:rPr>
          <w:color w:val="000000"/>
        </w:rPr>
        <w:t xml:space="preserve">cancellation of the </w:t>
      </w:r>
      <w:r w:rsidRPr="00B175EB">
        <w:rPr>
          <w:color w:val="000000"/>
        </w:rPr>
        <w:t>proposed forfeiture</w:t>
      </w:r>
      <w:r>
        <w:rPr>
          <w:color w:val="000000"/>
        </w:rPr>
        <w:t xml:space="preserve"> because he did not intend to cause or create danger nor did he intend to violate the Act.</w:t>
      </w:r>
      <w:r>
        <w:rPr>
          <w:rStyle w:val="FootnoteReference"/>
          <w:color w:val="000000"/>
        </w:rPr>
        <w:footnoteReference w:id="13"/>
      </w:r>
      <w:r>
        <w:rPr>
          <w:color w:val="000000"/>
        </w:rPr>
        <w:t xml:space="preserve">  </w:t>
      </w:r>
      <w:r w:rsidRPr="00792346">
        <w:rPr>
          <w:spacing w:val="-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792346">
        <w:rPr>
          <w:spacing w:val="-2"/>
          <w:vertAlign w:val="superscript"/>
        </w:rPr>
        <w:footnoteReference w:id="14"/>
      </w:r>
      <w:r w:rsidRPr="00792346">
        <w:rPr>
          <w:spacing w:val="-2"/>
        </w:rPr>
        <w:t xml:space="preserve">  Section 312(f)(1) of the Act defines “willful” as the “conscious and deliberate commission or omission of [any] act, irrespective of any intent to violate” the law.</w:t>
      </w:r>
      <w:r w:rsidRPr="00792346">
        <w:rPr>
          <w:spacing w:val="-2"/>
          <w:vertAlign w:val="superscript"/>
        </w:rPr>
        <w:footnoteReference w:id="15"/>
      </w:r>
      <w:r w:rsidRPr="00792346">
        <w:rPr>
          <w:spacing w:val="-2"/>
        </w:rPr>
        <w:t xml:space="preserve">  The </w:t>
      </w:r>
      <w:r>
        <w:rPr>
          <w:spacing w:val="-2"/>
        </w:rPr>
        <w:t>legislative history to S</w:t>
      </w:r>
      <w:r w:rsidRPr="00792346">
        <w:rPr>
          <w:spacing w:val="-2"/>
        </w:rPr>
        <w:t xml:space="preserve">ection 312(f)(1) of the Act </w:t>
      </w:r>
      <w:r w:rsidR="004F4E57">
        <w:rPr>
          <w:spacing w:val="-2"/>
        </w:rPr>
        <w:t xml:space="preserve">makes clear </w:t>
      </w:r>
      <w:r w:rsidRPr="00792346">
        <w:rPr>
          <w:spacing w:val="-2"/>
        </w:rPr>
        <w:t xml:space="preserve">that this definition of willful applies to both </w:t>
      </w:r>
      <w:r>
        <w:rPr>
          <w:spacing w:val="-2"/>
        </w:rPr>
        <w:t>S</w:t>
      </w:r>
      <w:r w:rsidRPr="00792346">
        <w:rPr>
          <w:spacing w:val="-2"/>
        </w:rPr>
        <w:t>ections 312 and 503(b) of the Act,</w:t>
      </w:r>
      <w:r w:rsidRPr="00792346">
        <w:rPr>
          <w:spacing w:val="-2"/>
          <w:vertAlign w:val="superscript"/>
        </w:rPr>
        <w:footnoteReference w:id="16"/>
      </w:r>
      <w:r w:rsidRPr="00792346">
        <w:rPr>
          <w:spacing w:val="-2"/>
        </w:rPr>
        <w:t xml:space="preserve"> and the Commission has so interpreted the term in the </w:t>
      </w:r>
      <w:r>
        <w:rPr>
          <w:spacing w:val="-2"/>
        </w:rPr>
        <w:t>S</w:t>
      </w:r>
      <w:r w:rsidRPr="00792346">
        <w:rPr>
          <w:spacing w:val="-2"/>
        </w:rPr>
        <w:t>ection 503(b) context.</w:t>
      </w:r>
      <w:r w:rsidRPr="00792346">
        <w:rPr>
          <w:spacing w:val="-2"/>
          <w:vertAlign w:val="superscript"/>
        </w:rPr>
        <w:footnoteReference w:id="17"/>
      </w:r>
      <w:r w:rsidRPr="00792346">
        <w:rPr>
          <w:spacing w:val="-2"/>
        </w:rPr>
        <w:t xml:space="preserve">  </w:t>
      </w:r>
      <w:r>
        <w:rPr>
          <w:spacing w:val="-2"/>
        </w:rPr>
        <w:t>Mr. Turner does not deny that he operated the station</w:t>
      </w:r>
      <w:r w:rsidR="004F4E57">
        <w:rPr>
          <w:spacing w:val="-2"/>
        </w:rPr>
        <w:t>.</w:t>
      </w:r>
      <w:r w:rsidR="004F4E57" w:rsidDel="004F4E57">
        <w:rPr>
          <w:spacing w:val="-2"/>
        </w:rPr>
        <w:t xml:space="preserve"> </w:t>
      </w:r>
      <w:r w:rsidR="004F4E57">
        <w:rPr>
          <w:spacing w:val="-2"/>
        </w:rPr>
        <w:t xml:space="preserve"> T</w:t>
      </w:r>
      <w:r>
        <w:rPr>
          <w:spacing w:val="-2"/>
        </w:rPr>
        <w:t xml:space="preserve">herefore, we find that his operation of </w:t>
      </w:r>
      <w:r>
        <w:rPr>
          <w:spacing w:val="-2"/>
        </w:rPr>
        <w:lastRenderedPageBreak/>
        <w:t>the station was willful, according to the Act.</w:t>
      </w:r>
      <w:r w:rsidRPr="00792346">
        <w:rPr>
          <w:spacing w:val="-2"/>
        </w:rPr>
        <w:t xml:space="preserve">  Even if we were to accept that </w:t>
      </w:r>
      <w:r>
        <w:rPr>
          <w:spacing w:val="-2"/>
        </w:rPr>
        <w:t>the operation on the unlicensed station</w:t>
      </w:r>
      <w:r w:rsidRPr="00792346">
        <w:rPr>
          <w:spacing w:val="-2"/>
        </w:rPr>
        <w:t xml:space="preserve"> was not “willful,” it was nevertheless repeated</w:t>
      </w:r>
      <w:r>
        <w:rPr>
          <w:spacing w:val="-2"/>
        </w:rPr>
        <w:t>.</w:t>
      </w:r>
      <w:r w:rsidRPr="00792346">
        <w:rPr>
          <w:spacing w:val="-2"/>
          <w:sz w:val="20"/>
          <w:vertAlign w:val="superscript"/>
        </w:rPr>
        <w:footnoteReference w:id="18"/>
      </w:r>
    </w:p>
    <w:p w:rsidR="007E0463" w:rsidRPr="00B1278C" w:rsidRDefault="00A47DE3" w:rsidP="00B1278C">
      <w:pPr>
        <w:pStyle w:val="Heading2"/>
        <w:rPr>
          <w:color w:val="000000"/>
          <w:spacing w:val="-2"/>
        </w:rPr>
      </w:pPr>
      <w:r w:rsidRPr="00B1278C">
        <w:rPr>
          <w:color w:val="000000"/>
          <w:spacing w:val="-2"/>
        </w:rPr>
        <w:t>Mr. Turner</w:t>
      </w:r>
      <w:r w:rsidR="003B4838" w:rsidRPr="00B1278C">
        <w:rPr>
          <w:color w:val="000000"/>
          <w:spacing w:val="-2"/>
        </w:rPr>
        <w:t>’s Community Service Does Not Warrant Forfeiture Cancellation or Reduction</w:t>
      </w:r>
    </w:p>
    <w:p w:rsidR="005F5FB8" w:rsidRPr="00D220E2" w:rsidRDefault="00DB0D6F" w:rsidP="00D220E2">
      <w:pPr>
        <w:pStyle w:val="ParaNum"/>
        <w:tabs>
          <w:tab w:val="clear" w:pos="1080"/>
        </w:tabs>
        <w:rPr>
          <w:color w:val="000000"/>
          <w:spacing w:val="-2"/>
        </w:rPr>
      </w:pPr>
      <w:r w:rsidRPr="007E0463">
        <w:rPr>
          <w:color w:val="000000"/>
          <w:spacing w:val="-2"/>
        </w:rPr>
        <w:t>Mr. Turner discusses a number of benefits he claims his broadcasts provide for the community, and asks us to consider those benefits while determining whether cancellation of the forfeiture proposed in the NAL is warranted.</w:t>
      </w:r>
      <w:r w:rsidRPr="00926FF8">
        <w:rPr>
          <w:color w:val="000000"/>
          <w:spacing w:val="-2"/>
          <w:vertAlign w:val="superscript"/>
        </w:rPr>
        <w:footnoteReference w:id="19"/>
      </w:r>
      <w:r w:rsidRPr="007E0463">
        <w:rPr>
          <w:color w:val="000000"/>
          <w:spacing w:val="-2"/>
        </w:rPr>
        <w:t xml:space="preserve">  We have taken those benefits into account, and we conclude that they do not provide justification for any cancellation or reduction of the proposed forfeiture amount.  Assuming for the sake of argument that Mr. Turner’s broadcasts provide the services he claims, it is well established that such community service does not excuse violations of the Communications Act or the Commission’s rules, and does not provide a mitigating factor with respect to such violations.</w:t>
      </w:r>
      <w:r w:rsidRPr="00926FF8">
        <w:rPr>
          <w:color w:val="000000"/>
          <w:spacing w:val="-2"/>
          <w:vertAlign w:val="superscript"/>
        </w:rPr>
        <w:footnoteReference w:id="20"/>
      </w:r>
      <w:r w:rsidRPr="007E0463">
        <w:rPr>
          <w:color w:val="000000"/>
          <w:spacing w:val="-2"/>
        </w:rPr>
        <w:t xml:space="preserve">  Moreover, Mr. Turner could have performed his public service under Section 15.239 of the Commission’s Rules, which authorizes low power unlicensed transmissions, but he chose not to do so.</w:t>
      </w:r>
      <w:r w:rsidRPr="00926FF8">
        <w:rPr>
          <w:spacing w:val="-2"/>
          <w:vertAlign w:val="superscript"/>
        </w:rPr>
        <w:footnoteReference w:id="21"/>
      </w:r>
      <w:r w:rsidRPr="007E0463">
        <w:rPr>
          <w:color w:val="000000"/>
          <w:spacing w:val="-2"/>
        </w:rPr>
        <w:t xml:space="preserve">  Accordingly, we find that Mr. Turner’s service to his community does not warrant cancellation or reduction of the proposed forfeiture amount.  </w:t>
      </w:r>
    </w:p>
    <w:p w:rsidR="00D34027" w:rsidRPr="00B1278C" w:rsidRDefault="005B12B0" w:rsidP="00B1278C">
      <w:pPr>
        <w:pStyle w:val="Heading2"/>
        <w:rPr>
          <w:color w:val="000000"/>
          <w:spacing w:val="-2"/>
        </w:rPr>
      </w:pPr>
      <w:bookmarkStart w:id="7" w:name="FN[FN51]"/>
      <w:bookmarkStart w:id="8" w:name="FN[FN52]"/>
      <w:bookmarkStart w:id="9" w:name="FN[FN53]"/>
      <w:bookmarkStart w:id="10" w:name="FN[FN55]"/>
      <w:bookmarkEnd w:id="7"/>
      <w:bookmarkEnd w:id="8"/>
      <w:bookmarkEnd w:id="9"/>
      <w:bookmarkEnd w:id="10"/>
      <w:r w:rsidRPr="00B1278C">
        <w:rPr>
          <w:color w:val="000000"/>
          <w:spacing w:val="-2"/>
        </w:rPr>
        <w:t>Mr. Turner Did Not Demonstrate an Inability to Pay Warranting Forfeiture Cancellation or Reduction</w:t>
      </w:r>
    </w:p>
    <w:p w:rsidR="00D34027" w:rsidRPr="00D34027" w:rsidRDefault="00F65AA3" w:rsidP="005C0B84">
      <w:pPr>
        <w:pStyle w:val="ParaNum"/>
        <w:tabs>
          <w:tab w:val="clear" w:pos="1080"/>
        </w:tabs>
      </w:pPr>
      <w:r>
        <w:t>W</w:t>
      </w:r>
      <w:r w:rsidR="00D34027" w:rsidRPr="00D34027">
        <w:t>e decline to cancel or reduce the forf</w:t>
      </w:r>
      <w:r w:rsidR="00D34027">
        <w:t>eiture amount based on Mr. Turner</w:t>
      </w:r>
      <w:r w:rsidR="00D34027" w:rsidRPr="00D34027">
        <w:t xml:space="preserve">’s alleged inability to pay. The </w:t>
      </w:r>
      <w:r w:rsidR="00D34027" w:rsidRPr="00F65AA3">
        <w:rPr>
          <w:i/>
        </w:rPr>
        <w:t>NAL</w:t>
      </w:r>
      <w:r w:rsidR="00D34027" w:rsidRPr="00D34027">
        <w:t xml:space="preserve"> specifically stated that a cancellation or reduction of the proposed forfeiture based on inability to pay will not be considered unless the petitioner provides (1) federal tax returns for the most recent three-year period; (2) financial statements prepared according to generally accepted accounting principles; or (3) some other reliable and objective documentation that accurately reflects the petitioner’s current financi</w:t>
      </w:r>
      <w:r w:rsidR="009671D5">
        <w:t>al status.</w:t>
      </w:r>
      <w:r w:rsidR="009671D5" w:rsidRPr="00F65AA3">
        <w:rPr>
          <w:rStyle w:val="FootnoteReference"/>
        </w:rPr>
        <w:footnoteReference w:id="22"/>
      </w:r>
      <w:r w:rsidR="009671D5">
        <w:t xml:space="preserve"> Mr. Turner</w:t>
      </w:r>
      <w:r w:rsidR="00D34027" w:rsidRPr="00D34027">
        <w:t xml:space="preserve"> did not submit any documentation in support of his request for a redu</w:t>
      </w:r>
      <w:r w:rsidR="009671D5">
        <w:t xml:space="preserve">ction based on inability to pay. </w:t>
      </w:r>
      <w:r w:rsidR="00D34027" w:rsidRPr="00D34027">
        <w:t xml:space="preserve">We therefore have </w:t>
      </w:r>
      <w:r w:rsidR="009671D5">
        <w:t>no basis for assessing Mr. Turner</w:t>
      </w:r>
      <w:r w:rsidR="00D34027" w:rsidRPr="00D34027">
        <w:t>’s inability to pay claim. We find that a</w:t>
      </w:r>
      <w:r w:rsidR="009671D5">
        <w:t xml:space="preserve"> forfeiture in the amount of $15,000 is warranted.</w:t>
      </w:r>
      <w:r w:rsidR="009671D5" w:rsidRPr="005B12B0">
        <w:rPr>
          <w:rStyle w:val="FootnoteReference"/>
        </w:rPr>
        <w:footnoteReference w:id="23"/>
      </w:r>
    </w:p>
    <w:p w:rsidR="003343CA" w:rsidRPr="009A2403" w:rsidRDefault="003343CA" w:rsidP="005B12B0">
      <w:pPr>
        <w:pStyle w:val="ParaNum"/>
        <w:tabs>
          <w:tab w:val="clear" w:pos="1080"/>
        </w:tabs>
      </w:pPr>
      <w:bookmarkStart w:id="11" w:name="SR;716"/>
      <w:bookmarkStart w:id="12" w:name="SR;717"/>
      <w:bookmarkEnd w:id="11"/>
      <w:bookmarkEnd w:id="12"/>
      <w:r w:rsidRPr="00344C0B">
        <w:t>Weighing the</w:t>
      </w:r>
      <w:r w:rsidR="00990196" w:rsidRPr="00344C0B">
        <w:t xml:space="preserve"> relevant statutory</w:t>
      </w:r>
      <w:r w:rsidRPr="00344C0B">
        <w:t xml:space="preserve"> factors and our</w:t>
      </w:r>
      <w:r w:rsidR="00990196" w:rsidRPr="00344C0B">
        <w:t xml:space="preserve"> own</w:t>
      </w:r>
      <w:r w:rsidRPr="00344C0B">
        <w:t xml:space="preserve"> forfeiture guidelines, we conclude, based upon the evidence before us, that the proposed forfeiture of $</w:t>
      </w:r>
      <w:r w:rsidR="009D4B38">
        <w:t>15,000</w:t>
      </w:r>
      <w:r w:rsidRPr="0007571D">
        <w:t xml:space="preserve"> properly reflects the seriousness, duration, and scope of </w:t>
      </w:r>
      <w:r w:rsidR="009D4B38">
        <w:t>Mr. Turner’s</w:t>
      </w:r>
      <w:r w:rsidRPr="0007571D">
        <w:t xml:space="preserve"> violations.</w:t>
      </w:r>
    </w:p>
    <w:p w:rsidR="005B4CEA" w:rsidRPr="00A020A9" w:rsidRDefault="005B4CEA" w:rsidP="00926FF8">
      <w:pPr>
        <w:pStyle w:val="ParaNum"/>
        <w:keepNext/>
        <w:widowControl/>
        <w:tabs>
          <w:tab w:val="clear" w:pos="1080"/>
        </w:tabs>
      </w:pPr>
      <w:r w:rsidRPr="00344C0B">
        <w:t xml:space="preserve">Based on the record before us and in light of the applicable statutory factors, we </w:t>
      </w:r>
      <w:r w:rsidR="000145C6">
        <w:t>conclude</w:t>
      </w:r>
      <w:r w:rsidRPr="00344C0B">
        <w:t xml:space="preserve"> that </w:t>
      </w:r>
      <w:r w:rsidR="005B12B0">
        <w:t xml:space="preserve">Mr. Turner </w:t>
      </w:r>
      <w:r w:rsidRPr="0007571D">
        <w:t xml:space="preserve">willfully and repeatedly violated </w:t>
      </w:r>
      <w:r w:rsidR="00CF16B5">
        <w:t>Section 301 of the Act</w:t>
      </w:r>
      <w:r w:rsidRPr="0007571D">
        <w:t xml:space="preserve"> by </w:t>
      </w:r>
      <w:r w:rsidR="00CF16B5">
        <w:t>operating an unlicensed radio station.</w:t>
      </w:r>
      <w:r w:rsidR="00CF16B5">
        <w:rPr>
          <w:rStyle w:val="FootnoteReference"/>
        </w:rPr>
        <w:footnoteReference w:id="24"/>
      </w:r>
      <w:r w:rsidR="00CF16B5">
        <w:t xml:space="preserve"> </w:t>
      </w:r>
      <w:r w:rsidRPr="0007571D">
        <w:t>We decline to cancel or reduce the</w:t>
      </w:r>
      <w:r w:rsidR="00932FF9">
        <w:t xml:space="preserve"> </w:t>
      </w:r>
      <w:r w:rsidR="00CF16B5">
        <w:t>$15,000</w:t>
      </w:r>
      <w:r w:rsidRPr="00A020A9">
        <w:t xml:space="preserve"> </w:t>
      </w:r>
      <w:r w:rsidR="00932FF9">
        <w:t xml:space="preserve">forfeiture </w:t>
      </w:r>
      <w:r w:rsidRPr="00A020A9">
        <w:t xml:space="preserve">proposed in the </w:t>
      </w:r>
      <w:r w:rsidRPr="00C138D9">
        <w:rPr>
          <w:i/>
        </w:rPr>
        <w:t>NAL</w:t>
      </w:r>
      <w:r w:rsidRPr="00A020A9">
        <w:t xml:space="preserve">.  </w:t>
      </w:r>
      <w:r w:rsidR="003343CA" w:rsidRPr="00A020A9">
        <w:t xml:space="preserve"> </w:t>
      </w:r>
    </w:p>
    <w:p w:rsidR="003343CA" w:rsidRPr="00344C0B" w:rsidRDefault="003343CA" w:rsidP="003343CA">
      <w:pPr>
        <w:pStyle w:val="Heading1"/>
      </w:pPr>
      <w:r w:rsidRPr="00344C0B">
        <w:t>ORDERING CLAUSES</w:t>
      </w:r>
    </w:p>
    <w:p w:rsidR="003343CA" w:rsidRPr="009A2403" w:rsidRDefault="003343CA" w:rsidP="00F23F1E">
      <w:pPr>
        <w:pStyle w:val="ParaNum"/>
        <w:tabs>
          <w:tab w:val="clear" w:pos="1080"/>
        </w:tabs>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344C0B">
        <w:t>,</w:t>
      </w:r>
      <w:r w:rsidRPr="0007571D">
        <w:rPr>
          <w:rStyle w:val="FootnoteReference"/>
        </w:rPr>
        <w:footnoteReference w:id="25"/>
      </w:r>
      <w:r w:rsidRPr="0007571D">
        <w:t xml:space="preserve"> and Section 1.80 of the </w:t>
      </w:r>
      <w:r w:rsidR="00EF392E">
        <w:t xml:space="preserve">Commission’s </w:t>
      </w:r>
      <w:r w:rsidRPr="0007571D">
        <w:t>Rules,</w:t>
      </w:r>
      <w:r w:rsidRPr="0007571D">
        <w:rPr>
          <w:rStyle w:val="FootnoteReference"/>
        </w:rPr>
        <w:footnoteReference w:id="26"/>
      </w:r>
      <w:r w:rsidRPr="0007571D">
        <w:t xml:space="preserve"> </w:t>
      </w:r>
      <w:r w:rsidR="00437A10">
        <w:t>Andrew O.</w:t>
      </w:r>
      <w:r w:rsidR="00CF16B5">
        <w:t xml:space="preserve"> Turner</w:t>
      </w:r>
      <w:r w:rsidRPr="0007571D">
        <w:t xml:space="preserve"> </w:t>
      </w:r>
      <w:r w:rsidRPr="0007571D">
        <w:rPr>
          <w:b/>
        </w:rPr>
        <w:t>IS LIABLE FOR A MONETARY FORFEITURE</w:t>
      </w:r>
      <w:r w:rsidRPr="009A2403">
        <w:t xml:space="preserve"> in the amount of </w:t>
      </w:r>
      <w:r w:rsidR="00CF16B5">
        <w:t>fifteen thousand</w:t>
      </w:r>
      <w:r w:rsidRPr="0007571D">
        <w:t xml:space="preserve"> dollars ($</w:t>
      </w:r>
      <w:r w:rsidR="00CF16B5">
        <w:t>15,000</w:t>
      </w:r>
      <w:r w:rsidRPr="0007571D">
        <w:t xml:space="preserve">) for willfully </w:t>
      </w:r>
      <w:r w:rsidR="00CF16B5">
        <w:t>and repeatedly</w:t>
      </w:r>
      <w:r w:rsidR="00F23F1E">
        <w:t xml:space="preserve"> </w:t>
      </w:r>
      <w:r w:rsidRPr="0007571D">
        <w:t xml:space="preserve">violating </w:t>
      </w:r>
      <w:r w:rsidR="00CF16B5">
        <w:t>Section 301</w:t>
      </w:r>
      <w:r w:rsidRPr="0007571D">
        <w:t xml:space="preserve"> of the Act</w:t>
      </w:r>
      <w:r w:rsidRPr="009A2403">
        <w:t>.</w:t>
      </w:r>
      <w:r w:rsidR="00CF16B5">
        <w:rPr>
          <w:rStyle w:val="FootnoteReference"/>
        </w:rPr>
        <w:footnoteReference w:id="27"/>
      </w:r>
    </w:p>
    <w:p w:rsidR="003343CA" w:rsidRPr="00344C0B" w:rsidRDefault="003343CA" w:rsidP="00F23F1E">
      <w:pPr>
        <w:pStyle w:val="ParaNum"/>
        <w:tabs>
          <w:tab w:val="clear" w:pos="1080"/>
        </w:tabs>
      </w:pPr>
      <w:r w:rsidRPr="00344C0B">
        <w:t xml:space="preserve">Payment of the forfeiture </w:t>
      </w:r>
      <w:r w:rsidR="005502A8">
        <w:t xml:space="preserve">should </w:t>
      </w:r>
      <w:r w:rsidRPr="00344C0B">
        <w:t xml:space="preserve">be made in the manner provided for in Section 1.80 of the </w:t>
      </w:r>
      <w:r w:rsidR="00EF392E">
        <w:t xml:space="preserve">Commission’s </w:t>
      </w:r>
      <w:r w:rsidRPr="00344C0B">
        <w:t xml:space="preserve">Rules within </w:t>
      </w:r>
      <w:r w:rsidR="00225854">
        <w:t>thirty (30</w:t>
      </w:r>
      <w:r w:rsidRPr="00344C0B">
        <w:t>) calendar days after the release of this Forfeiture Order.</w:t>
      </w:r>
      <w:r w:rsidRPr="0007571D">
        <w:rPr>
          <w:rStyle w:val="FootnoteReference"/>
        </w:rPr>
        <w:footnoteReference w:id="28"/>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29"/>
      </w:r>
      <w:r w:rsidRPr="0007571D">
        <w:t xml:space="preserve">  </w:t>
      </w:r>
    </w:p>
    <w:p w:rsidR="003343CA" w:rsidRPr="00344C0B" w:rsidRDefault="00F23F1E" w:rsidP="00F23F1E">
      <w:pPr>
        <w:pStyle w:val="ParaNum"/>
        <w:tabs>
          <w:tab w:val="clear" w:pos="1080"/>
        </w:tabs>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00437A10">
        <w:rPr>
          <w:szCs w:val="22"/>
        </w:rPr>
        <w:t>.  Andrew O. Turner</w:t>
      </w:r>
      <w:r w:rsidRPr="006D73F2">
        <w:rPr>
          <w:szCs w:val="22"/>
        </w:rPr>
        <w:t xml:space="preserve"> shall send electronic notification </w:t>
      </w:r>
      <w:r>
        <w:rPr>
          <w:szCs w:val="22"/>
        </w:rPr>
        <w:t xml:space="preserve">of </w:t>
      </w:r>
      <w:r w:rsidRPr="006D73F2">
        <w:rPr>
          <w:szCs w:val="22"/>
        </w:rPr>
        <w:t xml:space="preserve">payment to </w:t>
      </w:r>
      <w:r w:rsidR="005502A8">
        <w:rPr>
          <w:szCs w:val="22"/>
        </w:rPr>
        <w:t xml:space="preserve">Steven Spaeth </w:t>
      </w:r>
      <w:r w:rsidRPr="006D73F2">
        <w:rPr>
          <w:szCs w:val="22"/>
        </w:rPr>
        <w:t xml:space="preserve">at </w:t>
      </w:r>
      <w:r w:rsidR="005502A8">
        <w:rPr>
          <w:szCs w:val="22"/>
        </w:rPr>
        <w:t>steven.spaeth</w:t>
      </w:r>
      <w:r w:rsidRPr="006D73F2">
        <w:rPr>
          <w:szCs w:val="22"/>
        </w:rPr>
        <w:t>@fcc.gov 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30"/>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rsidR="003343CA" w:rsidRPr="00344C0B" w:rsidRDefault="003343CA" w:rsidP="00363474">
      <w:pPr>
        <w:pStyle w:val="par1"/>
        <w:numPr>
          <w:ilvl w:val="0"/>
          <w:numId w:val="4"/>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rsidR="003343CA" w:rsidRPr="00344C0B" w:rsidRDefault="003343CA" w:rsidP="00363474">
      <w:pPr>
        <w:pStyle w:val="par1"/>
        <w:numPr>
          <w:ilvl w:val="0"/>
          <w:numId w:val="4"/>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rsidR="003343CA" w:rsidRPr="00344C0B" w:rsidRDefault="003343CA" w:rsidP="00363474">
      <w:pPr>
        <w:pStyle w:val="par1"/>
        <w:widowControl/>
        <w:numPr>
          <w:ilvl w:val="0"/>
          <w:numId w:val="4"/>
        </w:numPr>
        <w:tabs>
          <w:tab w:val="clear" w:pos="1440"/>
        </w:tabs>
        <w:spacing w:after="120"/>
        <w:ind w:left="1267"/>
        <w:rPr>
          <w:sz w:val="22"/>
        </w:rPr>
      </w:pPr>
      <w:r w:rsidRPr="00344C0B">
        <w:rPr>
          <w:sz w:val="22"/>
        </w:rPr>
        <w:t>Payment by credit card must be made by providing the required credit card information on FCC</w:t>
      </w:r>
      <w:r w:rsidR="00EF392E">
        <w:rPr>
          <w:sz w:val="22"/>
        </w:rPr>
        <w:t xml:space="preserve"> Form</w:t>
      </w:r>
      <w:r w:rsidRPr="00344C0B">
        <w:rPr>
          <w:sz w:val="22"/>
        </w:rPr>
        <w:t xml:space="preserve">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816F70" w:rsidRDefault="00E07797" w:rsidP="007C748A">
      <w:pPr>
        <w:pStyle w:val="par1"/>
        <w:widowControl/>
        <w:numPr>
          <w:ilvl w:val="0"/>
          <w:numId w:val="7"/>
        </w:numPr>
        <w:tabs>
          <w:tab w:val="clear" w:pos="1440"/>
        </w:tabs>
        <w:spacing w:after="120"/>
        <w:rPr>
          <w:sz w:val="22"/>
          <w:szCs w:val="22"/>
        </w:rPr>
      </w:pPr>
      <w:r>
        <w:rPr>
          <w:sz w:val="22"/>
          <w:szCs w:val="22"/>
        </w:rPr>
        <w:t xml:space="preserve">      </w:t>
      </w:r>
      <w:r w:rsidR="00F23F1E" w:rsidRPr="006D73F2">
        <w:rPr>
          <w:sz w:val="22"/>
          <w:szCs w:val="22"/>
        </w:rPr>
        <w:t xml:space="preserve">Any request for </w:t>
      </w:r>
      <w:r w:rsidR="00F23F1E">
        <w:rPr>
          <w:sz w:val="22"/>
          <w:szCs w:val="22"/>
        </w:rPr>
        <w:t xml:space="preserve">making </w:t>
      </w:r>
      <w:r w:rsidR="00F23F1E" w:rsidRPr="006D73F2">
        <w:rPr>
          <w:sz w:val="22"/>
          <w:szCs w:val="22"/>
        </w:rPr>
        <w:t xml:space="preserve">full payment </w:t>
      </w:r>
      <w:r w:rsidR="00F23F1E">
        <w:rPr>
          <w:sz w:val="22"/>
          <w:szCs w:val="22"/>
        </w:rPr>
        <w:t xml:space="preserve">over time </w:t>
      </w:r>
      <w:r w:rsidR="00F23F1E" w:rsidRPr="006D73F2">
        <w:rPr>
          <w:sz w:val="22"/>
          <w:szCs w:val="22"/>
        </w:rPr>
        <w:t>under an installment plan should be sent to</w:t>
      </w:r>
      <w:r w:rsidR="00F23F1E">
        <w:rPr>
          <w:sz w:val="22"/>
          <w:szCs w:val="22"/>
        </w:rPr>
        <w:t xml:space="preserve">: </w:t>
      </w:r>
      <w:r w:rsidR="00F23F1E" w:rsidRPr="006D73F2">
        <w:rPr>
          <w:sz w:val="22"/>
          <w:szCs w:val="22"/>
        </w:rPr>
        <w:t xml:space="preserve"> Chief Financial Officer – Financial Operations, Federal Communications Commission, 445 12th Street, SW, Room 1</w:t>
      </w:r>
      <w:r w:rsidR="00F23F1E" w:rsidRPr="006D73F2">
        <w:rPr>
          <w:sz w:val="22"/>
          <w:szCs w:val="22"/>
        </w:rPr>
        <w:noBreakHyphen/>
        <w:t>A625, Washington, D</w:t>
      </w:r>
      <w:r w:rsidR="00F23F1E">
        <w:rPr>
          <w:sz w:val="22"/>
          <w:szCs w:val="22"/>
        </w:rPr>
        <w:t>.</w:t>
      </w:r>
      <w:r w:rsidR="00F23F1E" w:rsidRPr="006D73F2">
        <w:rPr>
          <w:sz w:val="22"/>
          <w:szCs w:val="22"/>
        </w:rPr>
        <w:t>C</w:t>
      </w:r>
      <w:r w:rsidR="00F23F1E">
        <w:rPr>
          <w:sz w:val="22"/>
          <w:szCs w:val="22"/>
        </w:rPr>
        <w:t>.</w:t>
      </w:r>
      <w:r w:rsidR="00F23F1E" w:rsidRPr="006D73F2">
        <w:rPr>
          <w:sz w:val="22"/>
          <w:szCs w:val="22"/>
        </w:rPr>
        <w:t xml:space="preserve"> 20554.</w:t>
      </w:r>
      <w:r w:rsidR="00F23F1E" w:rsidRPr="006D73F2">
        <w:rPr>
          <w:rStyle w:val="FootnoteReference"/>
          <w:sz w:val="22"/>
          <w:szCs w:val="22"/>
        </w:rPr>
        <w:footnoteReference w:id="31"/>
      </w:r>
      <w:r w:rsidR="00F23F1E" w:rsidRPr="006D73F2">
        <w:rPr>
          <w:sz w:val="22"/>
          <w:szCs w:val="22"/>
        </w:rPr>
        <w:t xml:space="preserve">  </w:t>
      </w:r>
      <w:r w:rsidR="00F23F1E">
        <w:rPr>
          <w:sz w:val="22"/>
          <w:szCs w:val="22"/>
        </w:rPr>
        <w:t>Q</w:t>
      </w:r>
      <w:r w:rsidR="00F23F1E" w:rsidRPr="006D73F2">
        <w:rPr>
          <w:sz w:val="22"/>
          <w:szCs w:val="22"/>
        </w:rPr>
        <w:t>uestions regarding payment procedures</w:t>
      </w:r>
      <w:r w:rsidR="00F23F1E">
        <w:rPr>
          <w:sz w:val="22"/>
          <w:szCs w:val="22"/>
        </w:rPr>
        <w:t xml:space="preserve"> </w:t>
      </w:r>
      <w:r w:rsidR="00F23F1E" w:rsidRPr="006D73F2">
        <w:rPr>
          <w:sz w:val="22"/>
          <w:szCs w:val="22"/>
        </w:rPr>
        <w:t xml:space="preserve">should </w:t>
      </w:r>
      <w:r w:rsidR="00F23F1E">
        <w:rPr>
          <w:sz w:val="22"/>
          <w:szCs w:val="22"/>
        </w:rPr>
        <w:t xml:space="preserve">be directed to </w:t>
      </w:r>
      <w:r w:rsidR="00F23F1E" w:rsidRPr="006D73F2">
        <w:rPr>
          <w:sz w:val="22"/>
          <w:szCs w:val="22"/>
        </w:rPr>
        <w:t xml:space="preserve">the Financial Operations Group Help Desk by telephone, 1-877-480-3201, or by e-mail, </w:t>
      </w:r>
      <w:r w:rsidR="00F23F1E" w:rsidRPr="004C4397">
        <w:t>ARINQUIRIES@</w:t>
      </w:r>
      <w:r w:rsidR="00F23F1E" w:rsidRPr="00B27008">
        <w:rPr>
          <w:sz w:val="22"/>
          <w:szCs w:val="22"/>
        </w:rPr>
        <w:t>fcc.gov</w:t>
      </w:r>
      <w:r w:rsidR="00F23F1E" w:rsidRPr="00373669">
        <w:rPr>
          <w:sz w:val="22"/>
          <w:szCs w:val="22"/>
        </w:rPr>
        <w:t>.</w:t>
      </w:r>
    </w:p>
    <w:p w:rsidR="003343CA" w:rsidRPr="0007571D" w:rsidRDefault="00171C02" w:rsidP="007C748A">
      <w:pPr>
        <w:pStyle w:val="ParaNum"/>
        <w:keepNext/>
        <w:widowControl/>
        <w:numPr>
          <w:ilvl w:val="0"/>
          <w:numId w:val="7"/>
        </w:numPr>
      </w:pPr>
      <w:r>
        <w:rPr>
          <w:b/>
        </w:rPr>
        <w:t xml:space="preserve">       </w:t>
      </w:r>
      <w:r w:rsidR="003343CA" w:rsidRPr="00344C0B">
        <w:rPr>
          <w:b/>
        </w:rPr>
        <w:t>IT IS FURTHER ORDERED</w:t>
      </w:r>
      <w:r w:rsidR="003343CA" w:rsidRPr="00344C0B">
        <w:t xml:space="preserve"> that a copy of this Forfeiture Order </w:t>
      </w:r>
      <w:r w:rsidR="00F23F1E" w:rsidRPr="004749BE">
        <w:rPr>
          <w:color w:val="000000" w:themeColor="text1"/>
          <w:szCs w:val="22"/>
        </w:rPr>
        <w:t xml:space="preserve">shall be sent by first class mail and certified mail, return receipt requested, to </w:t>
      </w:r>
      <w:r w:rsidR="00437A10">
        <w:rPr>
          <w:color w:val="000000" w:themeColor="text1"/>
          <w:szCs w:val="22"/>
        </w:rPr>
        <w:t>Andrew O. Turner</w:t>
      </w:r>
      <w:r w:rsidR="0064090C">
        <w:rPr>
          <w:color w:val="000000" w:themeColor="text1"/>
          <w:szCs w:val="22"/>
        </w:rPr>
        <w:t xml:space="preserve"> at his address of record</w:t>
      </w:r>
      <w:r w:rsidR="00F23F1E" w:rsidRPr="004749BE">
        <w:rPr>
          <w:color w:val="000000" w:themeColor="text1"/>
          <w:szCs w:val="22"/>
        </w:rPr>
        <w:t>.</w:t>
      </w:r>
    </w:p>
    <w:p w:rsidR="003343CA" w:rsidRPr="00344C0B" w:rsidRDefault="003343CA" w:rsidP="003343CA"/>
    <w:p w:rsidR="003343CA" w:rsidRPr="00344C0B" w:rsidRDefault="003343CA" w:rsidP="003343CA"/>
    <w:p w:rsidR="003343CA" w:rsidRPr="00344C0B" w:rsidRDefault="003343CA" w:rsidP="00437A10">
      <w:pPr>
        <w:ind w:left="4410"/>
      </w:pPr>
      <w:r w:rsidRPr="00344C0B">
        <w:t>FEDERAL COMMUNICATIONS COMMISSION</w:t>
      </w:r>
    </w:p>
    <w:p w:rsidR="003343CA" w:rsidRPr="00344C0B" w:rsidRDefault="003343CA" w:rsidP="0007571D">
      <w:pPr>
        <w:ind w:left="4410"/>
      </w:pPr>
    </w:p>
    <w:p w:rsidR="003343CA" w:rsidRPr="00344C0B" w:rsidRDefault="003343CA" w:rsidP="0007571D">
      <w:pPr>
        <w:ind w:left="4410"/>
      </w:pPr>
    </w:p>
    <w:p w:rsidR="003343CA" w:rsidRPr="00344C0B" w:rsidRDefault="003343CA" w:rsidP="0007571D">
      <w:pPr>
        <w:ind w:left="4410"/>
      </w:pPr>
    </w:p>
    <w:p w:rsidR="009B0223" w:rsidRPr="006D73F2" w:rsidRDefault="00437A10" w:rsidP="009B0223">
      <w:pPr>
        <w:ind w:left="4410"/>
        <w:rPr>
          <w:szCs w:val="22"/>
        </w:rPr>
      </w:pPr>
      <w:r>
        <w:rPr>
          <w:szCs w:val="22"/>
        </w:rPr>
        <w:t>Ronald Ramage</w:t>
      </w:r>
    </w:p>
    <w:p w:rsidR="003343CA" w:rsidRDefault="00437A10" w:rsidP="00437A10">
      <w:pPr>
        <w:ind w:left="4410"/>
        <w:rPr>
          <w:szCs w:val="22"/>
        </w:rPr>
      </w:pPr>
      <w:r>
        <w:rPr>
          <w:szCs w:val="22"/>
        </w:rPr>
        <w:t>Regional Director</w:t>
      </w:r>
    </w:p>
    <w:p w:rsidR="00437A10" w:rsidRDefault="00437A10" w:rsidP="00437A10">
      <w:pPr>
        <w:ind w:left="4410"/>
        <w:rPr>
          <w:szCs w:val="22"/>
        </w:rPr>
      </w:pPr>
      <w:r>
        <w:rPr>
          <w:szCs w:val="22"/>
        </w:rPr>
        <w:t>South Central Region</w:t>
      </w:r>
    </w:p>
    <w:p w:rsidR="00437A10" w:rsidRPr="00437A10" w:rsidRDefault="00437A10" w:rsidP="00437A10">
      <w:pPr>
        <w:ind w:left="4410"/>
        <w:rPr>
          <w:szCs w:val="22"/>
        </w:rPr>
      </w:pPr>
      <w:r>
        <w:rPr>
          <w:szCs w:val="22"/>
        </w:rPr>
        <w:t>Enforcement Bureau</w:t>
      </w:r>
      <w:r w:rsidR="00C228DE">
        <w:rPr>
          <w:szCs w:val="22"/>
        </w:rPr>
        <w:t xml:space="preserve">   </w:t>
      </w:r>
    </w:p>
    <w:p w:rsidR="00E273E3" w:rsidRDefault="00E273E3" w:rsidP="003343CA">
      <w:pPr>
        <w:pStyle w:val="ParaNum"/>
        <w:numPr>
          <w:ilvl w:val="0"/>
          <w:numId w:val="0"/>
        </w:numPr>
        <w:ind w:left="720"/>
        <w:rPr>
          <w:szCs w:val="22"/>
        </w:rPr>
      </w:pPr>
    </w:p>
    <w:p w:rsidR="007C748A" w:rsidRDefault="007C748A" w:rsidP="003343CA">
      <w:pPr>
        <w:pStyle w:val="ParaNum"/>
        <w:numPr>
          <w:ilvl w:val="0"/>
          <w:numId w:val="0"/>
        </w:numPr>
        <w:ind w:left="720"/>
        <w:rPr>
          <w:szCs w:val="22"/>
        </w:rPr>
      </w:pPr>
    </w:p>
    <w:sectPr w:rsidR="007C748A" w:rsidSect="00E325F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A6" w:rsidRDefault="001A19A6">
      <w:pPr>
        <w:spacing w:line="20" w:lineRule="exact"/>
      </w:pPr>
    </w:p>
  </w:endnote>
  <w:endnote w:type="continuationSeparator" w:id="0">
    <w:p w:rsidR="001A19A6" w:rsidRDefault="001A19A6">
      <w:r>
        <w:t xml:space="preserve"> </w:t>
      </w:r>
    </w:p>
  </w:endnote>
  <w:endnote w:type="continuationNotice" w:id="1">
    <w:p w:rsidR="001A19A6" w:rsidRDefault="001A19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D15D70">
      <w:rPr>
        <w:noProof/>
      </w:rPr>
      <w:t>1</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2" w:rsidRDefault="00715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A6" w:rsidRDefault="001A19A6">
      <w:r>
        <w:separator/>
      </w:r>
    </w:p>
  </w:footnote>
  <w:footnote w:type="continuationSeparator" w:id="0">
    <w:p w:rsidR="001A19A6" w:rsidRDefault="001A19A6">
      <w:pPr>
        <w:rPr>
          <w:sz w:val="20"/>
        </w:rPr>
      </w:pPr>
      <w:r>
        <w:rPr>
          <w:sz w:val="20"/>
        </w:rPr>
        <w:t xml:space="preserve">(Continued from previous page)  </w:t>
      </w:r>
      <w:r>
        <w:rPr>
          <w:sz w:val="20"/>
        </w:rPr>
        <w:separator/>
      </w:r>
    </w:p>
  </w:footnote>
  <w:footnote w:type="continuationNotice" w:id="1">
    <w:p w:rsidR="001A19A6" w:rsidRDefault="001A19A6">
      <w:pPr>
        <w:rPr>
          <w:sz w:val="20"/>
        </w:rPr>
      </w:pPr>
      <w:r>
        <w:rPr>
          <w:sz w:val="20"/>
        </w:rPr>
        <w:t>(continued….)</w:t>
      </w:r>
    </w:p>
  </w:footnote>
  <w:footnote w:id="2">
    <w:p w:rsidR="00C93AB5" w:rsidRPr="00344C0B" w:rsidRDefault="00C93AB5" w:rsidP="008B02C1">
      <w:pPr>
        <w:pStyle w:val="FootnoteText"/>
      </w:pPr>
      <w:r w:rsidRPr="00344C0B">
        <w:rPr>
          <w:rStyle w:val="FootnoteReference"/>
        </w:rPr>
        <w:footnoteRef/>
      </w:r>
      <w:r w:rsidRPr="00344C0B">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r w:rsidR="007C04C6">
        <w:rPr>
          <w:i/>
        </w:rPr>
        <w:t>Andrew O. Turner</w:t>
      </w:r>
      <w:r w:rsidR="0031481D">
        <w:rPr>
          <w:i/>
        </w:rPr>
        <w:t>, Miami Gardens, FL,</w:t>
      </w:r>
      <w:r w:rsidRPr="0007571D">
        <w:rPr>
          <w:i/>
        </w:rPr>
        <w:t xml:space="preserve"> </w:t>
      </w:r>
      <w:r>
        <w:t xml:space="preserve">Notice of Apparent Liability for Forfeiture, </w:t>
      </w:r>
      <w:r w:rsidR="00035B51">
        <w:t xml:space="preserve">30 FCC Rcd 13403 </w:t>
      </w:r>
      <w:r w:rsidR="008B02C1">
        <w:t>(Enf. Bur.</w:t>
      </w:r>
      <w:r w:rsidR="00035B51">
        <w:t>, South Central Region</w:t>
      </w:r>
      <w:r w:rsidR="008B02C1">
        <w:t>, 2015)</w:t>
      </w:r>
      <w:r w:rsidR="0031481D">
        <w:t xml:space="preserve"> (</w:t>
      </w:r>
      <w:r w:rsidR="0031481D">
        <w:rPr>
          <w:i/>
        </w:rPr>
        <w:t>NAL</w:t>
      </w:r>
      <w:r w:rsidR="0031481D">
        <w:t>)</w:t>
      </w:r>
      <w:r w:rsidR="00F52BF5">
        <w:t>.</w:t>
      </w:r>
    </w:p>
  </w:footnote>
  <w:footnote w:id="3">
    <w:p w:rsidR="00C93AB5" w:rsidRPr="00C93AB5" w:rsidRDefault="00C93AB5">
      <w:pPr>
        <w:pStyle w:val="FootnoteText"/>
      </w:pPr>
      <w:r>
        <w:rPr>
          <w:rStyle w:val="FootnoteReference"/>
        </w:rPr>
        <w:footnoteRef/>
      </w:r>
      <w:r>
        <w:t xml:space="preserve"> </w:t>
      </w:r>
      <w:r>
        <w:rPr>
          <w:i/>
        </w:rPr>
        <w:t>See</w:t>
      </w:r>
      <w:r>
        <w:t xml:space="preserve"> </w:t>
      </w:r>
      <w:r w:rsidRPr="007B2F69">
        <w:rPr>
          <w:i/>
          <w:iCs/>
          <w:color w:val="010101"/>
        </w:rPr>
        <w:t>Andrew O. Turner</w:t>
      </w:r>
      <w:r w:rsidRPr="007B2F69">
        <w:rPr>
          <w:color w:val="010101"/>
        </w:rPr>
        <w:t>, Notice of Unlic</w:t>
      </w:r>
      <w:r>
        <w:rPr>
          <w:color w:val="010101"/>
        </w:rPr>
        <w:t>ensed Operation (Enf. Bur. Mar.</w:t>
      </w:r>
      <w:r w:rsidRPr="007B2F69">
        <w:rPr>
          <w:color w:val="010101"/>
        </w:rPr>
        <w:t xml:space="preserve"> 7, 2015) (on file in EB-FIELDSCR-15-00018593)</w:t>
      </w:r>
      <w:r>
        <w:t xml:space="preserve">; </w:t>
      </w:r>
      <w:r w:rsidRPr="007B2F69">
        <w:rPr>
          <w:i/>
          <w:iCs/>
          <w:color w:val="010101"/>
        </w:rPr>
        <w:t>Andrew Turner</w:t>
      </w:r>
      <w:r>
        <w:rPr>
          <w:i/>
          <w:iCs/>
          <w:color w:val="010101"/>
        </w:rPr>
        <w:t>/WBIG</w:t>
      </w:r>
      <w:r w:rsidRPr="007B2F69">
        <w:rPr>
          <w:i/>
          <w:iCs/>
          <w:color w:val="010101"/>
        </w:rPr>
        <w:t xml:space="preserve"> Station</w:t>
      </w:r>
      <w:r>
        <w:rPr>
          <w:color w:val="010101"/>
        </w:rPr>
        <w:t xml:space="preserve">, </w:t>
      </w:r>
      <w:r w:rsidRPr="007B2F69">
        <w:rPr>
          <w:color w:val="010101"/>
        </w:rPr>
        <w:t>Notice of Unlicen</w:t>
      </w:r>
      <w:r>
        <w:rPr>
          <w:color w:val="010101"/>
        </w:rPr>
        <w:t xml:space="preserve">sed Operation (Enf. Bur. Aug. </w:t>
      </w:r>
      <w:r w:rsidRPr="007B2F69">
        <w:rPr>
          <w:color w:val="010101"/>
        </w:rPr>
        <w:t>17, 2015) (on file in EB-FIELDSCR-15-00018593)</w:t>
      </w:r>
      <w:r w:rsidRPr="007B2F69">
        <w:t>.</w:t>
      </w:r>
    </w:p>
  </w:footnote>
  <w:footnote w:id="4">
    <w:p w:rsidR="00872491" w:rsidRPr="00D539FF" w:rsidRDefault="00872491" w:rsidP="00872491">
      <w:pPr>
        <w:pStyle w:val="FootnoteText"/>
      </w:pPr>
      <w:r w:rsidRPr="00D539FF">
        <w:rPr>
          <w:rStyle w:val="FootnoteReference"/>
        </w:rPr>
        <w:footnoteRef/>
      </w:r>
      <w:r w:rsidRPr="00D539FF">
        <w:t xml:space="preserve"> 47 U.S.C. § 301. </w:t>
      </w:r>
    </w:p>
  </w:footnote>
  <w:footnote w:id="5">
    <w:p w:rsidR="00E273E3" w:rsidRPr="00344C0B" w:rsidRDefault="00E273E3">
      <w:pPr>
        <w:pStyle w:val="FootnoteText"/>
      </w:pPr>
      <w:r w:rsidRPr="00344C0B">
        <w:rPr>
          <w:rStyle w:val="FootnoteReference"/>
        </w:rPr>
        <w:footnoteRef/>
      </w:r>
      <w:r w:rsidRPr="00344C0B">
        <w:t xml:space="preserve"> </w:t>
      </w:r>
      <w:r w:rsidR="005526C8" w:rsidRPr="005526C8">
        <w:rPr>
          <w:i/>
        </w:rPr>
        <w:t>Andrew O. Turner</w:t>
      </w:r>
      <w:r w:rsidR="000B29ED" w:rsidRPr="0007571D">
        <w:t xml:space="preserve">, </w:t>
      </w:r>
      <w:r w:rsidRPr="0007571D">
        <w:t>Response to Notice of Apparent Liability (</w:t>
      </w:r>
      <w:r w:rsidR="005526C8">
        <w:t>Dec</w:t>
      </w:r>
      <w:r w:rsidR="00B93944">
        <w:t>.</w:t>
      </w:r>
      <w:r w:rsidR="005526C8">
        <w:t xml:space="preserve"> 16, 2015</w:t>
      </w:r>
      <w:r w:rsidRPr="0007571D">
        <w:t xml:space="preserve">) (on file in </w:t>
      </w:r>
      <w:r w:rsidRPr="00344C0B">
        <w:rPr>
          <w:spacing w:val="-2"/>
        </w:rPr>
        <w:t>EB</w:t>
      </w:r>
      <w:r w:rsidR="005526C8">
        <w:rPr>
          <w:color w:val="010101"/>
        </w:rPr>
        <w:t>-</w:t>
      </w:r>
      <w:r w:rsidR="005526C8" w:rsidRPr="007B2F69">
        <w:rPr>
          <w:color w:val="010101"/>
        </w:rPr>
        <w:t>FIELDSCR-15-00018593</w:t>
      </w:r>
      <w:r w:rsidRPr="0007571D">
        <w:t xml:space="preserve">) (NAL Response).    </w:t>
      </w:r>
    </w:p>
  </w:footnote>
  <w:footnote w:id="6">
    <w:p w:rsidR="004F0204" w:rsidRPr="004F0204" w:rsidRDefault="004F0204">
      <w:pPr>
        <w:pStyle w:val="FootnoteText"/>
      </w:pPr>
      <w:r>
        <w:rPr>
          <w:rStyle w:val="FootnoteReference"/>
        </w:rPr>
        <w:footnoteRef/>
      </w:r>
      <w:r>
        <w:t xml:space="preserve"> </w:t>
      </w:r>
      <w:r>
        <w:rPr>
          <w:i/>
        </w:rPr>
        <w:t>Id.</w:t>
      </w:r>
      <w:r>
        <w:t xml:space="preserve"> at 1.</w:t>
      </w:r>
    </w:p>
  </w:footnote>
  <w:footnote w:id="7">
    <w:p w:rsidR="00F115E0" w:rsidRPr="00F115E0" w:rsidRDefault="00F115E0">
      <w:pPr>
        <w:pStyle w:val="FootnoteText"/>
      </w:pPr>
      <w:r>
        <w:rPr>
          <w:rStyle w:val="FootnoteReference"/>
        </w:rPr>
        <w:footnoteRef/>
      </w:r>
      <w:r>
        <w:t xml:space="preserve"> </w:t>
      </w:r>
      <w:r>
        <w:rPr>
          <w:i/>
        </w:rPr>
        <w:t>Id.</w:t>
      </w:r>
      <w:r>
        <w:t xml:space="preserve">  </w:t>
      </w:r>
    </w:p>
  </w:footnote>
  <w:footnote w:id="8">
    <w:p w:rsidR="00BE4853" w:rsidRPr="00BE4853" w:rsidRDefault="00BE4853">
      <w:pPr>
        <w:pStyle w:val="FootnoteText"/>
      </w:pPr>
      <w:r>
        <w:rPr>
          <w:rStyle w:val="FootnoteReference"/>
        </w:rPr>
        <w:footnoteRef/>
      </w:r>
      <w:r>
        <w:t xml:space="preserve"> </w:t>
      </w:r>
      <w:r>
        <w:rPr>
          <w:i/>
        </w:rPr>
        <w:t>Id.</w:t>
      </w:r>
    </w:p>
  </w:footnote>
  <w:footnote w:id="9">
    <w:p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10">
    <w:p w:rsidR="00E273E3" w:rsidRPr="00344C0B" w:rsidRDefault="00E273E3" w:rsidP="006168A4">
      <w:pPr>
        <w:pStyle w:val="FootnoteText"/>
      </w:pPr>
      <w:r w:rsidRPr="00344C0B">
        <w:rPr>
          <w:rStyle w:val="FootnoteReference"/>
        </w:rPr>
        <w:footnoteRef/>
      </w:r>
      <w:r w:rsidRPr="00344C0B">
        <w:t xml:space="preserve"> 47 C.F.R. § 1.80.</w:t>
      </w:r>
    </w:p>
  </w:footnote>
  <w:footnote w:id="11">
    <w:p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2">
    <w:p w:rsidR="00E273E3" w:rsidRPr="00344C0B" w:rsidRDefault="00E273E3" w:rsidP="006168A4">
      <w:pPr>
        <w:pStyle w:val="FootnoteText"/>
      </w:pPr>
      <w:r w:rsidRPr="00344C0B">
        <w:rPr>
          <w:rStyle w:val="FootnoteReference"/>
        </w:rPr>
        <w:footnoteRef/>
      </w:r>
      <w:r w:rsidRPr="00344C0B">
        <w:t xml:space="preserve"> 47 U.S.C. § 503(b)(2)(E).</w:t>
      </w:r>
    </w:p>
  </w:footnote>
  <w:footnote w:id="13">
    <w:p w:rsidR="00536E59" w:rsidRDefault="00536E59" w:rsidP="00536E59">
      <w:pPr>
        <w:pStyle w:val="FootnoteText"/>
      </w:pPr>
      <w:r>
        <w:rPr>
          <w:rStyle w:val="FootnoteReference"/>
        </w:rPr>
        <w:footnoteRef/>
      </w:r>
      <w:r>
        <w:t xml:space="preserve"> </w:t>
      </w:r>
      <w:r w:rsidRPr="00D539FF">
        <w:t>NAL Response</w:t>
      </w:r>
      <w:r>
        <w:rPr>
          <w:i/>
        </w:rPr>
        <w:t xml:space="preserve"> </w:t>
      </w:r>
      <w:r>
        <w:t xml:space="preserve">at 1. </w:t>
      </w:r>
    </w:p>
  </w:footnote>
  <w:footnote w:id="14">
    <w:p w:rsidR="00536E59" w:rsidRDefault="00536E59" w:rsidP="00536E59">
      <w:pPr>
        <w:pStyle w:val="FootnoteText"/>
      </w:pPr>
      <w:r>
        <w:rPr>
          <w:rStyle w:val="FootnoteReference"/>
        </w:rPr>
        <w:footnoteRef/>
      </w:r>
      <w:r>
        <w:t xml:space="preserve"> 47 U.S.C. § 503(b).</w:t>
      </w:r>
    </w:p>
  </w:footnote>
  <w:footnote w:id="15">
    <w:p w:rsidR="00536E59" w:rsidRDefault="00536E59" w:rsidP="00536E59">
      <w:pPr>
        <w:pStyle w:val="FootnoteText"/>
      </w:pPr>
      <w:r>
        <w:rPr>
          <w:rStyle w:val="FootnoteReference"/>
        </w:rPr>
        <w:footnoteRef/>
      </w:r>
      <w:r>
        <w:t xml:space="preserve"> 47 U.S.C. § 312(f)(1).</w:t>
      </w:r>
    </w:p>
  </w:footnote>
  <w:footnote w:id="16">
    <w:p w:rsidR="00536E59" w:rsidRDefault="00536E59" w:rsidP="00536E59">
      <w:pPr>
        <w:pStyle w:val="FootnoteText"/>
      </w:pPr>
      <w:r>
        <w:rPr>
          <w:rStyle w:val="FootnoteReference"/>
        </w:rPr>
        <w:footnoteRef/>
      </w:r>
      <w:r>
        <w:t xml:space="preserve"> H.R. Rep. No. 97-765, 97</w:t>
      </w:r>
      <w:r>
        <w:rPr>
          <w:vertAlign w:val="superscript"/>
        </w:rPr>
        <w:t>th</w:t>
      </w:r>
      <w:r>
        <w:t xml:space="preserve"> Cong. 2d Sess. 51 (1982) (“This provision [inserted in section 312] defines the terms ‘willful’ and ‘repeated’ for purposes of section 312,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312 and 503, and are consistent with the Commission’s application of those terms . . . . ”).</w:t>
      </w:r>
    </w:p>
  </w:footnote>
  <w:footnote w:id="17">
    <w:p w:rsidR="00536E59" w:rsidRDefault="00536E59" w:rsidP="00536E59">
      <w:pPr>
        <w:pStyle w:val="FootnoteText"/>
      </w:pPr>
      <w:r>
        <w:rPr>
          <w:rStyle w:val="FootnoteReference"/>
        </w:rPr>
        <w:footnoteRef/>
      </w:r>
      <w:r>
        <w:t xml:space="preserve"> </w:t>
      </w:r>
      <w:r>
        <w:rPr>
          <w:i/>
        </w:rPr>
        <w:t>See, e.g., S. Cal. Broad. Co.</w:t>
      </w:r>
      <w:r>
        <w:t>, Memorandum Opinion and Order, 6 FCC Rcd 4387, 4388</w:t>
      </w:r>
      <w:r w:rsidR="008C63CF">
        <w:t>, para. 5</w:t>
      </w:r>
      <w:r>
        <w:t xml:space="preserve"> (1991).</w:t>
      </w:r>
    </w:p>
  </w:footnote>
  <w:footnote w:id="18">
    <w:p w:rsidR="00536E59" w:rsidRPr="00474D57" w:rsidRDefault="00536E59" w:rsidP="00536E59">
      <w:pPr>
        <w:pStyle w:val="FootnoteText"/>
      </w:pPr>
      <w:r>
        <w:rPr>
          <w:rStyle w:val="FootnoteReference"/>
        </w:rPr>
        <w:footnoteRef/>
      </w:r>
      <w:r>
        <w:t xml:space="preserve"> </w:t>
      </w:r>
      <w:r w:rsidRPr="00474D57">
        <w:rPr>
          <w:i/>
        </w:rPr>
        <w:t xml:space="preserve">See S. Cal Broad. Co., </w:t>
      </w:r>
      <w:r w:rsidRPr="00474D57">
        <w:t>6 FCC Rcd at 4388, para.</w:t>
      </w:r>
      <w:r w:rsidR="00AF4E4E">
        <w:t xml:space="preserve"> </w:t>
      </w:r>
      <w:r w:rsidRPr="00474D57">
        <w:t xml:space="preserve">5;  </w:t>
      </w:r>
      <w:r w:rsidRPr="00474D57">
        <w:rPr>
          <w:i/>
        </w:rPr>
        <w:t>see also Infinity Broadcasting Corporation of Florida</w:t>
      </w:r>
      <w:r w:rsidRPr="00474D57">
        <w:t>, Order on Review, 24 FCC Rcd 4270, 427</w:t>
      </w:r>
      <w:r>
        <w:t>9</w:t>
      </w:r>
      <w:r w:rsidRPr="00474D57">
        <w:t>, para. 25</w:t>
      </w:r>
      <w:r>
        <w:t xml:space="preserve"> (2009)</w:t>
      </w:r>
      <w:r w:rsidRPr="00474D57">
        <w:t>.</w:t>
      </w:r>
    </w:p>
  </w:footnote>
  <w:footnote w:id="19">
    <w:p w:rsidR="00DB0D6F" w:rsidRDefault="00DB0D6F" w:rsidP="00DB0D6F">
      <w:pPr>
        <w:pStyle w:val="FootnoteText"/>
      </w:pPr>
      <w:r>
        <w:rPr>
          <w:rStyle w:val="FootnoteReference"/>
        </w:rPr>
        <w:footnoteRef/>
      </w:r>
      <w:r>
        <w:t xml:space="preserve"> NAL Response at 1.     </w:t>
      </w:r>
    </w:p>
  </w:footnote>
  <w:footnote w:id="20">
    <w:p w:rsidR="00DB0D6F" w:rsidRDefault="00DB0D6F" w:rsidP="007A6C08">
      <w:pPr>
        <w:autoSpaceDE w:val="0"/>
        <w:autoSpaceDN w:val="0"/>
        <w:adjustRightInd w:val="0"/>
        <w:rPr>
          <w:sz w:val="20"/>
        </w:rPr>
      </w:pPr>
      <w:r>
        <w:rPr>
          <w:rStyle w:val="FootnoteReference"/>
        </w:rPr>
        <w:footnoteRef/>
      </w:r>
      <w:r>
        <w:t xml:space="preserve"> </w:t>
      </w:r>
      <w:r w:rsidRPr="00CA2FAC">
        <w:rPr>
          <w:i/>
          <w:color w:val="252525"/>
          <w:sz w:val="20"/>
        </w:rPr>
        <w:t>MRJ, Inc., WWYO Pineville, West Virginia</w:t>
      </w:r>
      <w:r w:rsidRPr="00CA2FAC">
        <w:rPr>
          <w:color w:val="252525"/>
          <w:sz w:val="20"/>
        </w:rPr>
        <w:t xml:space="preserve">, </w:t>
      </w:r>
      <w:r w:rsidRPr="00CA2FAC">
        <w:rPr>
          <w:color w:val="000000"/>
          <w:sz w:val="20"/>
        </w:rPr>
        <w:t>Memorandum Opinion and Order, 19 FCC Rcd 8528, 8530, para. 10 (Enf. Bur., 2004) (“The fact that MRJ may perform useful service in the community does not mitigate its violations</w:t>
      </w:r>
      <w:r>
        <w:rPr>
          <w:color w:val="000000"/>
          <w:sz w:val="20"/>
        </w:rPr>
        <w:t>”</w:t>
      </w:r>
      <w:r w:rsidRPr="00CA2FAC">
        <w:rPr>
          <w:color w:val="000000"/>
          <w:sz w:val="20"/>
        </w:rPr>
        <w:t>)</w:t>
      </w:r>
      <w:r>
        <w:rPr>
          <w:color w:val="000000"/>
          <w:sz w:val="20"/>
        </w:rPr>
        <w:t xml:space="preserve">, </w:t>
      </w:r>
      <w:r>
        <w:rPr>
          <w:i/>
          <w:color w:val="000000"/>
          <w:sz w:val="20"/>
        </w:rPr>
        <w:t xml:space="preserve">cited in </w:t>
      </w:r>
      <w:r w:rsidRPr="00CA2FAC">
        <w:rPr>
          <w:i/>
          <w:color w:val="252525"/>
          <w:sz w:val="20"/>
        </w:rPr>
        <w:t>Michael S. Selvanto</w:t>
      </w:r>
      <w:r w:rsidRPr="00CA2FAC">
        <w:rPr>
          <w:color w:val="252525"/>
          <w:sz w:val="20"/>
        </w:rPr>
        <w:t xml:space="preserve">, </w:t>
      </w:r>
      <w:r w:rsidRPr="00CA2FAC">
        <w:rPr>
          <w:color w:val="000000"/>
          <w:sz w:val="20"/>
        </w:rPr>
        <w:t>Forfeiture Order, 19 FCC Rcd 15337, 15339, para. 10 (Enf. Bur., 2004) (</w:t>
      </w:r>
      <w:r w:rsidRPr="00CA2FAC">
        <w:rPr>
          <w:i/>
          <w:color w:val="000000"/>
          <w:sz w:val="20"/>
        </w:rPr>
        <w:t>Selvanto Forfeiture Order</w:t>
      </w:r>
      <w:r w:rsidRPr="00CA2FAC">
        <w:rPr>
          <w:color w:val="000000"/>
          <w:sz w:val="20"/>
        </w:rPr>
        <w:t>).</w:t>
      </w:r>
      <w:r>
        <w:rPr>
          <w:color w:val="000000"/>
          <w:sz w:val="20"/>
        </w:rPr>
        <w:t xml:space="preserve">  </w:t>
      </w:r>
      <w:r w:rsidRPr="00DB29CF">
        <w:rPr>
          <w:i/>
          <w:iCs/>
          <w:sz w:val="20"/>
        </w:rPr>
        <w:t>See</w:t>
      </w:r>
      <w:r>
        <w:rPr>
          <w:i/>
          <w:iCs/>
          <w:sz w:val="20"/>
        </w:rPr>
        <w:t xml:space="preserve"> also</w:t>
      </w:r>
      <w:r w:rsidRPr="00DB29CF">
        <w:rPr>
          <w:i/>
          <w:iCs/>
          <w:sz w:val="20"/>
        </w:rPr>
        <w:t xml:space="preserve"> Radio Beaumont, Inc.</w:t>
      </w:r>
      <w:r w:rsidRPr="00DB29CF">
        <w:rPr>
          <w:sz w:val="20"/>
        </w:rPr>
        <w:t>, Memorandum Opinion and Order, 50 FCC 2d 904, 904, paras. 3-4 (1975)</w:t>
      </w:r>
      <w:r>
        <w:rPr>
          <w:sz w:val="20"/>
        </w:rPr>
        <w:t xml:space="preserve"> (broadcasters are expected to serve their communities as well as comply with the Commission’s rules)</w:t>
      </w:r>
      <w:r w:rsidRPr="00DB29CF">
        <w:rPr>
          <w:sz w:val="20"/>
        </w:rPr>
        <w:t xml:space="preserve">, </w:t>
      </w:r>
      <w:r w:rsidRPr="00DB29CF">
        <w:rPr>
          <w:i/>
          <w:sz w:val="20"/>
        </w:rPr>
        <w:t>cited in</w:t>
      </w:r>
      <w:r w:rsidRPr="00DB29CF">
        <w:rPr>
          <w:sz w:val="20"/>
        </w:rPr>
        <w:t xml:space="preserve"> </w:t>
      </w:r>
      <w:r w:rsidRPr="00DB29CF">
        <w:rPr>
          <w:i/>
          <w:sz w:val="20"/>
        </w:rPr>
        <w:t>Texas Soaring Association, Inc. Midlothian, Texas</w:t>
      </w:r>
      <w:r w:rsidRPr="00DB29CF">
        <w:rPr>
          <w:sz w:val="20"/>
        </w:rPr>
        <w:t xml:space="preserve">, Forfeiture Order, </w:t>
      </w:r>
      <w:r>
        <w:rPr>
          <w:sz w:val="20"/>
        </w:rPr>
        <w:t xml:space="preserve">28 FCC Rcd </w:t>
      </w:r>
      <w:r w:rsidRPr="00DB29CF">
        <w:rPr>
          <w:sz w:val="20"/>
        </w:rPr>
        <w:t>10740, 10742 n.22 (Enf. Bur., Spectrum Enf. Div., 2013).</w:t>
      </w:r>
    </w:p>
    <w:p w:rsidR="007A6C08" w:rsidRDefault="007A6C08" w:rsidP="007A6C08">
      <w:pPr>
        <w:autoSpaceDE w:val="0"/>
        <w:autoSpaceDN w:val="0"/>
        <w:adjustRightInd w:val="0"/>
      </w:pPr>
    </w:p>
  </w:footnote>
  <w:footnote w:id="21">
    <w:p w:rsidR="00DB0D6F" w:rsidRDefault="00DB0D6F" w:rsidP="00DB0D6F">
      <w:pPr>
        <w:pStyle w:val="FootnoteText"/>
      </w:pPr>
      <w:r>
        <w:rPr>
          <w:rStyle w:val="FootnoteReference"/>
        </w:rPr>
        <w:footnoteRef/>
      </w:r>
      <w:r>
        <w:t xml:space="preserve"> 47 C.F.R. § 15.239; </w:t>
      </w:r>
      <w:r>
        <w:rPr>
          <w:i/>
        </w:rPr>
        <w:t>Selvano Forfeiture Order</w:t>
      </w:r>
      <w:r>
        <w:t xml:space="preserve">, </w:t>
      </w:r>
      <w:r w:rsidRPr="00CA2FAC">
        <w:rPr>
          <w:color w:val="000000"/>
        </w:rPr>
        <w:t>19 FCC Rcd</w:t>
      </w:r>
      <w:r>
        <w:rPr>
          <w:color w:val="000000"/>
        </w:rPr>
        <w:t xml:space="preserve"> at</w:t>
      </w:r>
      <w:r w:rsidRPr="00CA2FAC">
        <w:rPr>
          <w:color w:val="000000"/>
        </w:rPr>
        <w:t xml:space="preserve"> 15339, para. 10</w:t>
      </w:r>
      <w:r>
        <w:rPr>
          <w:color w:val="000000"/>
        </w:rPr>
        <w:t>.</w:t>
      </w:r>
      <w:r w:rsidR="007A6C08">
        <w:t xml:space="preserve"> </w:t>
      </w:r>
    </w:p>
  </w:footnote>
  <w:footnote w:id="22">
    <w:p w:rsidR="009671D5" w:rsidRDefault="009671D5">
      <w:pPr>
        <w:pStyle w:val="FootnoteText"/>
      </w:pPr>
      <w:r>
        <w:rPr>
          <w:rStyle w:val="FootnoteReference"/>
        </w:rPr>
        <w:footnoteRef/>
      </w:r>
      <w:r>
        <w:t xml:space="preserve"> </w:t>
      </w:r>
      <w:r w:rsidRPr="009671D5">
        <w:rPr>
          <w:i/>
        </w:rPr>
        <w:t>NAL</w:t>
      </w:r>
      <w:r>
        <w:t xml:space="preserve">, </w:t>
      </w:r>
      <w:r w:rsidR="00035B51">
        <w:t xml:space="preserve">30 FCC Rcd at 13407-08, </w:t>
      </w:r>
      <w:r>
        <w:t>para. 16.</w:t>
      </w:r>
    </w:p>
  </w:footnote>
  <w:footnote w:id="23">
    <w:p w:rsidR="009671D5" w:rsidRPr="009671D5" w:rsidRDefault="009671D5" w:rsidP="007E0463">
      <w:pPr>
        <w:autoSpaceDE w:val="0"/>
        <w:autoSpaceDN w:val="0"/>
        <w:adjustRightInd w:val="0"/>
        <w:rPr>
          <w:kern w:val="0"/>
          <w:sz w:val="20"/>
        </w:rPr>
      </w:pPr>
      <w:r>
        <w:rPr>
          <w:rStyle w:val="FootnoteReference"/>
        </w:rPr>
        <w:footnoteRef/>
      </w:r>
      <w:r>
        <w:t xml:space="preserve"> </w:t>
      </w:r>
      <w:r w:rsidRPr="009671D5">
        <w:rPr>
          <w:i/>
          <w:kern w:val="0"/>
          <w:sz w:val="20"/>
        </w:rPr>
        <w:t xml:space="preserve">See, e.g., </w:t>
      </w:r>
      <w:hyperlink r:id="rId1" w:anchor="co_pp_sp_4493_1043" w:history="1">
        <w:r w:rsidRPr="009671D5">
          <w:rPr>
            <w:i/>
            <w:kern w:val="0"/>
            <w:sz w:val="20"/>
          </w:rPr>
          <w:t>San Jose Navigation, Inc.</w:t>
        </w:r>
        <w:r w:rsidRPr="009671D5">
          <w:rPr>
            <w:kern w:val="0"/>
            <w:sz w:val="20"/>
          </w:rPr>
          <w:t>, Forfeiture Order, 22 FCC Rcd 1040, 1043</w:t>
        </w:r>
        <w:r w:rsidR="002E126D">
          <w:rPr>
            <w:kern w:val="0"/>
            <w:sz w:val="20"/>
          </w:rPr>
          <w:t>, para. 11</w:t>
        </w:r>
        <w:r w:rsidRPr="009671D5">
          <w:rPr>
            <w:kern w:val="0"/>
            <w:sz w:val="20"/>
          </w:rPr>
          <w:t xml:space="preserve"> (2007)</w:t>
        </w:r>
      </w:hyperlink>
      <w:r w:rsidRPr="009671D5">
        <w:rPr>
          <w:kern w:val="0"/>
          <w:sz w:val="20"/>
        </w:rPr>
        <w:t xml:space="preserve"> (in assessing an inability to pay claim, the Commission requires the claimant to provide reliable and objective documentation that reflects its current overall financial status).</w:t>
      </w:r>
    </w:p>
    <w:p w:rsidR="009671D5" w:rsidRPr="009671D5" w:rsidRDefault="009671D5" w:rsidP="009671D5">
      <w:pPr>
        <w:autoSpaceDE w:val="0"/>
        <w:autoSpaceDN w:val="0"/>
        <w:adjustRightInd w:val="0"/>
        <w:jc w:val="both"/>
        <w:rPr>
          <w:color w:val="000000"/>
          <w:sz w:val="18"/>
          <w:szCs w:val="18"/>
        </w:rPr>
      </w:pPr>
    </w:p>
  </w:footnote>
  <w:footnote w:id="24">
    <w:p w:rsidR="00CF16B5" w:rsidRDefault="00CF16B5">
      <w:pPr>
        <w:pStyle w:val="FootnoteText"/>
      </w:pPr>
      <w:r>
        <w:rPr>
          <w:rStyle w:val="FootnoteReference"/>
        </w:rPr>
        <w:footnoteRef/>
      </w:r>
      <w:r>
        <w:t xml:space="preserve"> 47 U.S.C. §</w:t>
      </w:r>
      <w:r w:rsidR="00AF4E4E">
        <w:t xml:space="preserve"> </w:t>
      </w:r>
      <w:r>
        <w:t>301.</w:t>
      </w:r>
    </w:p>
  </w:footnote>
  <w:footnote w:id="25">
    <w:p w:rsidR="003343CA" w:rsidRPr="00344C0B" w:rsidRDefault="003343CA" w:rsidP="003343CA">
      <w:pPr>
        <w:pStyle w:val="FootnoteText"/>
      </w:pPr>
      <w:r w:rsidRPr="00344C0B">
        <w:rPr>
          <w:rStyle w:val="FootnoteReference"/>
        </w:rPr>
        <w:footnoteRef/>
      </w:r>
      <w:r w:rsidRPr="00344C0B">
        <w:t xml:space="preserve"> 47 U.S.C. § 503(b).</w:t>
      </w:r>
    </w:p>
  </w:footnote>
  <w:footnote w:id="26">
    <w:p w:rsidR="003343CA" w:rsidRPr="00344C0B" w:rsidRDefault="003343CA" w:rsidP="003343CA">
      <w:pPr>
        <w:pStyle w:val="FootnoteText"/>
      </w:pPr>
      <w:r w:rsidRPr="00344C0B">
        <w:rPr>
          <w:rStyle w:val="FootnoteReference"/>
        </w:rPr>
        <w:footnoteRef/>
      </w:r>
      <w:r w:rsidRPr="00344C0B">
        <w:t xml:space="preserve"> 47 C.F.R. § 1.80.</w:t>
      </w:r>
    </w:p>
  </w:footnote>
  <w:footnote w:id="27">
    <w:p w:rsidR="00CF16B5" w:rsidRDefault="00CF16B5">
      <w:pPr>
        <w:pStyle w:val="FootnoteText"/>
      </w:pPr>
      <w:r>
        <w:rPr>
          <w:rStyle w:val="FootnoteReference"/>
        </w:rPr>
        <w:footnoteRef/>
      </w:r>
      <w:r>
        <w:t xml:space="preserve"> 47 U.S.C. §</w:t>
      </w:r>
      <w:r w:rsidR="00AF4E4E">
        <w:t xml:space="preserve"> </w:t>
      </w:r>
      <w:r>
        <w:t>301.</w:t>
      </w:r>
    </w:p>
  </w:footnote>
  <w:footnote w:id="28">
    <w:p w:rsidR="003343CA" w:rsidRPr="00AF4E4E" w:rsidRDefault="003343CA" w:rsidP="003343CA">
      <w:pPr>
        <w:pStyle w:val="FootnoteText"/>
      </w:pPr>
      <w:r w:rsidRPr="00344C0B">
        <w:rPr>
          <w:rStyle w:val="FootnoteReference"/>
        </w:rPr>
        <w:footnoteRef/>
      </w:r>
      <w:r w:rsidRPr="00344C0B">
        <w:t xml:space="preserve"> </w:t>
      </w:r>
      <w:r w:rsidR="00AF4E4E" w:rsidRPr="00AF4E4E">
        <w:t xml:space="preserve"> </w:t>
      </w:r>
      <w:r w:rsidR="00AF4E4E" w:rsidRPr="00344C0B">
        <w:t>47 C.F.R. § 1.80</w:t>
      </w:r>
      <w:r w:rsidR="00AF4E4E">
        <w:t>(h)</w:t>
      </w:r>
      <w:r w:rsidR="00AF4E4E" w:rsidRPr="00344C0B">
        <w:t>.</w:t>
      </w:r>
      <w:r w:rsidR="00482683">
        <w:t xml:space="preserve">    </w:t>
      </w:r>
    </w:p>
  </w:footnote>
  <w:footnote w:id="29">
    <w:p w:rsidR="003343CA" w:rsidRPr="00344C0B" w:rsidRDefault="003343CA" w:rsidP="003343CA">
      <w:pPr>
        <w:pStyle w:val="FootnoteText"/>
      </w:pPr>
      <w:r w:rsidRPr="00344C0B">
        <w:rPr>
          <w:rStyle w:val="FootnoteReference"/>
        </w:rPr>
        <w:footnoteRef/>
      </w:r>
      <w:r w:rsidRPr="00344C0B">
        <w:t xml:space="preserve"> 47 U.S.C. § 504(a).</w:t>
      </w:r>
    </w:p>
  </w:footnote>
  <w:footnote w:id="30">
    <w:p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31">
    <w:p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2" w:rsidRDefault="00715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F7" w:rsidRPr="00E325F7" w:rsidRDefault="00E325F7" w:rsidP="00E325F7">
    <w:pPr>
      <w:widowControl/>
      <w:autoSpaceDE w:val="0"/>
      <w:autoSpaceDN w:val="0"/>
      <w:adjustRightInd w:val="0"/>
      <w:rPr>
        <w:kern w:val="0"/>
        <w:szCs w:val="22"/>
      </w:rPr>
    </w:pPr>
  </w:p>
  <w:p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023944A1" wp14:editId="6A0A83C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70030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2D74C4" w:rsidRPr="00B26818">
      <w:rPr>
        <w:spacing w:val="-2"/>
      </w:rPr>
      <w:t xml:space="preserve">DA </w:t>
    </w:r>
    <w:r w:rsidR="00B6206E" w:rsidRPr="00B26818">
      <w:rPr>
        <w:spacing w:val="-2"/>
      </w:rPr>
      <w:t>16-392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F7" w:rsidRDefault="00E325F7" w:rsidP="00E325F7">
    <w:pPr>
      <w:widowControl/>
      <w:autoSpaceDE w:val="0"/>
      <w:autoSpaceDN w:val="0"/>
      <w:adjustRightInd w:val="0"/>
    </w:pPr>
    <w:r>
      <w:t>DRAFT:</w:t>
    </w:r>
  </w:p>
  <w:p w:rsidR="00E325F7" w:rsidRDefault="00E325F7" w:rsidP="00E325F7">
    <w:pPr>
      <w:widowControl/>
      <w:autoSpaceDE w:val="0"/>
      <w:autoSpaceDN w:val="0"/>
      <w:adjustRightInd w:val="0"/>
      <w:rPr>
        <w:kern w:val="0"/>
        <w:szCs w:val="22"/>
      </w:rPr>
    </w:pPr>
    <w:r>
      <w:rPr>
        <w:kern w:val="0"/>
        <w:szCs w:val="22"/>
      </w:rPr>
      <w:t>NONPUBLIC, CONFIDENTIAL, HIGHLY SENSITIVE LAW ENFORCEMENT INFORMATION.</w:t>
    </w:r>
  </w:p>
  <w:p w:rsidR="00E325F7" w:rsidRPr="00E325F7" w:rsidRDefault="00E325F7" w:rsidP="00E325F7">
    <w:pPr>
      <w:widowControl/>
      <w:autoSpaceDE w:val="0"/>
      <w:autoSpaceDN w:val="0"/>
      <w:adjustRightInd w:val="0"/>
      <w:rPr>
        <w:kern w:val="0"/>
        <w:szCs w:val="22"/>
      </w:rPr>
    </w:pPr>
  </w:p>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55B5F0"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FF10F5" w:rsidRPr="00E703E5">
      <w:rPr>
        <w:highlight w:val="yellow"/>
      </w:rPr>
      <w:t xml:space="preserve">[FCC </w:t>
    </w:r>
    <w:r w:rsidR="00FF10F5" w:rsidRPr="00E703E5">
      <w:rPr>
        <w:i/>
        <w:highlight w:val="yellow"/>
      </w:rPr>
      <w:t>OR</w:t>
    </w:r>
    <w:r w:rsidR="00FF10F5" w:rsidRPr="00E703E5">
      <w:rPr>
        <w:highlight w:val="yellow"/>
      </w:rPr>
      <w:t xml:space="preserve"> </w:t>
    </w:r>
    <w:r w:rsidR="00E273E3" w:rsidRPr="00E703E5">
      <w:rPr>
        <w:spacing w:val="-2"/>
        <w:highlight w:val="yellow"/>
      </w:rPr>
      <w:t xml:space="preserve">DA </w:t>
    </w:r>
    <w:r w:rsidR="00153904" w:rsidRPr="00E703E5">
      <w:rPr>
        <w:spacing w:val="-2"/>
        <w:highlight w:val="yellow"/>
      </w:rPr>
      <w:t>##-###</w:t>
    </w:r>
    <w:r w:rsidR="00FF10F5" w:rsidRPr="00E703E5">
      <w:rPr>
        <w:spacing w:val="-2"/>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1F1C1A5D"/>
    <w:multiLevelType w:val="multilevel"/>
    <w:tmpl w:val="ACD85050"/>
    <w:lvl w:ilvl="0">
      <w:start w:val="14"/>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5670"/>
        </w:tabs>
        <w:ind w:left="567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nsid w:val="432817C4"/>
    <w:multiLevelType w:val="multilevel"/>
    <w:tmpl w:val="ACD85050"/>
    <w:lvl w:ilvl="0">
      <w:start w:val="14"/>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
    <w:nsid w:val="4709771D"/>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num w:numId="1">
    <w:abstractNumId w:val="6"/>
  </w:num>
  <w:num w:numId="2">
    <w:abstractNumId w:val="2"/>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5"/>
  </w:num>
  <w:num w:numId="5">
    <w:abstractNumId w:val="3"/>
  </w:num>
  <w:num w:numId="6">
    <w:abstractNumId w:val="4"/>
  </w:num>
  <w:num w:numId="7">
    <w:abstractNumId w:val="1"/>
  </w:num>
  <w:num w:numId="8">
    <w:abstractNumId w:val="6"/>
  </w:num>
  <w:num w:numId="9">
    <w:abstractNumId w:val="2"/>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0D6E"/>
    <w:rsid w:val="00012046"/>
    <w:rsid w:val="00014462"/>
    <w:rsid w:val="000145C6"/>
    <w:rsid w:val="000174F9"/>
    <w:rsid w:val="000264B4"/>
    <w:rsid w:val="00031AE8"/>
    <w:rsid w:val="00035B51"/>
    <w:rsid w:val="00036D58"/>
    <w:rsid w:val="00043C9B"/>
    <w:rsid w:val="00046801"/>
    <w:rsid w:val="000604EB"/>
    <w:rsid w:val="00062C44"/>
    <w:rsid w:val="000649FE"/>
    <w:rsid w:val="00071E3F"/>
    <w:rsid w:val="00072D7D"/>
    <w:rsid w:val="00074717"/>
    <w:rsid w:val="0007571D"/>
    <w:rsid w:val="00080535"/>
    <w:rsid w:val="000853AD"/>
    <w:rsid w:val="00086824"/>
    <w:rsid w:val="00091AE4"/>
    <w:rsid w:val="00092506"/>
    <w:rsid w:val="000962DF"/>
    <w:rsid w:val="00097F82"/>
    <w:rsid w:val="000A3E68"/>
    <w:rsid w:val="000A4776"/>
    <w:rsid w:val="000B14C3"/>
    <w:rsid w:val="000B1C2B"/>
    <w:rsid w:val="000B29ED"/>
    <w:rsid w:val="000B7657"/>
    <w:rsid w:val="000C092B"/>
    <w:rsid w:val="000C6050"/>
    <w:rsid w:val="000D03AE"/>
    <w:rsid w:val="000D1391"/>
    <w:rsid w:val="000E1951"/>
    <w:rsid w:val="000E2707"/>
    <w:rsid w:val="000F1155"/>
    <w:rsid w:val="00100646"/>
    <w:rsid w:val="00105A35"/>
    <w:rsid w:val="001067B6"/>
    <w:rsid w:val="0011337B"/>
    <w:rsid w:val="001136E0"/>
    <w:rsid w:val="0011687C"/>
    <w:rsid w:val="001205FE"/>
    <w:rsid w:val="0012427E"/>
    <w:rsid w:val="00126C88"/>
    <w:rsid w:val="00135F7F"/>
    <w:rsid w:val="00136476"/>
    <w:rsid w:val="00140ABB"/>
    <w:rsid w:val="001426F0"/>
    <w:rsid w:val="00145E08"/>
    <w:rsid w:val="001532B1"/>
    <w:rsid w:val="00153904"/>
    <w:rsid w:val="00153CE0"/>
    <w:rsid w:val="00154A5C"/>
    <w:rsid w:val="00162161"/>
    <w:rsid w:val="00164D9B"/>
    <w:rsid w:val="001715BD"/>
    <w:rsid w:val="00171C02"/>
    <w:rsid w:val="00172581"/>
    <w:rsid w:val="001740BB"/>
    <w:rsid w:val="00180026"/>
    <w:rsid w:val="001819AF"/>
    <w:rsid w:val="00196E93"/>
    <w:rsid w:val="001A19A6"/>
    <w:rsid w:val="001A29EF"/>
    <w:rsid w:val="001A2F40"/>
    <w:rsid w:val="001A4ADB"/>
    <w:rsid w:val="001A69BA"/>
    <w:rsid w:val="001A79FB"/>
    <w:rsid w:val="001B048F"/>
    <w:rsid w:val="001C08AD"/>
    <w:rsid w:val="001C3156"/>
    <w:rsid w:val="001C3B35"/>
    <w:rsid w:val="001C42B3"/>
    <w:rsid w:val="001D1CEF"/>
    <w:rsid w:val="001E135C"/>
    <w:rsid w:val="001E1906"/>
    <w:rsid w:val="001E401B"/>
    <w:rsid w:val="001F2B76"/>
    <w:rsid w:val="001F5AA4"/>
    <w:rsid w:val="001F7EE0"/>
    <w:rsid w:val="002037C2"/>
    <w:rsid w:val="0021315C"/>
    <w:rsid w:val="002146E2"/>
    <w:rsid w:val="00223173"/>
    <w:rsid w:val="00225854"/>
    <w:rsid w:val="00226191"/>
    <w:rsid w:val="0022665A"/>
    <w:rsid w:val="00236820"/>
    <w:rsid w:val="00246222"/>
    <w:rsid w:val="00250EDF"/>
    <w:rsid w:val="002523B2"/>
    <w:rsid w:val="00252799"/>
    <w:rsid w:val="00256904"/>
    <w:rsid w:val="00256B42"/>
    <w:rsid w:val="002659F3"/>
    <w:rsid w:val="00265FC9"/>
    <w:rsid w:val="00270CD1"/>
    <w:rsid w:val="002710C5"/>
    <w:rsid w:val="002718D7"/>
    <w:rsid w:val="00283E59"/>
    <w:rsid w:val="00287564"/>
    <w:rsid w:val="00295DB6"/>
    <w:rsid w:val="002966A1"/>
    <w:rsid w:val="00297424"/>
    <w:rsid w:val="002A1963"/>
    <w:rsid w:val="002B17E2"/>
    <w:rsid w:val="002B7493"/>
    <w:rsid w:val="002C079C"/>
    <w:rsid w:val="002C12AD"/>
    <w:rsid w:val="002C66A2"/>
    <w:rsid w:val="002D3A88"/>
    <w:rsid w:val="002D4CD9"/>
    <w:rsid w:val="002D6A81"/>
    <w:rsid w:val="002D74C4"/>
    <w:rsid w:val="002E046E"/>
    <w:rsid w:val="002E126D"/>
    <w:rsid w:val="002E1671"/>
    <w:rsid w:val="002E43B6"/>
    <w:rsid w:val="002E6027"/>
    <w:rsid w:val="002F2ACB"/>
    <w:rsid w:val="00306C34"/>
    <w:rsid w:val="00306C50"/>
    <w:rsid w:val="0031481D"/>
    <w:rsid w:val="0032053D"/>
    <w:rsid w:val="0032244D"/>
    <w:rsid w:val="00325463"/>
    <w:rsid w:val="00331B47"/>
    <w:rsid w:val="00331D4E"/>
    <w:rsid w:val="003334EC"/>
    <w:rsid w:val="003343CA"/>
    <w:rsid w:val="00334959"/>
    <w:rsid w:val="00335814"/>
    <w:rsid w:val="003368A3"/>
    <w:rsid w:val="003368E2"/>
    <w:rsid w:val="003400E9"/>
    <w:rsid w:val="00340246"/>
    <w:rsid w:val="00344871"/>
    <w:rsid w:val="00344C0B"/>
    <w:rsid w:val="00345F40"/>
    <w:rsid w:val="00346DCB"/>
    <w:rsid w:val="003472A7"/>
    <w:rsid w:val="00347397"/>
    <w:rsid w:val="00353E9D"/>
    <w:rsid w:val="003563C1"/>
    <w:rsid w:val="00361B43"/>
    <w:rsid w:val="003623B1"/>
    <w:rsid w:val="00363474"/>
    <w:rsid w:val="0038136A"/>
    <w:rsid w:val="0039768C"/>
    <w:rsid w:val="003A07BF"/>
    <w:rsid w:val="003A4346"/>
    <w:rsid w:val="003A4767"/>
    <w:rsid w:val="003A5530"/>
    <w:rsid w:val="003A6F0A"/>
    <w:rsid w:val="003B4544"/>
    <w:rsid w:val="003B4838"/>
    <w:rsid w:val="003B5341"/>
    <w:rsid w:val="003B5EF6"/>
    <w:rsid w:val="003B6421"/>
    <w:rsid w:val="003B6F75"/>
    <w:rsid w:val="003C0BCF"/>
    <w:rsid w:val="003C2EB5"/>
    <w:rsid w:val="003C5EF1"/>
    <w:rsid w:val="003C6559"/>
    <w:rsid w:val="003D5B63"/>
    <w:rsid w:val="003D5BD6"/>
    <w:rsid w:val="003E36EC"/>
    <w:rsid w:val="003E4BA1"/>
    <w:rsid w:val="003E5CB1"/>
    <w:rsid w:val="003E7003"/>
    <w:rsid w:val="003F2F66"/>
    <w:rsid w:val="004016AD"/>
    <w:rsid w:val="00403291"/>
    <w:rsid w:val="00403B86"/>
    <w:rsid w:val="00416F51"/>
    <w:rsid w:val="004200CE"/>
    <w:rsid w:val="0042056B"/>
    <w:rsid w:val="00431572"/>
    <w:rsid w:val="00436A9E"/>
    <w:rsid w:val="00437A10"/>
    <w:rsid w:val="00441CED"/>
    <w:rsid w:val="00452C14"/>
    <w:rsid w:val="00454EFD"/>
    <w:rsid w:val="00457AE7"/>
    <w:rsid w:val="00466CC6"/>
    <w:rsid w:val="004736A1"/>
    <w:rsid w:val="004766A3"/>
    <w:rsid w:val="00482683"/>
    <w:rsid w:val="00483944"/>
    <w:rsid w:val="00493B9B"/>
    <w:rsid w:val="00493EB0"/>
    <w:rsid w:val="004C0831"/>
    <w:rsid w:val="004C1903"/>
    <w:rsid w:val="004C3EDB"/>
    <w:rsid w:val="004C4957"/>
    <w:rsid w:val="004E218D"/>
    <w:rsid w:val="004E4FD9"/>
    <w:rsid w:val="004E5D01"/>
    <w:rsid w:val="004F0204"/>
    <w:rsid w:val="004F0990"/>
    <w:rsid w:val="004F4E57"/>
    <w:rsid w:val="00505616"/>
    <w:rsid w:val="00512A5C"/>
    <w:rsid w:val="00514466"/>
    <w:rsid w:val="00514B5F"/>
    <w:rsid w:val="005214C9"/>
    <w:rsid w:val="00522727"/>
    <w:rsid w:val="00526086"/>
    <w:rsid w:val="00526174"/>
    <w:rsid w:val="00535D18"/>
    <w:rsid w:val="00536E59"/>
    <w:rsid w:val="00537EE6"/>
    <w:rsid w:val="005415C8"/>
    <w:rsid w:val="0054220C"/>
    <w:rsid w:val="005440C1"/>
    <w:rsid w:val="00545EF8"/>
    <w:rsid w:val="00547654"/>
    <w:rsid w:val="005502A8"/>
    <w:rsid w:val="005526C8"/>
    <w:rsid w:val="00552923"/>
    <w:rsid w:val="00557BF1"/>
    <w:rsid w:val="00560703"/>
    <w:rsid w:val="0056704D"/>
    <w:rsid w:val="00567C95"/>
    <w:rsid w:val="00567D8D"/>
    <w:rsid w:val="0059732E"/>
    <w:rsid w:val="005A72DD"/>
    <w:rsid w:val="005B12B0"/>
    <w:rsid w:val="005B3158"/>
    <w:rsid w:val="005B4CEA"/>
    <w:rsid w:val="005B67ED"/>
    <w:rsid w:val="005C0B84"/>
    <w:rsid w:val="005C2A5A"/>
    <w:rsid w:val="005C30D4"/>
    <w:rsid w:val="005C5EE8"/>
    <w:rsid w:val="005D250F"/>
    <w:rsid w:val="005D364B"/>
    <w:rsid w:val="005D4F7D"/>
    <w:rsid w:val="005E3D9F"/>
    <w:rsid w:val="005F5FB8"/>
    <w:rsid w:val="006020E8"/>
    <w:rsid w:val="00603106"/>
    <w:rsid w:val="006168A4"/>
    <w:rsid w:val="00622396"/>
    <w:rsid w:val="00624EEA"/>
    <w:rsid w:val="0063038A"/>
    <w:rsid w:val="00634F84"/>
    <w:rsid w:val="00637D3F"/>
    <w:rsid w:val="0064090C"/>
    <w:rsid w:val="00640EAA"/>
    <w:rsid w:val="00641144"/>
    <w:rsid w:val="00644983"/>
    <w:rsid w:val="0064498D"/>
    <w:rsid w:val="006472F4"/>
    <w:rsid w:val="00650C92"/>
    <w:rsid w:val="00653DFB"/>
    <w:rsid w:val="006557D7"/>
    <w:rsid w:val="00655B5D"/>
    <w:rsid w:val="0065677C"/>
    <w:rsid w:val="006606A3"/>
    <w:rsid w:val="00661DE5"/>
    <w:rsid w:val="0066537F"/>
    <w:rsid w:val="00671666"/>
    <w:rsid w:val="00672014"/>
    <w:rsid w:val="006733A8"/>
    <w:rsid w:val="00673674"/>
    <w:rsid w:val="00674B18"/>
    <w:rsid w:val="00683E53"/>
    <w:rsid w:val="00686968"/>
    <w:rsid w:val="006877E7"/>
    <w:rsid w:val="006A6FD0"/>
    <w:rsid w:val="006B080E"/>
    <w:rsid w:val="006B685D"/>
    <w:rsid w:val="006D2212"/>
    <w:rsid w:val="006D550A"/>
    <w:rsid w:val="006D7FF3"/>
    <w:rsid w:val="006E3B0D"/>
    <w:rsid w:val="006E6868"/>
    <w:rsid w:val="006E728E"/>
    <w:rsid w:val="00704843"/>
    <w:rsid w:val="007112FE"/>
    <w:rsid w:val="007115F7"/>
    <w:rsid w:val="00714FD7"/>
    <w:rsid w:val="00715666"/>
    <w:rsid w:val="00715F02"/>
    <w:rsid w:val="0072776E"/>
    <w:rsid w:val="00731211"/>
    <w:rsid w:val="007325C3"/>
    <w:rsid w:val="0073326F"/>
    <w:rsid w:val="00743885"/>
    <w:rsid w:val="00743CDB"/>
    <w:rsid w:val="00745AB4"/>
    <w:rsid w:val="007470E1"/>
    <w:rsid w:val="007479D6"/>
    <w:rsid w:val="00752D0E"/>
    <w:rsid w:val="00755564"/>
    <w:rsid w:val="00757E63"/>
    <w:rsid w:val="00765619"/>
    <w:rsid w:val="0077103F"/>
    <w:rsid w:val="00781BFC"/>
    <w:rsid w:val="00782257"/>
    <w:rsid w:val="00785772"/>
    <w:rsid w:val="0078649E"/>
    <w:rsid w:val="00787DBC"/>
    <w:rsid w:val="00790B4B"/>
    <w:rsid w:val="00791577"/>
    <w:rsid w:val="00792AD9"/>
    <w:rsid w:val="007A2AF2"/>
    <w:rsid w:val="007A400F"/>
    <w:rsid w:val="007A6C08"/>
    <w:rsid w:val="007B1B20"/>
    <w:rsid w:val="007B25BE"/>
    <w:rsid w:val="007B7F16"/>
    <w:rsid w:val="007C04C6"/>
    <w:rsid w:val="007C197B"/>
    <w:rsid w:val="007C3802"/>
    <w:rsid w:val="007C3FB4"/>
    <w:rsid w:val="007C416C"/>
    <w:rsid w:val="007C748A"/>
    <w:rsid w:val="007D5BA0"/>
    <w:rsid w:val="007E0463"/>
    <w:rsid w:val="007E10B6"/>
    <w:rsid w:val="007E39BB"/>
    <w:rsid w:val="007F29BF"/>
    <w:rsid w:val="007F3C22"/>
    <w:rsid w:val="0080144D"/>
    <w:rsid w:val="00804AA7"/>
    <w:rsid w:val="00806AEF"/>
    <w:rsid w:val="00813F43"/>
    <w:rsid w:val="00817123"/>
    <w:rsid w:val="008218CC"/>
    <w:rsid w:val="00823395"/>
    <w:rsid w:val="00832F73"/>
    <w:rsid w:val="00836DF6"/>
    <w:rsid w:val="00845251"/>
    <w:rsid w:val="00854197"/>
    <w:rsid w:val="00862B6D"/>
    <w:rsid w:val="008635E6"/>
    <w:rsid w:val="008666BC"/>
    <w:rsid w:val="00867A33"/>
    <w:rsid w:val="00872491"/>
    <w:rsid w:val="008742A5"/>
    <w:rsid w:val="00874CFC"/>
    <w:rsid w:val="00890BA8"/>
    <w:rsid w:val="00890DC3"/>
    <w:rsid w:val="008970C4"/>
    <w:rsid w:val="008A0B16"/>
    <w:rsid w:val="008A1A2C"/>
    <w:rsid w:val="008B02C1"/>
    <w:rsid w:val="008B1964"/>
    <w:rsid w:val="008C63CF"/>
    <w:rsid w:val="008D1BE7"/>
    <w:rsid w:val="008D6AFE"/>
    <w:rsid w:val="008E0D87"/>
    <w:rsid w:val="008F0F79"/>
    <w:rsid w:val="009012DC"/>
    <w:rsid w:val="00901EA9"/>
    <w:rsid w:val="00910008"/>
    <w:rsid w:val="00913674"/>
    <w:rsid w:val="009150E9"/>
    <w:rsid w:val="00920FB9"/>
    <w:rsid w:val="00922BC7"/>
    <w:rsid w:val="00924198"/>
    <w:rsid w:val="009244F0"/>
    <w:rsid w:val="00926FF8"/>
    <w:rsid w:val="00932FF9"/>
    <w:rsid w:val="0093638C"/>
    <w:rsid w:val="00937A4E"/>
    <w:rsid w:val="0094581D"/>
    <w:rsid w:val="00955661"/>
    <w:rsid w:val="00957948"/>
    <w:rsid w:val="00966093"/>
    <w:rsid w:val="009671D5"/>
    <w:rsid w:val="009708B5"/>
    <w:rsid w:val="009714F0"/>
    <w:rsid w:val="00974A8A"/>
    <w:rsid w:val="0097633D"/>
    <w:rsid w:val="00980AA0"/>
    <w:rsid w:val="00981A39"/>
    <w:rsid w:val="009847FB"/>
    <w:rsid w:val="00985084"/>
    <w:rsid w:val="00990196"/>
    <w:rsid w:val="00992A29"/>
    <w:rsid w:val="009A09C6"/>
    <w:rsid w:val="009A2403"/>
    <w:rsid w:val="009A323D"/>
    <w:rsid w:val="009A3AE5"/>
    <w:rsid w:val="009A4C09"/>
    <w:rsid w:val="009A69BE"/>
    <w:rsid w:val="009B0223"/>
    <w:rsid w:val="009B1061"/>
    <w:rsid w:val="009B2C59"/>
    <w:rsid w:val="009B3E58"/>
    <w:rsid w:val="009B6F55"/>
    <w:rsid w:val="009C2411"/>
    <w:rsid w:val="009C3321"/>
    <w:rsid w:val="009C46AB"/>
    <w:rsid w:val="009C6AD9"/>
    <w:rsid w:val="009D0C63"/>
    <w:rsid w:val="009D4B38"/>
    <w:rsid w:val="009D5355"/>
    <w:rsid w:val="009E44EE"/>
    <w:rsid w:val="009E708F"/>
    <w:rsid w:val="00A002F4"/>
    <w:rsid w:val="00A00AE0"/>
    <w:rsid w:val="00A01D1A"/>
    <w:rsid w:val="00A020A9"/>
    <w:rsid w:val="00A02148"/>
    <w:rsid w:val="00A047AF"/>
    <w:rsid w:val="00A0567A"/>
    <w:rsid w:val="00A10460"/>
    <w:rsid w:val="00A14DEA"/>
    <w:rsid w:val="00A14E35"/>
    <w:rsid w:val="00A174D4"/>
    <w:rsid w:val="00A204BA"/>
    <w:rsid w:val="00A20570"/>
    <w:rsid w:val="00A223C9"/>
    <w:rsid w:val="00A230E1"/>
    <w:rsid w:val="00A24336"/>
    <w:rsid w:val="00A24CD1"/>
    <w:rsid w:val="00A26C54"/>
    <w:rsid w:val="00A3796D"/>
    <w:rsid w:val="00A41565"/>
    <w:rsid w:val="00A42341"/>
    <w:rsid w:val="00A45420"/>
    <w:rsid w:val="00A45AA8"/>
    <w:rsid w:val="00A47DE3"/>
    <w:rsid w:val="00A52CEE"/>
    <w:rsid w:val="00A95983"/>
    <w:rsid w:val="00AA19E7"/>
    <w:rsid w:val="00AA1C42"/>
    <w:rsid w:val="00AA614F"/>
    <w:rsid w:val="00AA72C6"/>
    <w:rsid w:val="00AB2A81"/>
    <w:rsid w:val="00AB3E46"/>
    <w:rsid w:val="00AB3FF0"/>
    <w:rsid w:val="00AC08EF"/>
    <w:rsid w:val="00AC0A30"/>
    <w:rsid w:val="00AC7682"/>
    <w:rsid w:val="00AC7905"/>
    <w:rsid w:val="00AD35D3"/>
    <w:rsid w:val="00AD525D"/>
    <w:rsid w:val="00AE4E71"/>
    <w:rsid w:val="00AE6CDF"/>
    <w:rsid w:val="00AF2483"/>
    <w:rsid w:val="00AF4E4E"/>
    <w:rsid w:val="00AF6122"/>
    <w:rsid w:val="00B046DF"/>
    <w:rsid w:val="00B0601B"/>
    <w:rsid w:val="00B102D9"/>
    <w:rsid w:val="00B106C6"/>
    <w:rsid w:val="00B1278C"/>
    <w:rsid w:val="00B20811"/>
    <w:rsid w:val="00B21753"/>
    <w:rsid w:val="00B246DD"/>
    <w:rsid w:val="00B26603"/>
    <w:rsid w:val="00B26818"/>
    <w:rsid w:val="00B307A4"/>
    <w:rsid w:val="00B5182F"/>
    <w:rsid w:val="00B52F5E"/>
    <w:rsid w:val="00B6206E"/>
    <w:rsid w:val="00B661C1"/>
    <w:rsid w:val="00B70A0B"/>
    <w:rsid w:val="00B7385F"/>
    <w:rsid w:val="00B84DAA"/>
    <w:rsid w:val="00B86B94"/>
    <w:rsid w:val="00B93944"/>
    <w:rsid w:val="00BA0DEA"/>
    <w:rsid w:val="00BB18C9"/>
    <w:rsid w:val="00BB2B10"/>
    <w:rsid w:val="00BB4888"/>
    <w:rsid w:val="00BB6D6F"/>
    <w:rsid w:val="00BC0B2D"/>
    <w:rsid w:val="00BC3C88"/>
    <w:rsid w:val="00BC3FB6"/>
    <w:rsid w:val="00BD5C10"/>
    <w:rsid w:val="00BD747D"/>
    <w:rsid w:val="00BE4853"/>
    <w:rsid w:val="00BF0CB5"/>
    <w:rsid w:val="00C02572"/>
    <w:rsid w:val="00C063BE"/>
    <w:rsid w:val="00C11CF4"/>
    <w:rsid w:val="00C135FF"/>
    <w:rsid w:val="00C138D9"/>
    <w:rsid w:val="00C14EBB"/>
    <w:rsid w:val="00C15447"/>
    <w:rsid w:val="00C16C03"/>
    <w:rsid w:val="00C211BD"/>
    <w:rsid w:val="00C228DE"/>
    <w:rsid w:val="00C23262"/>
    <w:rsid w:val="00C23391"/>
    <w:rsid w:val="00C2400C"/>
    <w:rsid w:val="00C2483C"/>
    <w:rsid w:val="00C25EAE"/>
    <w:rsid w:val="00C26770"/>
    <w:rsid w:val="00C26850"/>
    <w:rsid w:val="00C30B5C"/>
    <w:rsid w:val="00C32B5E"/>
    <w:rsid w:val="00C339C4"/>
    <w:rsid w:val="00C5575E"/>
    <w:rsid w:val="00C710A4"/>
    <w:rsid w:val="00C7583B"/>
    <w:rsid w:val="00C7593B"/>
    <w:rsid w:val="00C771F0"/>
    <w:rsid w:val="00C80AB7"/>
    <w:rsid w:val="00C81248"/>
    <w:rsid w:val="00C81DFC"/>
    <w:rsid w:val="00C82A24"/>
    <w:rsid w:val="00C835A2"/>
    <w:rsid w:val="00C855E5"/>
    <w:rsid w:val="00C93AB5"/>
    <w:rsid w:val="00C9559E"/>
    <w:rsid w:val="00C9673A"/>
    <w:rsid w:val="00C97F25"/>
    <w:rsid w:val="00CA60E2"/>
    <w:rsid w:val="00CA74A0"/>
    <w:rsid w:val="00CB1815"/>
    <w:rsid w:val="00CB4389"/>
    <w:rsid w:val="00CB6E37"/>
    <w:rsid w:val="00CC48B6"/>
    <w:rsid w:val="00CC660D"/>
    <w:rsid w:val="00CC6B2D"/>
    <w:rsid w:val="00CD5021"/>
    <w:rsid w:val="00CD7A1B"/>
    <w:rsid w:val="00CE57A9"/>
    <w:rsid w:val="00CF0BCD"/>
    <w:rsid w:val="00CF16B5"/>
    <w:rsid w:val="00CF2340"/>
    <w:rsid w:val="00CF358D"/>
    <w:rsid w:val="00CF537E"/>
    <w:rsid w:val="00CF6B67"/>
    <w:rsid w:val="00D003E2"/>
    <w:rsid w:val="00D137D5"/>
    <w:rsid w:val="00D15C2F"/>
    <w:rsid w:val="00D15D70"/>
    <w:rsid w:val="00D220E2"/>
    <w:rsid w:val="00D23943"/>
    <w:rsid w:val="00D249F3"/>
    <w:rsid w:val="00D34027"/>
    <w:rsid w:val="00D417DA"/>
    <w:rsid w:val="00D441D9"/>
    <w:rsid w:val="00D55192"/>
    <w:rsid w:val="00D70FC6"/>
    <w:rsid w:val="00D75D1C"/>
    <w:rsid w:val="00D77881"/>
    <w:rsid w:val="00D85EDB"/>
    <w:rsid w:val="00DA31D8"/>
    <w:rsid w:val="00DA4A80"/>
    <w:rsid w:val="00DA67BE"/>
    <w:rsid w:val="00DB04B0"/>
    <w:rsid w:val="00DB0D6F"/>
    <w:rsid w:val="00DB110F"/>
    <w:rsid w:val="00DB209B"/>
    <w:rsid w:val="00DC68F5"/>
    <w:rsid w:val="00DD066D"/>
    <w:rsid w:val="00DD17B4"/>
    <w:rsid w:val="00DD33BA"/>
    <w:rsid w:val="00DD355E"/>
    <w:rsid w:val="00DD7B34"/>
    <w:rsid w:val="00DF2FC3"/>
    <w:rsid w:val="00DF3333"/>
    <w:rsid w:val="00DF49C5"/>
    <w:rsid w:val="00DF57F2"/>
    <w:rsid w:val="00DF6848"/>
    <w:rsid w:val="00E03C5E"/>
    <w:rsid w:val="00E03D76"/>
    <w:rsid w:val="00E0401A"/>
    <w:rsid w:val="00E07797"/>
    <w:rsid w:val="00E136B4"/>
    <w:rsid w:val="00E20614"/>
    <w:rsid w:val="00E216B3"/>
    <w:rsid w:val="00E273E3"/>
    <w:rsid w:val="00E325F7"/>
    <w:rsid w:val="00E32B89"/>
    <w:rsid w:val="00E40344"/>
    <w:rsid w:val="00E41348"/>
    <w:rsid w:val="00E44BA5"/>
    <w:rsid w:val="00E473FB"/>
    <w:rsid w:val="00E51553"/>
    <w:rsid w:val="00E51F9F"/>
    <w:rsid w:val="00E57ED1"/>
    <w:rsid w:val="00E6009E"/>
    <w:rsid w:val="00E61780"/>
    <w:rsid w:val="00E62C71"/>
    <w:rsid w:val="00E650AE"/>
    <w:rsid w:val="00E6792A"/>
    <w:rsid w:val="00E703E5"/>
    <w:rsid w:val="00E74600"/>
    <w:rsid w:val="00E8343F"/>
    <w:rsid w:val="00E85E97"/>
    <w:rsid w:val="00E9402D"/>
    <w:rsid w:val="00E95342"/>
    <w:rsid w:val="00EA147A"/>
    <w:rsid w:val="00EA7BC5"/>
    <w:rsid w:val="00EB5C8E"/>
    <w:rsid w:val="00EB609E"/>
    <w:rsid w:val="00EC01C8"/>
    <w:rsid w:val="00EC389E"/>
    <w:rsid w:val="00EC59F7"/>
    <w:rsid w:val="00EC6192"/>
    <w:rsid w:val="00ED001A"/>
    <w:rsid w:val="00ED4D21"/>
    <w:rsid w:val="00ED50F4"/>
    <w:rsid w:val="00ED7F11"/>
    <w:rsid w:val="00EE05DB"/>
    <w:rsid w:val="00EE194C"/>
    <w:rsid w:val="00EE7218"/>
    <w:rsid w:val="00EF23E9"/>
    <w:rsid w:val="00EF2D22"/>
    <w:rsid w:val="00EF3412"/>
    <w:rsid w:val="00EF392E"/>
    <w:rsid w:val="00EF49F0"/>
    <w:rsid w:val="00EF5B91"/>
    <w:rsid w:val="00F0262C"/>
    <w:rsid w:val="00F03DF9"/>
    <w:rsid w:val="00F07C8E"/>
    <w:rsid w:val="00F115E0"/>
    <w:rsid w:val="00F122FD"/>
    <w:rsid w:val="00F156C3"/>
    <w:rsid w:val="00F15E74"/>
    <w:rsid w:val="00F16485"/>
    <w:rsid w:val="00F210F9"/>
    <w:rsid w:val="00F21DEF"/>
    <w:rsid w:val="00F23F1E"/>
    <w:rsid w:val="00F35991"/>
    <w:rsid w:val="00F368C8"/>
    <w:rsid w:val="00F447E4"/>
    <w:rsid w:val="00F50307"/>
    <w:rsid w:val="00F51AF3"/>
    <w:rsid w:val="00F51E59"/>
    <w:rsid w:val="00F52BF5"/>
    <w:rsid w:val="00F5620A"/>
    <w:rsid w:val="00F65AA3"/>
    <w:rsid w:val="00F80BCB"/>
    <w:rsid w:val="00F83951"/>
    <w:rsid w:val="00F84343"/>
    <w:rsid w:val="00F8613C"/>
    <w:rsid w:val="00F90362"/>
    <w:rsid w:val="00F93126"/>
    <w:rsid w:val="00F9326A"/>
    <w:rsid w:val="00F968BB"/>
    <w:rsid w:val="00FA2BC9"/>
    <w:rsid w:val="00FA3463"/>
    <w:rsid w:val="00FA581C"/>
    <w:rsid w:val="00FB450C"/>
    <w:rsid w:val="00FC1C58"/>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clear" w:pos="5670"/>
        <w:tab w:val="left" w:pos="2160"/>
      </w:tabs>
      <w:spacing w:after="120"/>
      <w:ind w:left="216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
    <w:basedOn w:val="DefaultParagraphFont"/>
    <w:uiPriority w:val="99"/>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uiPriority w:val="99"/>
    <w:rsid w:val="00CC6B2D"/>
    <w:pPr>
      <w:tabs>
        <w:tab w:val="center" w:pos="4680"/>
        <w:tab w:val="right" w:pos="9360"/>
      </w:tabs>
    </w:pPr>
    <w:rPr>
      <w:b/>
    </w:rPr>
  </w:style>
  <w:style w:type="character" w:customStyle="1" w:styleId="HeaderChar">
    <w:name w:val="Header Char"/>
    <w:basedOn w:val="DefaultParagraphFont"/>
    <w:link w:val="Header"/>
    <w:uiPriority w:val="99"/>
    <w:semiHidden/>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clear" w:pos="5670"/>
        <w:tab w:val="left" w:pos="2160"/>
      </w:tabs>
      <w:spacing w:after="120"/>
      <w:ind w:left="216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
    <w:basedOn w:val="DefaultParagraphFont"/>
    <w:uiPriority w:val="99"/>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uiPriority w:val="99"/>
    <w:rsid w:val="00CC6B2D"/>
    <w:pPr>
      <w:tabs>
        <w:tab w:val="center" w:pos="4680"/>
        <w:tab w:val="right" w:pos="9360"/>
      </w:tabs>
    </w:pPr>
    <w:rPr>
      <w:b/>
    </w:rPr>
  </w:style>
  <w:style w:type="character" w:customStyle="1" w:styleId="HeaderChar">
    <w:name w:val="Header Char"/>
    <w:basedOn w:val="DefaultParagraphFont"/>
    <w:link w:val="Header"/>
    <w:uiPriority w:val="99"/>
    <w:semiHidden/>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Link/Document/FullText?findType=Y&amp;serNum=2011211180&amp;pubNum=0004493&amp;originatingDoc=I13b57a04579911e381b8b0e9e015e69e&amp;refType=CA&amp;fi=co_pp_sp_4493_1043&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8639</Characters>
  <Application>Microsoft Office Word</Application>
  <DocSecurity>0</DocSecurity>
  <Lines>149</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2016-04-12T14:02:00Z</dcterms:created>
  <dcterms:modified xsi:type="dcterms:W3CDTF">2016-04-12T14:02:00Z</dcterms:modified>
  <cp:category> </cp:category>
  <cp:contentStatus> </cp:contentStatus>
</cp:coreProperties>
</file>