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540E26" w14:textId="5B8476B2" w:rsidR="00677F8D" w:rsidRDefault="0089361F" w:rsidP="00BA4115">
      <w:pPr>
        <w:tabs>
          <w:tab w:val="left" w:pos="780"/>
        </w:tabs>
        <w:ind w:right="-1440"/>
        <w:outlineLvl w:val="0"/>
        <w:rPr>
          <w:spacing w:val="-9"/>
          <w:sz w:val="72"/>
        </w:rPr>
      </w:pPr>
      <w:r>
        <w:rPr>
          <w:noProof/>
        </w:rPr>
        <mc:AlternateContent>
          <mc:Choice Requires="wps">
            <w:drawing>
              <wp:anchor distT="0" distB="0" distL="114300" distR="114300" simplePos="0" relativeHeight="251658240" behindDoc="1" locked="0" layoutInCell="0" allowOverlap="1" wp14:anchorId="1DF1999F" wp14:editId="756FC278">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843CA6" w14:textId="407B31F8" w:rsidR="00A72D7B" w:rsidRDefault="00A72D7B">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14:paraId="2B843CA6" w14:textId="407B31F8" w:rsidR="00A72D7B" w:rsidRDefault="00A72D7B">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14:paraId="53AF7CB4" w14:textId="77777777"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14:paraId="0E4FE860" w14:textId="77777777"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14:paraId="2A925C54" w14:textId="77777777"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14:paraId="4BECD7DC" w14:textId="1A1895A4" w:rsidR="00677F8D" w:rsidRDefault="0089361F">
      <w:pPr>
        <w:tabs>
          <w:tab w:val="left" w:pos="1440"/>
          <w:tab w:val="left" w:pos="5040"/>
        </w:tabs>
        <w:suppressAutoHyphens/>
        <w:spacing w:line="19" w:lineRule="exact"/>
        <w:jc w:val="both"/>
        <w:rPr>
          <w:spacing w:val="-2"/>
          <w:sz w:val="22"/>
        </w:rPr>
      </w:pPr>
      <w:r>
        <w:rPr>
          <w:noProof/>
        </w:rPr>
        <mc:AlternateContent>
          <mc:Choice Requires="wps">
            <w:drawing>
              <wp:anchor distT="0" distB="0" distL="114300" distR="114300" simplePos="0" relativeHeight="251657216" behindDoc="1" locked="0" layoutInCell="0" allowOverlap="1" wp14:anchorId="589F1F16" wp14:editId="7FF94D54">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B4D8D"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5821E87D" w14:textId="77777777"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14:paraId="27E0EDE3" w14:textId="77777777" w:rsidR="00677F8D" w:rsidRDefault="00677F8D">
      <w:pPr>
        <w:tabs>
          <w:tab w:val="left" w:pos="-1440"/>
          <w:tab w:val="left" w:pos="-720"/>
        </w:tabs>
        <w:suppressAutoHyphens/>
        <w:spacing w:line="227" w:lineRule="auto"/>
        <w:jc w:val="both"/>
        <w:rPr>
          <w:spacing w:val="-2"/>
          <w:sz w:val="22"/>
          <w:szCs w:val="22"/>
        </w:rPr>
      </w:pPr>
    </w:p>
    <w:p w14:paraId="7B12D535" w14:textId="37C0CFEB"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242497">
        <w:rPr>
          <w:b/>
          <w:spacing w:val="-2"/>
          <w:sz w:val="22"/>
        </w:rPr>
        <w:t>16</w:t>
      </w:r>
      <w:r w:rsidR="00A60C92" w:rsidRPr="00A60C92">
        <w:rPr>
          <w:b/>
          <w:spacing w:val="-2"/>
          <w:sz w:val="22"/>
        </w:rPr>
        <w:t>-</w:t>
      </w:r>
      <w:r w:rsidR="00E2519D">
        <w:rPr>
          <w:b/>
          <w:spacing w:val="-2"/>
          <w:sz w:val="22"/>
        </w:rPr>
        <w:t>394</w:t>
      </w:r>
    </w:p>
    <w:p w14:paraId="1C8A57DB" w14:textId="063C3A09"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D66D40">
        <w:rPr>
          <w:b/>
          <w:spacing w:val="-2"/>
          <w:sz w:val="22"/>
          <w:szCs w:val="22"/>
        </w:rPr>
        <w:t>April</w:t>
      </w:r>
      <w:r w:rsidR="007F2586">
        <w:rPr>
          <w:b/>
          <w:spacing w:val="-2"/>
          <w:sz w:val="22"/>
          <w:szCs w:val="22"/>
        </w:rPr>
        <w:t xml:space="preserve"> 1</w:t>
      </w:r>
      <w:r w:rsidR="002D0DCC">
        <w:rPr>
          <w:b/>
          <w:spacing w:val="-2"/>
          <w:sz w:val="22"/>
          <w:szCs w:val="22"/>
        </w:rPr>
        <w:t>2</w:t>
      </w:r>
      <w:r w:rsidR="00873985">
        <w:rPr>
          <w:b/>
          <w:spacing w:val="-2"/>
          <w:sz w:val="22"/>
          <w:szCs w:val="22"/>
        </w:rPr>
        <w:t>, 201</w:t>
      </w:r>
      <w:r w:rsidR="00242497">
        <w:rPr>
          <w:b/>
          <w:spacing w:val="-2"/>
          <w:sz w:val="22"/>
          <w:szCs w:val="22"/>
        </w:rPr>
        <w:t>6</w:t>
      </w:r>
    </w:p>
    <w:p w14:paraId="02591AF1" w14:textId="77777777" w:rsidR="00677F8D" w:rsidRDefault="00677F8D">
      <w:pPr>
        <w:tabs>
          <w:tab w:val="right" w:pos="9360"/>
        </w:tabs>
        <w:suppressAutoHyphens/>
        <w:spacing w:line="227" w:lineRule="auto"/>
        <w:jc w:val="both"/>
        <w:outlineLvl w:val="0"/>
        <w:rPr>
          <w:b/>
          <w:spacing w:val="-2"/>
          <w:sz w:val="22"/>
          <w:szCs w:val="22"/>
        </w:rPr>
      </w:pPr>
    </w:p>
    <w:p w14:paraId="2F6B53BD" w14:textId="77777777" w:rsidR="00F80958" w:rsidRDefault="003F2CAD" w:rsidP="00DD10A4">
      <w:pPr>
        <w:jc w:val="center"/>
        <w:outlineLvl w:val="0"/>
        <w:rPr>
          <w:b/>
          <w:sz w:val="22"/>
          <w:szCs w:val="22"/>
        </w:rPr>
      </w:pPr>
      <w:r>
        <w:rPr>
          <w:b/>
          <w:sz w:val="22"/>
          <w:szCs w:val="22"/>
        </w:rPr>
        <w:t>CELLCO PARTNERSHIP D/B/A VERIZON WIRELESS AND NEXTLINK WIRELESS, LLC</w:t>
      </w:r>
      <w:r w:rsidR="007641E3">
        <w:rPr>
          <w:b/>
          <w:sz w:val="22"/>
          <w:szCs w:val="22"/>
        </w:rPr>
        <w:t>, A SUBSIDIARY OF XO HOLDINGS,</w:t>
      </w:r>
      <w:r>
        <w:rPr>
          <w:b/>
          <w:sz w:val="22"/>
          <w:szCs w:val="22"/>
        </w:rPr>
        <w:t xml:space="preserve"> </w:t>
      </w:r>
      <w:r w:rsidR="006906B2">
        <w:rPr>
          <w:b/>
          <w:sz w:val="22"/>
          <w:szCs w:val="22"/>
        </w:rPr>
        <w:t>SEEK</w:t>
      </w:r>
      <w:r w:rsidR="005D278E">
        <w:rPr>
          <w:b/>
          <w:sz w:val="22"/>
          <w:szCs w:val="22"/>
        </w:rPr>
        <w:t xml:space="preserve"> </w:t>
      </w:r>
      <w:r w:rsidR="00D519C7" w:rsidRPr="001D0197">
        <w:rPr>
          <w:b/>
          <w:sz w:val="22"/>
          <w:szCs w:val="22"/>
        </w:rPr>
        <w:t>FCC CONSENT</w:t>
      </w:r>
      <w:r w:rsidR="00B1028A" w:rsidRPr="001D0197">
        <w:rPr>
          <w:b/>
          <w:sz w:val="22"/>
          <w:szCs w:val="22"/>
        </w:rPr>
        <w:t xml:space="preserve"> </w:t>
      </w:r>
      <w:r w:rsidR="0052101B" w:rsidRPr="001D0197">
        <w:rPr>
          <w:b/>
          <w:sz w:val="22"/>
          <w:szCs w:val="22"/>
        </w:rPr>
        <w:t xml:space="preserve">TO </w:t>
      </w:r>
      <w:r w:rsidR="001631B4">
        <w:rPr>
          <w:b/>
          <w:sz w:val="22"/>
          <w:szCs w:val="22"/>
        </w:rPr>
        <w:t xml:space="preserve">A LONG-TERM </w:t>
      </w:r>
      <w:r w:rsidR="001631B4">
        <w:rPr>
          <w:b/>
          <w:i/>
          <w:sz w:val="22"/>
          <w:szCs w:val="22"/>
        </w:rPr>
        <w:t xml:space="preserve">DE FACTO </w:t>
      </w:r>
      <w:r w:rsidR="001631B4">
        <w:rPr>
          <w:b/>
          <w:sz w:val="22"/>
          <w:szCs w:val="22"/>
        </w:rPr>
        <w:t>TRANSFER SPECTRUM LEASING ARRANGEMENT INVOLVING LOCAL MULTIPOINT DISTRIBUTION SERVICE AND 39 GHZ SPECTRUM</w:t>
      </w:r>
    </w:p>
    <w:p w14:paraId="43783861" w14:textId="77777777" w:rsidR="00677F8D" w:rsidRDefault="00677F8D">
      <w:pPr>
        <w:jc w:val="center"/>
        <w:rPr>
          <w:b/>
          <w:sz w:val="22"/>
          <w:szCs w:val="22"/>
        </w:rPr>
      </w:pPr>
    </w:p>
    <w:p w14:paraId="7617ACFD" w14:textId="77777777" w:rsidR="003E1E59" w:rsidRDefault="001631B4" w:rsidP="003E1E59">
      <w:pPr>
        <w:jc w:val="center"/>
        <w:outlineLvl w:val="0"/>
        <w:rPr>
          <w:b/>
          <w:color w:val="000000"/>
          <w:sz w:val="22"/>
          <w:szCs w:val="22"/>
        </w:rPr>
      </w:pPr>
      <w:r>
        <w:rPr>
          <w:b/>
          <w:color w:val="000000"/>
          <w:sz w:val="22"/>
          <w:szCs w:val="22"/>
        </w:rPr>
        <w:t>ULS File No. 0007162285</w:t>
      </w:r>
    </w:p>
    <w:p w14:paraId="05545841" w14:textId="77777777" w:rsidR="00677F8D" w:rsidRDefault="00677F8D">
      <w:pPr>
        <w:rPr>
          <w:b/>
          <w:sz w:val="22"/>
          <w:szCs w:val="22"/>
        </w:rPr>
      </w:pPr>
    </w:p>
    <w:p w14:paraId="0FCA7049" w14:textId="77777777" w:rsidR="00677F8D" w:rsidRDefault="00677F8D" w:rsidP="00714A5F">
      <w:pPr>
        <w:spacing w:after="220"/>
        <w:jc w:val="center"/>
        <w:outlineLvl w:val="0"/>
        <w:rPr>
          <w:b/>
          <w:sz w:val="22"/>
          <w:szCs w:val="22"/>
        </w:rPr>
      </w:pPr>
      <w:r>
        <w:rPr>
          <w:b/>
          <w:sz w:val="22"/>
          <w:szCs w:val="22"/>
        </w:rPr>
        <w:t>PLEADING CYCLE ESTABLISHED</w:t>
      </w:r>
    </w:p>
    <w:p w14:paraId="64425C9C" w14:textId="246716BF" w:rsidR="003A5522" w:rsidRDefault="003A5522" w:rsidP="003A5522">
      <w:pPr>
        <w:widowControl/>
        <w:outlineLvl w:val="0"/>
        <w:rPr>
          <w:b/>
          <w:sz w:val="22"/>
          <w:szCs w:val="22"/>
        </w:rPr>
      </w:pPr>
      <w:r>
        <w:rPr>
          <w:b/>
          <w:sz w:val="22"/>
          <w:szCs w:val="22"/>
        </w:rPr>
        <w:t>Petitions to Deny Due:</w:t>
      </w:r>
      <w:r>
        <w:rPr>
          <w:b/>
          <w:sz w:val="22"/>
          <w:szCs w:val="22"/>
        </w:rPr>
        <w:tab/>
      </w:r>
      <w:r>
        <w:rPr>
          <w:b/>
          <w:sz w:val="22"/>
          <w:szCs w:val="22"/>
        </w:rPr>
        <w:tab/>
      </w:r>
      <w:r w:rsidR="007F2586">
        <w:rPr>
          <w:b/>
          <w:sz w:val="22"/>
          <w:szCs w:val="22"/>
        </w:rPr>
        <w:t xml:space="preserve">May </w:t>
      </w:r>
      <w:r w:rsidR="002D0DCC">
        <w:rPr>
          <w:b/>
          <w:sz w:val="22"/>
          <w:szCs w:val="22"/>
        </w:rPr>
        <w:t>3</w:t>
      </w:r>
      <w:r w:rsidR="007F2586">
        <w:rPr>
          <w:b/>
          <w:sz w:val="22"/>
          <w:szCs w:val="22"/>
        </w:rPr>
        <w:t>, 2016</w:t>
      </w:r>
    </w:p>
    <w:p w14:paraId="60E7C06F" w14:textId="374E4BA7" w:rsidR="003A5522" w:rsidRDefault="003A5522" w:rsidP="003A5522">
      <w:pPr>
        <w:widowControl/>
        <w:rPr>
          <w:b/>
          <w:sz w:val="22"/>
          <w:szCs w:val="22"/>
        </w:rPr>
      </w:pPr>
      <w:r>
        <w:rPr>
          <w:b/>
          <w:sz w:val="22"/>
          <w:szCs w:val="22"/>
        </w:rPr>
        <w:t>Oppositions Due:</w:t>
      </w:r>
      <w:r>
        <w:rPr>
          <w:b/>
          <w:sz w:val="22"/>
          <w:szCs w:val="22"/>
        </w:rPr>
        <w:tab/>
      </w:r>
      <w:r>
        <w:rPr>
          <w:b/>
          <w:sz w:val="22"/>
          <w:szCs w:val="22"/>
        </w:rPr>
        <w:tab/>
      </w:r>
      <w:r w:rsidR="007F2586">
        <w:rPr>
          <w:b/>
          <w:sz w:val="22"/>
          <w:szCs w:val="22"/>
        </w:rPr>
        <w:t>May 1</w:t>
      </w:r>
      <w:r w:rsidR="002D0DCC">
        <w:rPr>
          <w:b/>
          <w:sz w:val="22"/>
          <w:szCs w:val="22"/>
        </w:rPr>
        <w:t>3</w:t>
      </w:r>
      <w:r w:rsidR="007F2586">
        <w:rPr>
          <w:b/>
          <w:sz w:val="22"/>
          <w:szCs w:val="22"/>
        </w:rPr>
        <w:t>, 2016</w:t>
      </w:r>
    </w:p>
    <w:p w14:paraId="35CE5484" w14:textId="46AFA7C0" w:rsidR="003A5522" w:rsidRDefault="003A5522" w:rsidP="003A5522">
      <w:pPr>
        <w:widowControl/>
        <w:spacing w:after="220"/>
        <w:rPr>
          <w:b/>
          <w:sz w:val="22"/>
          <w:szCs w:val="22"/>
        </w:rPr>
      </w:pPr>
      <w:r>
        <w:rPr>
          <w:b/>
          <w:sz w:val="22"/>
          <w:szCs w:val="22"/>
        </w:rPr>
        <w:t>Replies Due:</w:t>
      </w:r>
      <w:r>
        <w:rPr>
          <w:b/>
          <w:sz w:val="22"/>
          <w:szCs w:val="22"/>
        </w:rPr>
        <w:tab/>
      </w:r>
      <w:r>
        <w:rPr>
          <w:b/>
          <w:sz w:val="22"/>
          <w:szCs w:val="22"/>
        </w:rPr>
        <w:tab/>
      </w:r>
      <w:r>
        <w:rPr>
          <w:b/>
          <w:sz w:val="22"/>
          <w:szCs w:val="22"/>
        </w:rPr>
        <w:tab/>
      </w:r>
      <w:r w:rsidR="007F2586">
        <w:rPr>
          <w:b/>
          <w:sz w:val="22"/>
          <w:szCs w:val="22"/>
        </w:rPr>
        <w:t>May</w:t>
      </w:r>
      <w:r w:rsidR="002D0DCC">
        <w:rPr>
          <w:b/>
          <w:sz w:val="22"/>
          <w:szCs w:val="22"/>
        </w:rPr>
        <w:t>20</w:t>
      </w:r>
      <w:r w:rsidR="007F2586">
        <w:rPr>
          <w:b/>
          <w:sz w:val="22"/>
          <w:szCs w:val="22"/>
        </w:rPr>
        <w:t>, 2016</w:t>
      </w:r>
    </w:p>
    <w:p w14:paraId="478D1EE6" w14:textId="77777777" w:rsidR="00677F8D" w:rsidRDefault="00C46564" w:rsidP="00714A5F">
      <w:pPr>
        <w:spacing w:after="220"/>
        <w:outlineLvl w:val="0"/>
        <w:rPr>
          <w:b/>
          <w:sz w:val="22"/>
          <w:szCs w:val="22"/>
        </w:rPr>
      </w:pPr>
      <w:r>
        <w:rPr>
          <w:b/>
          <w:sz w:val="22"/>
          <w:szCs w:val="22"/>
        </w:rPr>
        <w:t>I.</w:t>
      </w:r>
      <w:r>
        <w:rPr>
          <w:b/>
          <w:sz w:val="22"/>
          <w:szCs w:val="22"/>
        </w:rPr>
        <w:tab/>
        <w:t>INTRODUCTION</w:t>
      </w:r>
    </w:p>
    <w:p w14:paraId="0BE73A52" w14:textId="7F079047" w:rsidR="00714A5F" w:rsidRDefault="00A96D24" w:rsidP="00714A5F">
      <w:pPr>
        <w:spacing w:after="220"/>
        <w:rPr>
          <w:sz w:val="22"/>
          <w:szCs w:val="22"/>
        </w:rPr>
      </w:pPr>
      <w:r>
        <w:rPr>
          <w:b/>
          <w:sz w:val="22"/>
          <w:szCs w:val="22"/>
        </w:rPr>
        <w:tab/>
      </w:r>
      <w:r w:rsidR="001631B4">
        <w:rPr>
          <w:sz w:val="22"/>
          <w:szCs w:val="22"/>
        </w:rPr>
        <w:t>Cellco Partnership d/b/a Verizon Wireless (Verizon Wireless) and Nextlink Wireless, LLC (Nextlink</w:t>
      </w:r>
      <w:r w:rsidR="00B63996">
        <w:rPr>
          <w:sz w:val="22"/>
          <w:szCs w:val="22"/>
        </w:rPr>
        <w:t>, and together with Verizon</w:t>
      </w:r>
      <w:r w:rsidR="00306ACC">
        <w:rPr>
          <w:sz w:val="22"/>
          <w:szCs w:val="22"/>
        </w:rPr>
        <w:t xml:space="preserve"> Wireless</w:t>
      </w:r>
      <w:r w:rsidR="00B63996">
        <w:rPr>
          <w:sz w:val="22"/>
          <w:szCs w:val="22"/>
        </w:rPr>
        <w:t>, the Applicants)</w:t>
      </w:r>
      <w:r w:rsidR="002E2943">
        <w:rPr>
          <w:sz w:val="22"/>
          <w:szCs w:val="22"/>
        </w:rPr>
        <w:t xml:space="preserve"> </w:t>
      </w:r>
      <w:r w:rsidR="00677F8D" w:rsidRPr="00586237">
        <w:rPr>
          <w:sz w:val="22"/>
          <w:szCs w:val="22"/>
        </w:rPr>
        <w:t xml:space="preserve">have filed </w:t>
      </w:r>
      <w:r w:rsidR="00A76C6A">
        <w:rPr>
          <w:sz w:val="22"/>
          <w:szCs w:val="22"/>
        </w:rPr>
        <w:t xml:space="preserve">an </w:t>
      </w:r>
      <w:r w:rsidR="00677F8D" w:rsidRPr="00586237">
        <w:rPr>
          <w:sz w:val="22"/>
          <w:szCs w:val="22"/>
        </w:rPr>
        <w:t>application</w:t>
      </w:r>
      <w:r w:rsidR="00F80958">
        <w:rPr>
          <w:sz w:val="22"/>
          <w:szCs w:val="22"/>
        </w:rPr>
        <w:t xml:space="preserve"> pursuant to </w:t>
      </w:r>
      <w:r w:rsidR="005876BC">
        <w:rPr>
          <w:sz w:val="22"/>
          <w:szCs w:val="22"/>
        </w:rPr>
        <w:t>S</w:t>
      </w:r>
      <w:r w:rsidR="00677F8D" w:rsidRPr="00586237">
        <w:rPr>
          <w:sz w:val="22"/>
          <w:szCs w:val="22"/>
        </w:rPr>
        <w:t>ection</w:t>
      </w:r>
      <w:r w:rsidR="00F80958">
        <w:rPr>
          <w:sz w:val="22"/>
          <w:szCs w:val="22"/>
        </w:rPr>
        <w:t xml:space="preserve"> </w:t>
      </w:r>
      <w:r w:rsidR="00677F8D" w:rsidRPr="00586237">
        <w:rPr>
          <w:sz w:val="22"/>
          <w:szCs w:val="22"/>
        </w:rPr>
        <w:t>310(d) of the Communications Act of 1934, as amended</w:t>
      </w:r>
      <w:r w:rsidR="00F700D7">
        <w:rPr>
          <w:sz w:val="22"/>
          <w:szCs w:val="22"/>
        </w:rPr>
        <w:t>,</w:t>
      </w:r>
      <w:r w:rsidR="00677F8D" w:rsidRPr="00586237">
        <w:rPr>
          <w:rStyle w:val="FootnoteReference"/>
          <w:sz w:val="22"/>
          <w:szCs w:val="22"/>
        </w:rPr>
        <w:footnoteReference w:id="1"/>
      </w:r>
      <w:r w:rsidR="00677F8D" w:rsidRPr="00586237">
        <w:rPr>
          <w:sz w:val="22"/>
          <w:szCs w:val="22"/>
        </w:rPr>
        <w:t xml:space="preserve"> seeking </w:t>
      </w:r>
      <w:r w:rsidR="00B63996">
        <w:rPr>
          <w:sz w:val="22"/>
          <w:szCs w:val="22"/>
        </w:rPr>
        <w:t xml:space="preserve">Commission consent to a long-term </w:t>
      </w:r>
      <w:r w:rsidR="00B63996">
        <w:rPr>
          <w:i/>
          <w:sz w:val="22"/>
          <w:szCs w:val="22"/>
        </w:rPr>
        <w:t xml:space="preserve">de </w:t>
      </w:r>
      <w:r w:rsidR="00B63996" w:rsidRPr="00017C90">
        <w:rPr>
          <w:i/>
          <w:sz w:val="22"/>
          <w:szCs w:val="22"/>
        </w:rPr>
        <w:t xml:space="preserve">facto </w:t>
      </w:r>
      <w:r w:rsidR="00B63996">
        <w:rPr>
          <w:sz w:val="22"/>
          <w:szCs w:val="22"/>
        </w:rPr>
        <w:t>transfer spectrum leas</w:t>
      </w:r>
      <w:r w:rsidR="00017C90">
        <w:rPr>
          <w:sz w:val="22"/>
          <w:szCs w:val="22"/>
        </w:rPr>
        <w:t>ing arrangement</w:t>
      </w:r>
      <w:r w:rsidR="00B63996">
        <w:rPr>
          <w:sz w:val="22"/>
          <w:szCs w:val="22"/>
        </w:rPr>
        <w:t xml:space="preserve">.  </w:t>
      </w:r>
      <w:r w:rsidR="00F0162B">
        <w:rPr>
          <w:sz w:val="22"/>
          <w:szCs w:val="22"/>
        </w:rPr>
        <w:t>Under this proposed</w:t>
      </w:r>
      <w:r w:rsidR="00192E54">
        <w:rPr>
          <w:sz w:val="22"/>
          <w:szCs w:val="22"/>
        </w:rPr>
        <w:t xml:space="preserve"> arrangement, </w:t>
      </w:r>
      <w:r w:rsidR="00B63996">
        <w:rPr>
          <w:sz w:val="22"/>
          <w:szCs w:val="22"/>
        </w:rPr>
        <w:t xml:space="preserve">Verizon </w:t>
      </w:r>
      <w:r w:rsidR="00306ACC">
        <w:rPr>
          <w:sz w:val="22"/>
          <w:szCs w:val="22"/>
        </w:rPr>
        <w:t xml:space="preserve">Wireless </w:t>
      </w:r>
      <w:r w:rsidR="00B63996">
        <w:rPr>
          <w:sz w:val="22"/>
          <w:szCs w:val="22"/>
        </w:rPr>
        <w:t xml:space="preserve">would lease from Nextlink spectrum under 93 Local Multipoint Distribution Service (LMDS) and </w:t>
      </w:r>
      <w:r w:rsidR="00D6789D">
        <w:rPr>
          <w:sz w:val="22"/>
          <w:szCs w:val="22"/>
        </w:rPr>
        <w:t>nine</w:t>
      </w:r>
      <w:r w:rsidR="00B63996">
        <w:rPr>
          <w:sz w:val="22"/>
          <w:szCs w:val="22"/>
        </w:rPr>
        <w:t xml:space="preserve"> 39 G</w:t>
      </w:r>
      <w:r w:rsidR="00354660">
        <w:rPr>
          <w:sz w:val="22"/>
          <w:szCs w:val="22"/>
        </w:rPr>
        <w:t>H</w:t>
      </w:r>
      <w:r w:rsidR="00B63996">
        <w:rPr>
          <w:sz w:val="22"/>
          <w:szCs w:val="22"/>
        </w:rPr>
        <w:t>z licenses</w:t>
      </w:r>
      <w:r w:rsidR="00AC01CE">
        <w:rPr>
          <w:sz w:val="22"/>
          <w:szCs w:val="22"/>
        </w:rPr>
        <w:t>.</w:t>
      </w:r>
      <w:r w:rsidR="0063175A">
        <w:rPr>
          <w:sz w:val="22"/>
          <w:szCs w:val="22"/>
        </w:rPr>
        <w:t xml:space="preserve">  </w:t>
      </w:r>
      <w:r w:rsidR="00192E54">
        <w:rPr>
          <w:sz w:val="22"/>
          <w:szCs w:val="22"/>
        </w:rPr>
        <w:t>The Applicants also state that under a separate agreement, Verizon Wireless has an option (the Option) to purchase from XO Holdings</w:t>
      </w:r>
      <w:r w:rsidR="00442119">
        <w:rPr>
          <w:sz w:val="22"/>
          <w:szCs w:val="22"/>
        </w:rPr>
        <w:t>, the parent company of Nextlink,</w:t>
      </w:r>
      <w:r w:rsidR="00192E54">
        <w:rPr>
          <w:sz w:val="22"/>
          <w:szCs w:val="22"/>
        </w:rPr>
        <w:t xml:space="preserve"> all of the issued and outstanding limited liability company interests in Nextlink</w:t>
      </w:r>
      <w:r w:rsidR="0089361F">
        <w:rPr>
          <w:sz w:val="22"/>
          <w:szCs w:val="22"/>
        </w:rPr>
        <w:t xml:space="preserve">, </w:t>
      </w:r>
      <w:r w:rsidR="007641E3">
        <w:rPr>
          <w:sz w:val="22"/>
          <w:szCs w:val="22"/>
        </w:rPr>
        <w:t xml:space="preserve">but </w:t>
      </w:r>
      <w:r w:rsidR="00192E54">
        <w:rPr>
          <w:sz w:val="22"/>
          <w:szCs w:val="22"/>
        </w:rPr>
        <w:t>Verizon Wireless is not exercising the Option at present.</w:t>
      </w:r>
      <w:r w:rsidR="00192E54">
        <w:rPr>
          <w:rStyle w:val="FootnoteReference"/>
          <w:szCs w:val="22"/>
        </w:rPr>
        <w:footnoteReference w:id="2"/>
      </w:r>
      <w:r w:rsidR="00192E54">
        <w:rPr>
          <w:sz w:val="22"/>
          <w:szCs w:val="22"/>
        </w:rPr>
        <w:t xml:space="preserve">  Finally, b</w:t>
      </w:r>
      <w:r w:rsidR="0063175A">
        <w:rPr>
          <w:sz w:val="22"/>
          <w:szCs w:val="22"/>
        </w:rPr>
        <w:t>y a separate Public Notice</w:t>
      </w:r>
      <w:r w:rsidR="00CE3998">
        <w:rPr>
          <w:sz w:val="22"/>
          <w:szCs w:val="22"/>
        </w:rPr>
        <w:t xml:space="preserve"> being released today</w:t>
      </w:r>
      <w:r w:rsidR="0063175A">
        <w:rPr>
          <w:sz w:val="22"/>
          <w:szCs w:val="22"/>
        </w:rPr>
        <w:t>, comment is being sought on a series of applications filed by Verizon Communications Inc. (Verizon Communications) and XO Holdings, for consent to the transfer of control to Verizon Communications of various licenses and authorizations held by XO Holdings</w:t>
      </w:r>
      <w:r w:rsidR="00192E54">
        <w:rPr>
          <w:sz w:val="22"/>
          <w:szCs w:val="22"/>
        </w:rPr>
        <w:t>’</w:t>
      </w:r>
      <w:r w:rsidR="0063175A">
        <w:rPr>
          <w:sz w:val="22"/>
          <w:szCs w:val="22"/>
        </w:rPr>
        <w:t xml:space="preserve"> subsidiary XO Communications, LLC.</w:t>
      </w:r>
      <w:r w:rsidR="0063175A">
        <w:rPr>
          <w:rStyle w:val="FootnoteReference"/>
          <w:szCs w:val="22"/>
        </w:rPr>
        <w:footnoteReference w:id="3"/>
      </w:r>
    </w:p>
    <w:p w14:paraId="40B50A52" w14:textId="60C08DC2" w:rsidR="007C590C" w:rsidRDefault="007536BC" w:rsidP="007536BC">
      <w:pPr>
        <w:spacing w:after="220"/>
        <w:ind w:firstLine="720"/>
        <w:rPr>
          <w:sz w:val="22"/>
          <w:szCs w:val="22"/>
        </w:rPr>
      </w:pPr>
      <w:r w:rsidRPr="0087478E">
        <w:rPr>
          <w:sz w:val="22"/>
          <w:szCs w:val="22"/>
        </w:rPr>
        <w:t xml:space="preserve">The Applicants </w:t>
      </w:r>
      <w:r w:rsidR="00354660">
        <w:rPr>
          <w:sz w:val="22"/>
          <w:szCs w:val="22"/>
        </w:rPr>
        <w:t xml:space="preserve">state that </w:t>
      </w:r>
      <w:r w:rsidR="00F0162B">
        <w:rPr>
          <w:sz w:val="22"/>
          <w:szCs w:val="22"/>
        </w:rPr>
        <w:t xml:space="preserve">the </w:t>
      </w:r>
      <w:r w:rsidR="00354660">
        <w:rPr>
          <w:sz w:val="22"/>
          <w:szCs w:val="22"/>
        </w:rPr>
        <w:t xml:space="preserve">lease agreement would authorize Verizon </w:t>
      </w:r>
      <w:r w:rsidR="00306ACC">
        <w:rPr>
          <w:sz w:val="22"/>
          <w:szCs w:val="22"/>
        </w:rPr>
        <w:t xml:space="preserve">Wireless </w:t>
      </w:r>
      <w:r w:rsidR="00354660">
        <w:rPr>
          <w:sz w:val="22"/>
          <w:szCs w:val="22"/>
        </w:rPr>
        <w:t xml:space="preserve">to use all of Nextlink’s LMDS and 39 GHz spectrum, except for discrete spectrum and geographic areas that are subject to existing leases to third parties or to contractual requirements to reserve spectrum for the use of third parties (Restricted Spectrum).  Under the lease agreement, Nextlink </w:t>
      </w:r>
      <w:r w:rsidR="00F0162B">
        <w:rPr>
          <w:sz w:val="22"/>
          <w:szCs w:val="22"/>
        </w:rPr>
        <w:t xml:space="preserve">also </w:t>
      </w:r>
      <w:r w:rsidR="00354660">
        <w:rPr>
          <w:sz w:val="22"/>
          <w:szCs w:val="22"/>
        </w:rPr>
        <w:t xml:space="preserve">would lease any Restricted </w:t>
      </w:r>
      <w:r w:rsidR="00354660">
        <w:rPr>
          <w:sz w:val="22"/>
          <w:szCs w:val="22"/>
        </w:rPr>
        <w:lastRenderedPageBreak/>
        <w:t xml:space="preserve">Spectrum to Verizon </w:t>
      </w:r>
      <w:r w:rsidR="00306ACC">
        <w:rPr>
          <w:sz w:val="22"/>
          <w:szCs w:val="22"/>
        </w:rPr>
        <w:t xml:space="preserve">Wireless </w:t>
      </w:r>
      <w:r w:rsidR="006D1710">
        <w:rPr>
          <w:sz w:val="22"/>
          <w:szCs w:val="22"/>
        </w:rPr>
        <w:t>when it is no longer subject to a third-part</w:t>
      </w:r>
      <w:r w:rsidR="00017C90">
        <w:rPr>
          <w:sz w:val="22"/>
          <w:szCs w:val="22"/>
        </w:rPr>
        <w:t>y</w:t>
      </w:r>
      <w:r w:rsidR="006D1710">
        <w:rPr>
          <w:sz w:val="22"/>
          <w:szCs w:val="22"/>
        </w:rPr>
        <w:t xml:space="preserve"> commitment.  The Applicants explain that to ensure that any such lease to Verizon </w:t>
      </w:r>
      <w:r w:rsidR="00306ACC">
        <w:rPr>
          <w:sz w:val="22"/>
          <w:szCs w:val="22"/>
        </w:rPr>
        <w:t xml:space="preserve">Wireless </w:t>
      </w:r>
      <w:r w:rsidR="006D1710">
        <w:rPr>
          <w:sz w:val="22"/>
          <w:szCs w:val="22"/>
        </w:rPr>
        <w:t>of newly-available Restricted Spectrum would become effective immediately, they are seeking consent to the leasing arrangement in the instant application with respect to all of Nextlink’s LMDS and 39</w:t>
      </w:r>
      <w:r w:rsidR="007A1071">
        <w:rPr>
          <w:sz w:val="22"/>
          <w:szCs w:val="22"/>
        </w:rPr>
        <w:t xml:space="preserve"> </w:t>
      </w:r>
      <w:r w:rsidR="006D1710">
        <w:rPr>
          <w:sz w:val="22"/>
          <w:szCs w:val="22"/>
        </w:rPr>
        <w:t>GHz spectrum.</w:t>
      </w:r>
      <w:r w:rsidR="00891E1E">
        <w:rPr>
          <w:rStyle w:val="FootnoteReference"/>
          <w:szCs w:val="22"/>
        </w:rPr>
        <w:footnoteReference w:id="4"/>
      </w:r>
      <w:r w:rsidR="00306ACC">
        <w:rPr>
          <w:sz w:val="22"/>
          <w:szCs w:val="22"/>
        </w:rPr>
        <w:t xml:space="preserve">  </w:t>
      </w:r>
      <w:r w:rsidR="00192E54">
        <w:rPr>
          <w:sz w:val="22"/>
          <w:szCs w:val="22"/>
        </w:rPr>
        <w:t>The Applicants further state that the proposed lease arrangement will terminate upon the later of:  (</w:t>
      </w:r>
      <w:r w:rsidR="001D31DF">
        <w:rPr>
          <w:sz w:val="22"/>
          <w:szCs w:val="22"/>
        </w:rPr>
        <w:t>1</w:t>
      </w:r>
      <w:r w:rsidR="00192E54">
        <w:rPr>
          <w:sz w:val="22"/>
          <w:szCs w:val="22"/>
        </w:rPr>
        <w:t>) December 31, 2018</w:t>
      </w:r>
      <w:r w:rsidR="001D31DF">
        <w:rPr>
          <w:sz w:val="22"/>
          <w:szCs w:val="22"/>
        </w:rPr>
        <w:t>,</w:t>
      </w:r>
      <w:r w:rsidR="00192E54">
        <w:rPr>
          <w:sz w:val="22"/>
          <w:szCs w:val="22"/>
        </w:rPr>
        <w:t xml:space="preserve"> or (</w:t>
      </w:r>
      <w:r w:rsidR="001D31DF">
        <w:rPr>
          <w:sz w:val="22"/>
          <w:szCs w:val="22"/>
        </w:rPr>
        <w:t>2</w:t>
      </w:r>
      <w:r w:rsidR="00192E54">
        <w:rPr>
          <w:sz w:val="22"/>
          <w:szCs w:val="22"/>
        </w:rPr>
        <w:t>) the closing of the purchase by Verizon Wireless of the Nextlink interests if the Option is exercised.</w:t>
      </w:r>
      <w:r w:rsidR="00192E54">
        <w:rPr>
          <w:rStyle w:val="FootnoteReference"/>
          <w:szCs w:val="22"/>
        </w:rPr>
        <w:footnoteReference w:id="5"/>
      </w:r>
      <w:r w:rsidR="00192E54">
        <w:rPr>
          <w:sz w:val="22"/>
          <w:szCs w:val="22"/>
        </w:rPr>
        <w:t xml:space="preserve"> </w:t>
      </w:r>
    </w:p>
    <w:p w14:paraId="19D7707C" w14:textId="560B235E" w:rsidR="008F099D" w:rsidRDefault="006D1710" w:rsidP="006C53BA">
      <w:pPr>
        <w:widowControl/>
        <w:spacing w:after="220"/>
        <w:ind w:firstLine="720"/>
        <w:rPr>
          <w:sz w:val="22"/>
          <w:szCs w:val="22"/>
        </w:rPr>
      </w:pPr>
      <w:r>
        <w:rPr>
          <w:sz w:val="22"/>
          <w:szCs w:val="22"/>
        </w:rPr>
        <w:t xml:space="preserve">The Applicants assert that the proposed leasing arrangement is in the public interest.  They claim that it will help Verizon </w:t>
      </w:r>
      <w:r w:rsidR="00306ACC">
        <w:rPr>
          <w:sz w:val="22"/>
          <w:szCs w:val="22"/>
        </w:rPr>
        <w:t xml:space="preserve">Wireless </w:t>
      </w:r>
      <w:r w:rsidR="00891E1E">
        <w:rPr>
          <w:sz w:val="22"/>
          <w:szCs w:val="22"/>
        </w:rPr>
        <w:t xml:space="preserve">in research, development, and early testing of 5G products and services.  </w:t>
      </w:r>
      <w:r w:rsidR="0089361F">
        <w:rPr>
          <w:sz w:val="22"/>
          <w:szCs w:val="22"/>
        </w:rPr>
        <w:t>The Applicants specifically note that “Verizon is moving quickly to make 5G a reality.”</w:t>
      </w:r>
      <w:r w:rsidR="0089361F">
        <w:rPr>
          <w:rStyle w:val="FootnoteReference"/>
          <w:szCs w:val="22"/>
        </w:rPr>
        <w:footnoteReference w:id="6"/>
      </w:r>
      <w:r w:rsidR="0089361F">
        <w:rPr>
          <w:sz w:val="22"/>
          <w:szCs w:val="22"/>
        </w:rPr>
        <w:t xml:space="preserve">  </w:t>
      </w:r>
      <w:r w:rsidR="00891E1E">
        <w:rPr>
          <w:sz w:val="22"/>
          <w:szCs w:val="22"/>
        </w:rPr>
        <w:t xml:space="preserve">They also assert that the leased spectrum would provide Verizon </w:t>
      </w:r>
      <w:r w:rsidR="00306ACC">
        <w:rPr>
          <w:sz w:val="22"/>
          <w:szCs w:val="22"/>
        </w:rPr>
        <w:t xml:space="preserve">Wireless </w:t>
      </w:r>
      <w:r w:rsidR="00891E1E">
        <w:rPr>
          <w:sz w:val="22"/>
          <w:szCs w:val="22"/>
        </w:rPr>
        <w:t xml:space="preserve">additional options to supplement its existing backhaul operations.  </w:t>
      </w:r>
      <w:r w:rsidR="00017C90">
        <w:rPr>
          <w:sz w:val="22"/>
          <w:szCs w:val="22"/>
        </w:rPr>
        <w:t xml:space="preserve">The Applicants also assert that the proposed leasing arrangement does not raise any competitive concerns.  They note that Verizon </w:t>
      </w:r>
      <w:r w:rsidR="00306ACC">
        <w:rPr>
          <w:sz w:val="22"/>
          <w:szCs w:val="22"/>
        </w:rPr>
        <w:t xml:space="preserve">Wireless </w:t>
      </w:r>
      <w:r w:rsidR="00017C90">
        <w:rPr>
          <w:sz w:val="22"/>
          <w:szCs w:val="22"/>
        </w:rPr>
        <w:t>currently does not hold or lease any LMDS or 39</w:t>
      </w:r>
      <w:r w:rsidR="007A1071">
        <w:rPr>
          <w:sz w:val="22"/>
          <w:szCs w:val="22"/>
        </w:rPr>
        <w:t xml:space="preserve"> </w:t>
      </w:r>
      <w:r w:rsidR="00017C90">
        <w:rPr>
          <w:sz w:val="22"/>
          <w:szCs w:val="22"/>
        </w:rPr>
        <w:t>GHz spectrum.</w:t>
      </w:r>
      <w:r w:rsidR="00017C90">
        <w:rPr>
          <w:rStyle w:val="FootnoteReference"/>
          <w:szCs w:val="22"/>
        </w:rPr>
        <w:footnoteReference w:id="7"/>
      </w:r>
    </w:p>
    <w:p w14:paraId="7902FA9E" w14:textId="3C5EFF89" w:rsidR="007A7FDE" w:rsidRPr="00FF0361" w:rsidRDefault="00DC67E8" w:rsidP="006C53BA">
      <w:pPr>
        <w:widowControl/>
        <w:spacing w:after="220"/>
        <w:ind w:firstLine="720"/>
        <w:rPr>
          <w:rStyle w:val="Normal2"/>
          <w:sz w:val="22"/>
          <w:szCs w:val="22"/>
        </w:rPr>
      </w:pPr>
      <w:r>
        <w:rPr>
          <w:sz w:val="22"/>
          <w:szCs w:val="22"/>
        </w:rPr>
        <w:t xml:space="preserve">We </w:t>
      </w:r>
      <w:r w:rsidR="00D6789D">
        <w:rPr>
          <w:sz w:val="22"/>
          <w:szCs w:val="22"/>
        </w:rPr>
        <w:t xml:space="preserve">here seek comment </w:t>
      </w:r>
      <w:r w:rsidR="00623610">
        <w:rPr>
          <w:sz w:val="22"/>
          <w:szCs w:val="22"/>
        </w:rPr>
        <w:t xml:space="preserve">generally </w:t>
      </w:r>
      <w:r w:rsidR="00D6789D">
        <w:rPr>
          <w:sz w:val="22"/>
          <w:szCs w:val="22"/>
        </w:rPr>
        <w:t>on whether</w:t>
      </w:r>
      <w:r w:rsidR="00623610">
        <w:rPr>
          <w:sz w:val="22"/>
          <w:szCs w:val="22"/>
        </w:rPr>
        <w:t xml:space="preserve"> grant of the application for this</w:t>
      </w:r>
      <w:r w:rsidR="00D6789D">
        <w:rPr>
          <w:sz w:val="22"/>
          <w:szCs w:val="22"/>
        </w:rPr>
        <w:t xml:space="preserve"> </w:t>
      </w:r>
      <w:r w:rsidR="00D6789D">
        <w:rPr>
          <w:i/>
          <w:sz w:val="22"/>
          <w:szCs w:val="22"/>
        </w:rPr>
        <w:t xml:space="preserve">de facto </w:t>
      </w:r>
      <w:r w:rsidR="00D6789D">
        <w:rPr>
          <w:sz w:val="22"/>
          <w:szCs w:val="22"/>
        </w:rPr>
        <w:t>transfer leasing arrangement</w:t>
      </w:r>
      <w:r w:rsidR="00623610">
        <w:rPr>
          <w:sz w:val="22"/>
          <w:szCs w:val="22"/>
        </w:rPr>
        <w:t xml:space="preserve"> will serve the public interest, convenience, and necessity.  We also seek comment on the implications, if any, of the proposed leasing arrangement </w:t>
      </w:r>
      <w:r w:rsidR="00CE3998">
        <w:rPr>
          <w:sz w:val="22"/>
          <w:szCs w:val="22"/>
        </w:rPr>
        <w:t xml:space="preserve">for competition in the provision of </w:t>
      </w:r>
      <w:r>
        <w:rPr>
          <w:sz w:val="22"/>
          <w:szCs w:val="22"/>
        </w:rPr>
        <w:t xml:space="preserve">business </w:t>
      </w:r>
      <w:r w:rsidR="002E2943">
        <w:rPr>
          <w:sz w:val="22"/>
          <w:szCs w:val="22"/>
        </w:rPr>
        <w:t xml:space="preserve">data </w:t>
      </w:r>
      <w:r>
        <w:rPr>
          <w:sz w:val="22"/>
          <w:szCs w:val="22"/>
        </w:rPr>
        <w:t>services</w:t>
      </w:r>
      <w:r w:rsidR="002E2943">
        <w:rPr>
          <w:sz w:val="22"/>
          <w:szCs w:val="22"/>
        </w:rPr>
        <w:t xml:space="preserve"> (also called special access services)</w:t>
      </w:r>
      <w:r w:rsidR="00CE3998">
        <w:rPr>
          <w:sz w:val="22"/>
          <w:szCs w:val="22"/>
        </w:rPr>
        <w:t>.</w:t>
      </w:r>
      <w:r>
        <w:rPr>
          <w:rStyle w:val="FootnoteReference"/>
          <w:szCs w:val="22"/>
        </w:rPr>
        <w:footnoteReference w:id="8"/>
      </w:r>
    </w:p>
    <w:p w14:paraId="02557ABC" w14:textId="77777777" w:rsidR="00677F8D" w:rsidRPr="0089192F" w:rsidRDefault="00677F8D" w:rsidP="00E870B9">
      <w:pPr>
        <w:keepNext/>
        <w:spacing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p>
    <w:p w14:paraId="2452312D" w14:textId="77777777" w:rsidR="00677F8D" w:rsidRPr="00FB3631" w:rsidRDefault="00677F8D" w:rsidP="00E870B9">
      <w:pPr>
        <w:keepNext/>
        <w:spacing w:after="220"/>
        <w:ind w:firstLine="720"/>
        <w:rPr>
          <w:rStyle w:val="Normal1"/>
          <w:sz w:val="22"/>
          <w:szCs w:val="22"/>
        </w:rPr>
      </w:pPr>
      <w:r w:rsidRPr="00D440C4">
        <w:rPr>
          <w:sz w:val="22"/>
          <w:szCs w:val="22"/>
        </w:rPr>
        <w:t>T</w:t>
      </w:r>
      <w:r w:rsidRPr="00D440C4">
        <w:rPr>
          <w:rStyle w:val="Normal1"/>
          <w:sz w:val="22"/>
          <w:szCs w:val="22"/>
        </w:rPr>
        <w:t xml:space="preserve">he application for </w:t>
      </w:r>
      <w:r w:rsidR="00D440C4" w:rsidRPr="00D440C4">
        <w:rPr>
          <w:rStyle w:val="Normal1"/>
          <w:sz w:val="22"/>
          <w:szCs w:val="22"/>
        </w:rPr>
        <w:t xml:space="preserve">the </w:t>
      </w:r>
      <w:r w:rsidR="00D11C31">
        <w:rPr>
          <w:rStyle w:val="Normal1"/>
          <w:sz w:val="22"/>
          <w:szCs w:val="22"/>
        </w:rPr>
        <w:t xml:space="preserve">long-term </w:t>
      </w:r>
      <w:r w:rsidR="00D11C31">
        <w:rPr>
          <w:rStyle w:val="Normal1"/>
          <w:i/>
          <w:sz w:val="22"/>
          <w:szCs w:val="22"/>
        </w:rPr>
        <w:t xml:space="preserve">de facto </w:t>
      </w:r>
      <w:r w:rsidR="00D11C31" w:rsidRPr="00D11C31">
        <w:rPr>
          <w:rStyle w:val="Normal1"/>
          <w:sz w:val="22"/>
          <w:szCs w:val="22"/>
        </w:rPr>
        <w:t>transfer</w:t>
      </w:r>
      <w:r w:rsidRPr="00D440C4">
        <w:rPr>
          <w:rStyle w:val="Normal1"/>
          <w:sz w:val="22"/>
          <w:szCs w:val="22"/>
        </w:rPr>
        <w:t xml:space="preserve"> </w:t>
      </w:r>
      <w:r w:rsidR="00D11C31">
        <w:rPr>
          <w:rStyle w:val="Normal1"/>
          <w:sz w:val="22"/>
          <w:szCs w:val="22"/>
        </w:rPr>
        <w:t xml:space="preserve">spectrum lease </w:t>
      </w:r>
      <w:r w:rsidR="00A72D7B">
        <w:rPr>
          <w:rStyle w:val="Normal1"/>
          <w:sz w:val="22"/>
          <w:szCs w:val="22"/>
        </w:rPr>
        <w:t>has</w:t>
      </w:r>
      <w:r w:rsidRPr="00D440C4">
        <w:rPr>
          <w:rStyle w:val="Normal1"/>
          <w:sz w:val="22"/>
          <w:szCs w:val="22"/>
        </w:rPr>
        <w:t xml:space="preserve"> the following file number:</w:t>
      </w:r>
    </w:p>
    <w:tbl>
      <w:tblPr>
        <w:tblW w:w="5095" w:type="pct"/>
        <w:tblCellMar>
          <w:left w:w="40" w:type="dxa"/>
          <w:right w:w="40" w:type="dxa"/>
        </w:tblCellMar>
        <w:tblLook w:val="0000" w:firstRow="0" w:lastRow="0" w:firstColumn="0" w:lastColumn="0" w:noHBand="0" w:noVBand="0"/>
      </w:tblPr>
      <w:tblGrid>
        <w:gridCol w:w="1390"/>
        <w:gridCol w:w="3421"/>
        <w:gridCol w:w="3334"/>
        <w:gridCol w:w="1474"/>
      </w:tblGrid>
      <w:tr w:rsidR="003050A6" w14:paraId="57A67200" w14:textId="77777777" w:rsidTr="00BC1455">
        <w:trPr>
          <w:cantSplit/>
          <w:trHeight w:val="173"/>
          <w:tblHeader/>
        </w:trPr>
        <w:tc>
          <w:tcPr>
            <w:tcW w:w="723" w:type="pct"/>
            <w:shd w:val="clear" w:color="C0C0C0" w:fill="auto"/>
          </w:tcPr>
          <w:p w14:paraId="00354BA5" w14:textId="77777777"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14:paraId="17A39737" w14:textId="77777777" w:rsidR="00677F8D" w:rsidRDefault="00677F8D">
            <w:pPr>
              <w:autoSpaceDE w:val="0"/>
              <w:autoSpaceDN w:val="0"/>
              <w:adjustRightInd w:val="0"/>
              <w:rPr>
                <w:b/>
                <w:color w:val="000000"/>
                <w:sz w:val="22"/>
                <w:szCs w:val="22"/>
                <w:u w:val="single"/>
              </w:rPr>
            </w:pPr>
          </w:p>
        </w:tc>
        <w:tc>
          <w:tcPr>
            <w:tcW w:w="1778" w:type="pct"/>
            <w:shd w:val="clear" w:color="C0C0C0" w:fill="auto"/>
          </w:tcPr>
          <w:p w14:paraId="79ECDB24" w14:textId="77777777" w:rsidR="00677F8D" w:rsidRDefault="00677F8D" w:rsidP="00D11C31">
            <w:pPr>
              <w:autoSpaceDE w:val="0"/>
              <w:autoSpaceDN w:val="0"/>
              <w:adjustRightInd w:val="0"/>
              <w:ind w:left="-41"/>
              <w:rPr>
                <w:b/>
                <w:color w:val="000000"/>
                <w:sz w:val="22"/>
                <w:szCs w:val="22"/>
                <w:u w:val="single"/>
              </w:rPr>
            </w:pPr>
            <w:r>
              <w:rPr>
                <w:b/>
                <w:color w:val="000000"/>
                <w:sz w:val="22"/>
                <w:szCs w:val="22"/>
                <w:u w:val="single"/>
              </w:rPr>
              <w:t>Licensee/</w:t>
            </w:r>
            <w:r w:rsidR="00D11C31">
              <w:rPr>
                <w:b/>
                <w:color w:val="000000"/>
                <w:sz w:val="22"/>
                <w:szCs w:val="22"/>
                <w:u w:val="single"/>
              </w:rPr>
              <w:t>Lessor</w:t>
            </w:r>
          </w:p>
        </w:tc>
        <w:tc>
          <w:tcPr>
            <w:tcW w:w="1733" w:type="pct"/>
            <w:shd w:val="clear" w:color="C0C0C0" w:fill="auto"/>
          </w:tcPr>
          <w:p w14:paraId="0E9FEB33" w14:textId="77777777" w:rsidR="00677F8D" w:rsidRDefault="00D11C31" w:rsidP="002E2DA8">
            <w:pPr>
              <w:autoSpaceDE w:val="0"/>
              <w:autoSpaceDN w:val="0"/>
              <w:adjustRightInd w:val="0"/>
              <w:rPr>
                <w:b/>
                <w:color w:val="000000"/>
                <w:sz w:val="22"/>
                <w:szCs w:val="22"/>
                <w:u w:val="single"/>
              </w:rPr>
            </w:pPr>
            <w:r>
              <w:rPr>
                <w:b/>
                <w:color w:val="000000"/>
                <w:sz w:val="22"/>
                <w:szCs w:val="22"/>
                <w:u w:val="single"/>
              </w:rPr>
              <w:t>Less</w:t>
            </w:r>
            <w:r w:rsidR="00677F8D">
              <w:rPr>
                <w:b/>
                <w:color w:val="000000"/>
                <w:sz w:val="22"/>
                <w:szCs w:val="22"/>
                <w:u w:val="single"/>
              </w:rPr>
              <w:t>ee</w:t>
            </w:r>
          </w:p>
        </w:tc>
        <w:tc>
          <w:tcPr>
            <w:tcW w:w="767" w:type="pct"/>
            <w:shd w:val="clear" w:color="C0C0C0" w:fill="auto"/>
          </w:tcPr>
          <w:p w14:paraId="280EB79B" w14:textId="77777777"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3050A6" w14:paraId="421EB8BB" w14:textId="77777777" w:rsidTr="00BC1455">
        <w:trPr>
          <w:cantSplit/>
          <w:trHeight w:val="152"/>
        </w:trPr>
        <w:tc>
          <w:tcPr>
            <w:tcW w:w="723" w:type="pct"/>
            <w:shd w:val="clear" w:color="auto" w:fill="auto"/>
          </w:tcPr>
          <w:p w14:paraId="277048C9" w14:textId="77777777" w:rsidR="006C53BA" w:rsidRPr="006C53BA" w:rsidRDefault="002F5A47" w:rsidP="00D11C31">
            <w:pPr>
              <w:keepNext/>
              <w:tabs>
                <w:tab w:val="left" w:pos="720"/>
              </w:tabs>
              <w:rPr>
                <w:color w:val="000000"/>
                <w:sz w:val="22"/>
                <w:szCs w:val="22"/>
                <w:shd w:val="clear" w:color="auto" w:fill="F7F5FF"/>
              </w:rPr>
            </w:pPr>
            <w:r>
              <w:rPr>
                <w:sz w:val="22"/>
                <w:szCs w:val="22"/>
              </w:rPr>
              <w:t>0007</w:t>
            </w:r>
            <w:r w:rsidR="00D11C31">
              <w:rPr>
                <w:sz w:val="22"/>
                <w:szCs w:val="22"/>
              </w:rPr>
              <w:t>162285</w:t>
            </w:r>
          </w:p>
        </w:tc>
        <w:tc>
          <w:tcPr>
            <w:tcW w:w="1778" w:type="pct"/>
            <w:shd w:val="clear" w:color="C0C0C0" w:fill="auto"/>
          </w:tcPr>
          <w:p w14:paraId="19A5183F" w14:textId="77777777" w:rsidR="00677F8D" w:rsidRPr="00000509" w:rsidRDefault="00D11C31" w:rsidP="002F5A47">
            <w:pPr>
              <w:ind w:left="-41"/>
              <w:rPr>
                <w:sz w:val="22"/>
                <w:szCs w:val="22"/>
              </w:rPr>
            </w:pPr>
            <w:r>
              <w:rPr>
                <w:sz w:val="22"/>
                <w:szCs w:val="22"/>
              </w:rPr>
              <w:t>Nextlink Wireless</w:t>
            </w:r>
            <w:r w:rsidR="002F5A47">
              <w:rPr>
                <w:sz w:val="22"/>
                <w:szCs w:val="22"/>
              </w:rPr>
              <w:t>, LLC</w:t>
            </w:r>
          </w:p>
        </w:tc>
        <w:tc>
          <w:tcPr>
            <w:tcW w:w="1733" w:type="pct"/>
            <w:shd w:val="clear" w:color="C0C0C0" w:fill="auto"/>
          </w:tcPr>
          <w:p w14:paraId="6D9FD877" w14:textId="77777777" w:rsidR="00677F8D" w:rsidRPr="00530B3B" w:rsidRDefault="00D11C31" w:rsidP="002E2DA8">
            <w:pPr>
              <w:rPr>
                <w:sz w:val="22"/>
                <w:szCs w:val="22"/>
              </w:rPr>
            </w:pPr>
            <w:r>
              <w:rPr>
                <w:sz w:val="22"/>
                <w:szCs w:val="22"/>
              </w:rPr>
              <w:t>Cellco Partnership</w:t>
            </w:r>
          </w:p>
        </w:tc>
        <w:tc>
          <w:tcPr>
            <w:tcW w:w="767" w:type="pct"/>
            <w:shd w:val="clear" w:color="C0C0C0" w:fill="auto"/>
          </w:tcPr>
          <w:p w14:paraId="2840342F" w14:textId="77777777" w:rsidR="00677F8D" w:rsidRDefault="002F5A47" w:rsidP="00D11C31">
            <w:pPr>
              <w:ind w:hanging="40"/>
              <w:rPr>
                <w:sz w:val="22"/>
                <w:szCs w:val="22"/>
              </w:rPr>
            </w:pPr>
            <w:r>
              <w:rPr>
                <w:sz w:val="22"/>
                <w:szCs w:val="22"/>
              </w:rPr>
              <w:t>W</w:t>
            </w:r>
            <w:r w:rsidR="00D11C31">
              <w:rPr>
                <w:sz w:val="22"/>
                <w:szCs w:val="22"/>
              </w:rPr>
              <w:t>PLM397</w:t>
            </w:r>
          </w:p>
        </w:tc>
      </w:tr>
    </w:tbl>
    <w:p w14:paraId="2FA1A69E" w14:textId="77777777" w:rsidR="00677F8D" w:rsidRDefault="00F80958" w:rsidP="000701F1">
      <w:pPr>
        <w:keepNext/>
        <w:spacing w:before="220" w:after="220"/>
        <w:outlineLvl w:val="0"/>
        <w:rPr>
          <w:rStyle w:val="Normal1"/>
          <w:b/>
          <w:sz w:val="22"/>
          <w:szCs w:val="22"/>
        </w:rPr>
      </w:pPr>
      <w:r>
        <w:rPr>
          <w:rStyle w:val="StyleTimesNewRomanBold11ptBold"/>
          <w:rFonts w:hAnsi="Times New Roman"/>
        </w:rPr>
        <w:t>iiI.</w:t>
      </w:r>
      <w:r>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14:paraId="6781B637" w14:textId="77777777" w:rsidR="00677F8D" w:rsidRDefault="00677F8D" w:rsidP="006C53BA">
      <w:pPr>
        <w:widowControl/>
        <w:spacing w:after="220"/>
        <w:rPr>
          <w:rStyle w:val="Normal1"/>
          <w:b/>
          <w:sz w:val="22"/>
          <w:szCs w:val="22"/>
        </w:rPr>
      </w:pPr>
      <w:r>
        <w:rPr>
          <w:rStyle w:val="Normal1"/>
          <w:b/>
          <w:sz w:val="22"/>
          <w:szCs w:val="22"/>
        </w:rPr>
        <w:tab/>
      </w:r>
      <w:r w:rsidR="00D408DD">
        <w:rPr>
          <w:rStyle w:val="Normal1"/>
          <w:sz w:val="22"/>
          <w:szCs w:val="22"/>
        </w:rPr>
        <w:t xml:space="preserve">Pursuant to </w:t>
      </w:r>
      <w:r w:rsidR="005876BC">
        <w:rPr>
          <w:rStyle w:val="Normal1"/>
          <w:sz w:val="22"/>
          <w:szCs w:val="22"/>
        </w:rPr>
        <w:t>S</w:t>
      </w:r>
      <w:r>
        <w:rPr>
          <w:rStyle w:val="Normal1"/>
          <w:sz w:val="22"/>
          <w:szCs w:val="22"/>
        </w:rPr>
        <w:t>ection 1.1200(a) of the Commission’s rules,</w:t>
      </w:r>
      <w:r>
        <w:rPr>
          <w:rStyle w:val="FootnoteReference"/>
          <w:sz w:val="22"/>
          <w:szCs w:val="22"/>
        </w:rPr>
        <w:footnoteReference w:id="9"/>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 xml:space="preserve">restricted proceedings under </w:t>
      </w:r>
      <w:r w:rsidR="005876BC">
        <w:rPr>
          <w:rStyle w:val="Normal1"/>
          <w:sz w:val="22"/>
          <w:szCs w:val="22"/>
        </w:rPr>
        <w:t>S</w:t>
      </w:r>
      <w:r>
        <w:rPr>
          <w:rStyle w:val="Normal1"/>
          <w:sz w:val="22"/>
          <w:szCs w:val="22"/>
        </w:rPr>
        <w:t>ection 1.1206 of the Commission’s rules.</w:t>
      </w:r>
      <w:r>
        <w:rPr>
          <w:rStyle w:val="FootnoteReference"/>
          <w:sz w:val="22"/>
          <w:szCs w:val="22"/>
        </w:rPr>
        <w:footnoteReference w:id="10"/>
      </w:r>
    </w:p>
    <w:p w14:paraId="76384C5F" w14:textId="77777777" w:rsidR="00677F8D" w:rsidRDefault="00677F8D" w:rsidP="006C53BA">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11"/>
      </w:r>
      <w:r>
        <w:rPr>
          <w:rStyle w:val="Normal1"/>
          <w:sz w:val="22"/>
          <w:szCs w:val="22"/>
        </w:rPr>
        <w:t xml:space="preserve">  More than a one- or two-sentence description of </w:t>
      </w:r>
      <w:r>
        <w:rPr>
          <w:rStyle w:val="Normal1"/>
          <w:sz w:val="22"/>
          <w:szCs w:val="22"/>
        </w:rPr>
        <w:lastRenderedPageBreak/>
        <w:t>the views and arguments presented is generally required.</w:t>
      </w:r>
      <w:r>
        <w:rPr>
          <w:rStyle w:val="FootnoteReference"/>
          <w:sz w:val="22"/>
          <w:szCs w:val="22"/>
        </w:rPr>
        <w:footnoteReference w:id="12"/>
      </w:r>
      <w:r>
        <w:rPr>
          <w:rStyle w:val="Normal1"/>
          <w:sz w:val="22"/>
          <w:szCs w:val="22"/>
        </w:rPr>
        <w:t xml:space="preserve">  Other rules pertaining to oral and written </w:t>
      </w:r>
      <w:r w:rsidR="00D408DD">
        <w:rPr>
          <w:rStyle w:val="Normal1"/>
          <w:sz w:val="22"/>
          <w:szCs w:val="22"/>
        </w:rPr>
        <w:t xml:space="preserve">presentations are set forth in </w:t>
      </w:r>
      <w:r w:rsidR="005876BC">
        <w:rPr>
          <w:rStyle w:val="Normal1"/>
          <w:sz w:val="22"/>
          <w:szCs w:val="22"/>
        </w:rPr>
        <w:t>S</w:t>
      </w:r>
      <w:r>
        <w:rPr>
          <w:rStyle w:val="Normal1"/>
          <w:sz w:val="22"/>
          <w:szCs w:val="22"/>
        </w:rPr>
        <w:t>ection 1.1206(b) as well.</w:t>
      </w:r>
      <w:r>
        <w:rPr>
          <w:rStyle w:val="FootnoteReference"/>
          <w:sz w:val="22"/>
          <w:szCs w:val="22"/>
        </w:rPr>
        <w:footnoteReference w:id="13"/>
      </w:r>
    </w:p>
    <w:p w14:paraId="68D6C408" w14:textId="77777777" w:rsidR="00677F8D" w:rsidRDefault="00677F8D" w:rsidP="0046688D">
      <w:pPr>
        <w:keepNext/>
        <w:spacing w:after="240"/>
        <w:outlineLvl w:val="0"/>
        <w:rPr>
          <w:b/>
          <w:sz w:val="22"/>
          <w:szCs w:val="22"/>
        </w:rPr>
      </w:pPr>
      <w:r>
        <w:rPr>
          <w:b/>
          <w:sz w:val="22"/>
          <w:szCs w:val="22"/>
        </w:rPr>
        <w:t>IV.</w:t>
      </w:r>
      <w:r>
        <w:rPr>
          <w:b/>
          <w:sz w:val="22"/>
          <w:szCs w:val="22"/>
        </w:rPr>
        <w:tab/>
        <w:t>GENERAL INFORMATION</w:t>
      </w:r>
    </w:p>
    <w:p w14:paraId="122B59ED" w14:textId="77777777" w:rsidR="00677F8D" w:rsidRDefault="00677F8D" w:rsidP="006C53BA">
      <w:pPr>
        <w:widowControl/>
        <w:spacing w:after="220"/>
        <w:ind w:firstLine="720"/>
        <w:rPr>
          <w:sz w:val="22"/>
          <w:szCs w:val="22"/>
        </w:rPr>
      </w:pPr>
      <w:r>
        <w:rPr>
          <w:sz w:val="22"/>
          <w:szCs w:val="22"/>
        </w:rPr>
        <w:t xml:space="preserve">The </w:t>
      </w:r>
      <w:r w:rsidR="00D11C31">
        <w:rPr>
          <w:sz w:val="22"/>
          <w:szCs w:val="22"/>
        </w:rPr>
        <w:t xml:space="preserve">long-term </w:t>
      </w:r>
      <w:r w:rsidR="00D11C31">
        <w:rPr>
          <w:i/>
          <w:sz w:val="22"/>
          <w:szCs w:val="22"/>
        </w:rPr>
        <w:t xml:space="preserve">de </w:t>
      </w:r>
      <w:r w:rsidR="00D11C31" w:rsidRPr="00D11C31">
        <w:rPr>
          <w:sz w:val="22"/>
          <w:szCs w:val="22"/>
        </w:rPr>
        <w:t>facto</w:t>
      </w:r>
      <w:r w:rsidR="00D11C31">
        <w:rPr>
          <w:sz w:val="22"/>
          <w:szCs w:val="22"/>
        </w:rPr>
        <w:t xml:space="preserve"> transfer </w:t>
      </w:r>
      <w:r w:rsidR="00D11C31" w:rsidRPr="00D11C31">
        <w:rPr>
          <w:sz w:val="22"/>
          <w:szCs w:val="22"/>
        </w:rPr>
        <w:t>spectrum</w:t>
      </w:r>
      <w:r w:rsidR="00D11C31">
        <w:rPr>
          <w:sz w:val="22"/>
          <w:szCs w:val="22"/>
        </w:rPr>
        <w:t xml:space="preserve"> leasing application </w:t>
      </w:r>
      <w:r w:rsidR="00A72D7B">
        <w:rPr>
          <w:sz w:val="22"/>
          <w:szCs w:val="22"/>
        </w:rPr>
        <w:t>has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14:paraId="2425859B" w14:textId="4EA6E7D7" w:rsidR="00677F8D" w:rsidRDefault="00677F8D" w:rsidP="006C53BA">
      <w:pPr>
        <w:widowControl/>
        <w:spacing w:after="220"/>
        <w:rPr>
          <w:sz w:val="22"/>
          <w:szCs w:val="22"/>
        </w:rPr>
      </w:pPr>
      <w:r>
        <w:rPr>
          <w:sz w:val="22"/>
          <w:szCs w:val="22"/>
        </w:rPr>
        <w:tab/>
        <w:t>Interested parties must file petitions to deny no later than</w:t>
      </w:r>
      <w:r w:rsidR="007F2586">
        <w:rPr>
          <w:sz w:val="22"/>
          <w:szCs w:val="22"/>
        </w:rPr>
        <w:t xml:space="preserve"> </w:t>
      </w:r>
      <w:r w:rsidR="007F2586" w:rsidRPr="007F2586">
        <w:rPr>
          <w:b/>
          <w:sz w:val="22"/>
          <w:szCs w:val="22"/>
        </w:rPr>
        <w:t>May</w:t>
      </w:r>
      <w:r w:rsidR="002D0DCC">
        <w:rPr>
          <w:b/>
          <w:sz w:val="22"/>
          <w:szCs w:val="22"/>
        </w:rPr>
        <w:t>3</w:t>
      </w:r>
      <w:r w:rsidR="007F2586" w:rsidRPr="007F2586">
        <w:rPr>
          <w:b/>
          <w:sz w:val="22"/>
          <w:szCs w:val="22"/>
        </w:rPr>
        <w:t>, 2016</w:t>
      </w:r>
      <w:r>
        <w:rPr>
          <w:sz w:val="22"/>
          <w:szCs w:val="22"/>
        </w:rPr>
        <w:t>.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w:t>
      </w:r>
      <w:r w:rsidR="007F2586">
        <w:rPr>
          <w:sz w:val="22"/>
          <w:szCs w:val="22"/>
        </w:rPr>
        <w:t xml:space="preserve"> </w:t>
      </w:r>
      <w:r w:rsidR="007F2586">
        <w:rPr>
          <w:b/>
          <w:sz w:val="22"/>
          <w:szCs w:val="22"/>
        </w:rPr>
        <w:t>May 1</w:t>
      </w:r>
      <w:r w:rsidR="002D0DCC">
        <w:rPr>
          <w:b/>
          <w:sz w:val="22"/>
          <w:szCs w:val="22"/>
        </w:rPr>
        <w:t>3</w:t>
      </w:r>
      <w:r w:rsidR="00D408DD">
        <w:rPr>
          <w:b/>
          <w:spacing w:val="-2"/>
          <w:sz w:val="22"/>
          <w:szCs w:val="22"/>
        </w:rPr>
        <w:t>,</w:t>
      </w:r>
      <w:r w:rsidR="003649CF">
        <w:rPr>
          <w:b/>
          <w:spacing w:val="-2"/>
          <w:sz w:val="22"/>
          <w:szCs w:val="22"/>
        </w:rPr>
        <w:t xml:space="preserve"> 201</w:t>
      </w:r>
      <w:r w:rsidR="003A5522">
        <w:rPr>
          <w:b/>
          <w:spacing w:val="-2"/>
          <w:sz w:val="22"/>
          <w:szCs w:val="22"/>
        </w:rPr>
        <w:t>6</w:t>
      </w:r>
      <w:r>
        <w:rPr>
          <w:sz w:val="22"/>
          <w:szCs w:val="22"/>
        </w:rPr>
        <w:t>.  Replies to such pleadings must be filed no later than</w:t>
      </w:r>
      <w:r w:rsidR="007F2586">
        <w:rPr>
          <w:sz w:val="22"/>
          <w:szCs w:val="22"/>
        </w:rPr>
        <w:t xml:space="preserve"> </w:t>
      </w:r>
      <w:r w:rsidR="007F2586">
        <w:rPr>
          <w:b/>
          <w:sz w:val="22"/>
          <w:szCs w:val="22"/>
        </w:rPr>
        <w:t>May</w:t>
      </w:r>
      <w:r w:rsidR="002D0DCC">
        <w:rPr>
          <w:b/>
          <w:sz w:val="22"/>
          <w:szCs w:val="22"/>
        </w:rPr>
        <w:t>20</w:t>
      </w:r>
      <w:r w:rsidR="003649CF">
        <w:rPr>
          <w:b/>
          <w:sz w:val="22"/>
          <w:szCs w:val="22"/>
        </w:rPr>
        <w:t>, 201</w:t>
      </w:r>
      <w:r w:rsidR="003A5522">
        <w:rPr>
          <w:b/>
          <w:sz w:val="22"/>
          <w:szCs w:val="22"/>
        </w:rPr>
        <w:t>6</w:t>
      </w:r>
      <w:r>
        <w:rPr>
          <w:sz w:val="22"/>
          <w:szCs w:val="22"/>
        </w:rPr>
        <w:t>.  All filings concerning matters referenced in this Public Notice should refer to</w:t>
      </w:r>
      <w:r w:rsidR="00F71FE0">
        <w:rPr>
          <w:sz w:val="22"/>
          <w:szCs w:val="22"/>
        </w:rPr>
        <w:t xml:space="preserve"> ULS File No. 0007162285</w:t>
      </w:r>
      <w:r w:rsidR="0089192F">
        <w:rPr>
          <w:b/>
          <w:sz w:val="22"/>
          <w:szCs w:val="22"/>
        </w:rPr>
        <w:t>.</w:t>
      </w:r>
    </w:p>
    <w:p w14:paraId="4E83611A" w14:textId="77777777"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4"/>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2130FB76" w14:textId="77777777" w:rsidR="00677F8D" w:rsidRDefault="00677F8D">
      <w:pPr>
        <w:rPr>
          <w:sz w:val="22"/>
          <w:szCs w:val="22"/>
        </w:rPr>
      </w:pPr>
    </w:p>
    <w:p w14:paraId="6F2BAF9D" w14:textId="77777777"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5"/>
      </w:r>
      <w:r>
        <w:rPr>
          <w:sz w:val="22"/>
          <w:szCs w:val="22"/>
        </w:rPr>
        <w:t xml:space="preserve"> submissions in this matter may be filed electronically </w:t>
      </w:r>
      <w:r w:rsidR="00F71FE0">
        <w:rPr>
          <w:sz w:val="22"/>
          <w:szCs w:val="22"/>
        </w:rPr>
        <w:t>(</w:t>
      </w:r>
      <w:r w:rsidR="00F71FE0">
        <w:rPr>
          <w:i/>
          <w:sz w:val="22"/>
          <w:szCs w:val="22"/>
        </w:rPr>
        <w:t>i.e.</w:t>
      </w:r>
      <w:r w:rsidR="00F71FE0">
        <w:rPr>
          <w:sz w:val="22"/>
          <w:szCs w:val="22"/>
        </w:rPr>
        <w:t xml:space="preserve">, though the Commission’s Universal Licensing System (ULS)) </w:t>
      </w:r>
      <w:r>
        <w:rPr>
          <w:sz w:val="22"/>
          <w:szCs w:val="22"/>
        </w:rPr>
        <w:t>or by ha</w:t>
      </w:r>
      <w:r w:rsidR="00DA5FC0">
        <w:rPr>
          <w:sz w:val="22"/>
          <w:szCs w:val="22"/>
        </w:rPr>
        <w:t>nd delivery to the Commission.</w:t>
      </w:r>
    </w:p>
    <w:p w14:paraId="79FCFA64" w14:textId="1D15A2E3" w:rsidR="00677F8D" w:rsidRDefault="006D1B3B">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F71FE0" w:rsidRPr="007D6670">
        <w:rPr>
          <w:sz w:val="22"/>
          <w:szCs w:val="22"/>
        </w:rPr>
        <w:t xml:space="preserve"> visit the ULS web site at </w:t>
      </w:r>
      <w:hyperlink r:id="rId8" w:history="1">
        <w:r w:rsidR="00F71FE0" w:rsidRPr="00FF44E5">
          <w:rPr>
            <w:rStyle w:val="Hyperlink"/>
            <w:sz w:val="22"/>
            <w:szCs w:val="22"/>
          </w:rPr>
          <w:t>http://wireless.fcc.gov/uls/</w:t>
        </w:r>
      </w:hyperlink>
      <w:r w:rsidR="00F71FE0" w:rsidRPr="007D6670">
        <w:rPr>
          <w:sz w:val="22"/>
          <w:szCs w:val="22"/>
        </w:rPr>
        <w:t xml:space="preserve"> and click on the “Submit a Pleading” link, complete the administrative information, and upload your pleading</w:t>
      </w:r>
      <w:r w:rsidR="00417CC1" w:rsidRPr="007D6670">
        <w:rPr>
          <w:sz w:val="22"/>
          <w:szCs w:val="22"/>
        </w:rPr>
        <w:t>.</w:t>
      </w:r>
    </w:p>
    <w:p w14:paraId="791EBEF1" w14:textId="77777777" w:rsidR="00677F8D" w:rsidRDefault="00677F8D">
      <w:pPr>
        <w:autoSpaceDE w:val="0"/>
        <w:autoSpaceDN w:val="0"/>
        <w:adjustRightInd w:val="0"/>
        <w:rPr>
          <w:sz w:val="22"/>
          <w:szCs w:val="22"/>
        </w:rPr>
      </w:pPr>
    </w:p>
    <w:p w14:paraId="2B90240E" w14:textId="77777777" w:rsidR="00677F8D" w:rsidRDefault="00EA12CF">
      <w:pPr>
        <w:widowControl/>
        <w:numPr>
          <w:ilvl w:val="0"/>
          <w:numId w:val="2"/>
        </w:numPr>
        <w:autoSpaceDE w:val="0"/>
        <w:autoSpaceDN w:val="0"/>
        <w:adjustRightInd w:val="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w:t>
      </w:r>
      <w:r w:rsidR="00026476">
        <w:rPr>
          <w:rFonts w:cs="TmsRmn"/>
          <w:color w:val="000000"/>
          <w:sz w:val="22"/>
          <w:szCs w:val="22"/>
        </w:rPr>
        <w:t>one copy</w:t>
      </w:r>
      <w:r w:rsidR="00677F8D">
        <w:rPr>
          <w:rFonts w:cs="TmsRmn"/>
          <w:color w:val="000000"/>
          <w:sz w:val="22"/>
          <w:szCs w:val="22"/>
        </w:rPr>
        <w:t xml:space="preserve">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sidR="00417CC1">
        <w:rPr>
          <w:sz w:val="22"/>
          <w:szCs w:val="22"/>
        </w:rPr>
        <w:t>.</w:t>
      </w:r>
      <w:r w:rsidR="00677F8D">
        <w:rPr>
          <w:sz w:val="22"/>
          <w:szCs w:val="22"/>
        </w:rPr>
        <w:t>W</w:t>
      </w:r>
      <w:r w:rsidR="00417CC1">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14:paraId="53C3F458" w14:textId="77777777" w:rsidR="00677F8D" w:rsidRDefault="00677F8D">
      <w:pPr>
        <w:ind w:firstLine="720"/>
        <w:rPr>
          <w:sz w:val="22"/>
          <w:szCs w:val="22"/>
        </w:rPr>
      </w:pPr>
    </w:p>
    <w:p w14:paraId="1F81A3D8" w14:textId="77777777" w:rsidR="00677F8D" w:rsidRDefault="00677F8D" w:rsidP="00E870B9">
      <w:pPr>
        <w:pStyle w:val="BodyText"/>
        <w:widowControl/>
        <w:spacing w:after="220"/>
        <w:rPr>
          <w:szCs w:val="22"/>
        </w:rPr>
      </w:pPr>
      <w:r>
        <w:rPr>
          <w:color w:val="000000"/>
          <w:szCs w:val="22"/>
        </w:rPr>
        <w:t>One copy of each pleading must be</w:t>
      </w:r>
      <w:r w:rsidR="0002647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sidR="00D11C31">
        <w:rPr>
          <w:color w:val="000000"/>
          <w:szCs w:val="22"/>
        </w:rPr>
        <w:t>Linda Ray</w:t>
      </w:r>
      <w:r>
        <w:rPr>
          <w:rFonts w:cs="TmsRmn"/>
          <w:szCs w:val="22"/>
        </w:rPr>
        <w:t xml:space="preserve">, </w:t>
      </w:r>
      <w:r w:rsidR="00D11C31">
        <w:rPr>
          <w:rFonts w:cs="TmsRmn"/>
          <w:szCs w:val="22"/>
        </w:rPr>
        <w:t xml:space="preserve">Broadband </w:t>
      </w:r>
      <w:r>
        <w:rPr>
          <w:szCs w:val="22"/>
        </w:rPr>
        <w:t xml:space="preserve">Division, </w:t>
      </w:r>
      <w:r>
        <w:rPr>
          <w:rFonts w:cs="TmsRmn"/>
          <w:szCs w:val="22"/>
        </w:rPr>
        <w:t>Wireless Telecommunications Bureau, at</w:t>
      </w:r>
      <w:r w:rsidR="00D11C31">
        <w:rPr>
          <w:rFonts w:cs="TmsRmn"/>
          <w:szCs w:val="22"/>
        </w:rPr>
        <w:t xml:space="preserve"> linda</w:t>
      </w:r>
      <w:r>
        <w:rPr>
          <w:rFonts w:cs="TmsRmn"/>
          <w:szCs w:val="22"/>
        </w:rPr>
        <w:t>.</w:t>
      </w:r>
      <w:r w:rsidR="00D11C31">
        <w:rPr>
          <w:rFonts w:cs="TmsRmn"/>
          <w:szCs w:val="22"/>
        </w:rPr>
        <w:t>ray</w:t>
      </w:r>
      <w:r>
        <w:rPr>
          <w:rFonts w:cs="TmsRmn"/>
          <w:szCs w:val="22"/>
        </w:rPr>
        <w:t>@fcc.gov or (202) 418-</w:t>
      </w:r>
      <w:r w:rsidR="00EE47FF">
        <w:rPr>
          <w:rFonts w:cs="TmsRmn"/>
          <w:szCs w:val="22"/>
        </w:rPr>
        <w:t>7247</w:t>
      </w:r>
      <w:r>
        <w:rPr>
          <w:rFonts w:cs="TmsRmn"/>
          <w:szCs w:val="22"/>
        </w:rPr>
        <w:t xml:space="preserve"> (facsimile);</w:t>
      </w:r>
      <w:r>
        <w:rPr>
          <w:szCs w:val="22"/>
        </w:rPr>
        <w:t xml:space="preserve"> </w:t>
      </w:r>
      <w:r w:rsidR="00773C82">
        <w:rPr>
          <w:szCs w:val="22"/>
        </w:rPr>
        <w:t>(</w:t>
      </w:r>
      <w:r w:rsidR="00026476">
        <w:rPr>
          <w:szCs w:val="22"/>
        </w:rPr>
        <w:t>2</w:t>
      </w:r>
      <w:r>
        <w:rPr>
          <w:szCs w:val="22"/>
        </w:rPr>
        <w:t xml:space="preserve">) Kate Matraves, Competition </w:t>
      </w:r>
      <w:r w:rsidR="00026476">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026476">
        <w:rPr>
          <w:szCs w:val="22"/>
        </w:rPr>
        <w:t>2643</w:t>
      </w:r>
      <w:r>
        <w:rPr>
          <w:szCs w:val="22"/>
        </w:rPr>
        <w:t xml:space="preserve"> (facsimile); and </w:t>
      </w:r>
      <w:r w:rsidR="00773C82">
        <w:rPr>
          <w:color w:val="000000"/>
          <w:szCs w:val="22"/>
        </w:rPr>
        <w:t>(</w:t>
      </w:r>
      <w:r w:rsidR="00026476">
        <w:rPr>
          <w:color w:val="000000"/>
          <w:szCs w:val="22"/>
        </w:rPr>
        <w:t>3</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14:paraId="4B776112" w14:textId="77777777" w:rsidR="00677F8D" w:rsidRDefault="00A72D7B" w:rsidP="00E870B9">
      <w:pPr>
        <w:pStyle w:val="BodyText"/>
        <w:widowControl/>
        <w:spacing w:after="220"/>
        <w:rPr>
          <w:color w:val="000000"/>
          <w:szCs w:val="22"/>
        </w:rPr>
      </w:pPr>
      <w:r>
        <w:rPr>
          <w:color w:val="000000"/>
          <w:szCs w:val="22"/>
        </w:rPr>
        <w:t>The application</w:t>
      </w:r>
      <w:r w:rsidR="00677F8D">
        <w:rPr>
          <w:color w:val="000000"/>
          <w:szCs w:val="22"/>
        </w:rPr>
        <w:t xml:space="preserve"> and any associated documents are available for public inspection and copying during normal reference room hours at the following Commission office:  FCC Reference Information Center, 445 12th Street, S.W., Room CY-A257, Washingto</w:t>
      </w:r>
      <w:r>
        <w:rPr>
          <w:color w:val="000000"/>
          <w:szCs w:val="22"/>
        </w:rPr>
        <w:t xml:space="preserve">n, D.C. 20554.  The application </w:t>
      </w:r>
      <w:r w:rsidR="00677F8D">
        <w:rPr>
          <w:color w:val="000000"/>
          <w:szCs w:val="22"/>
        </w:rPr>
        <w:t xml:space="preserve">also </w:t>
      </w:r>
      <w:r>
        <w:rPr>
          <w:color w:val="000000"/>
          <w:szCs w:val="22"/>
        </w:rPr>
        <w:t xml:space="preserve">is </w:t>
      </w:r>
      <w:r w:rsidR="00677F8D">
        <w:rPr>
          <w:color w:val="000000"/>
          <w:szCs w:val="22"/>
        </w:rPr>
        <w:t xml:space="preserve">available electronically through ULS, which may be accessed on the Commission’s Internet website.  </w:t>
      </w:r>
      <w:r w:rsidR="00677F8D">
        <w:t xml:space="preserve">To request materials in accessible formats for people with disabilities (Braille, large print, electronic </w:t>
      </w:r>
      <w:r w:rsidR="006C046B">
        <w:t>files, audio format), send an e</w:t>
      </w:r>
      <w:r w:rsidR="00677F8D">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677F8D">
        <w:t>mail: FCC504@fcc.gov; phone: (202) 418-0530</w:t>
      </w:r>
      <w:r w:rsidR="00026476">
        <w:t>;</w:t>
      </w:r>
      <w:r w:rsidR="00677F8D">
        <w:t xml:space="preserve"> or TTY: (202) 418-0432.</w:t>
      </w:r>
    </w:p>
    <w:p w14:paraId="3DD3D3F2" w14:textId="77777777" w:rsidR="00677F8D" w:rsidRDefault="00677F8D" w:rsidP="00026476">
      <w:pPr>
        <w:widowControl/>
        <w:spacing w:after="220"/>
        <w:ind w:firstLine="720"/>
        <w:rPr>
          <w:rStyle w:val="Normal1"/>
          <w:sz w:val="22"/>
          <w:szCs w:val="22"/>
        </w:rPr>
      </w:pPr>
      <w:r>
        <w:rPr>
          <w:sz w:val="22"/>
          <w:szCs w:val="22"/>
        </w:rPr>
        <w:t>For further information, contact</w:t>
      </w:r>
      <w:r w:rsidR="00EE47FF">
        <w:rPr>
          <w:sz w:val="22"/>
          <w:szCs w:val="22"/>
        </w:rPr>
        <w:t xml:space="preserve"> Linda Ray</w:t>
      </w:r>
      <w:r>
        <w:rPr>
          <w:rFonts w:cs="TmsRmn"/>
          <w:sz w:val="22"/>
          <w:szCs w:val="22"/>
        </w:rPr>
        <w:t xml:space="preserve">, </w:t>
      </w:r>
      <w:r w:rsidR="00EE47FF">
        <w:rPr>
          <w:rFonts w:cs="TmsRmn"/>
          <w:sz w:val="22"/>
          <w:szCs w:val="22"/>
        </w:rPr>
        <w:t xml:space="preserve">Broadband </w:t>
      </w:r>
      <w:r>
        <w:rPr>
          <w:sz w:val="22"/>
          <w:szCs w:val="22"/>
        </w:rPr>
        <w:t>Division, Wireless Telecommunications Bureau, at (202) 418-</w:t>
      </w:r>
      <w:r w:rsidR="00EE47FF">
        <w:rPr>
          <w:sz w:val="22"/>
          <w:szCs w:val="22"/>
        </w:rPr>
        <w:t>0257</w:t>
      </w:r>
      <w:r>
        <w:rPr>
          <w:sz w:val="22"/>
          <w:szCs w:val="22"/>
        </w:rPr>
        <w:t xml:space="preserve">, or Kate Matraves, Competition </w:t>
      </w:r>
      <w:r w:rsidR="00026476">
        <w:rPr>
          <w:sz w:val="22"/>
          <w:szCs w:val="22"/>
        </w:rPr>
        <w:t xml:space="preserve">and Infrastructure </w:t>
      </w:r>
      <w:r>
        <w:rPr>
          <w:sz w:val="22"/>
          <w:szCs w:val="22"/>
        </w:rPr>
        <w:t xml:space="preserve">Policy Division, Wireless Telecommunications Bureau, at (202) </w:t>
      </w:r>
      <w:r w:rsidR="00984C82">
        <w:rPr>
          <w:sz w:val="22"/>
          <w:szCs w:val="22"/>
        </w:rPr>
        <w:t>391-6272</w:t>
      </w:r>
      <w:r>
        <w:rPr>
          <w:sz w:val="22"/>
          <w:szCs w:val="22"/>
        </w:rPr>
        <w:t>.</w:t>
      </w:r>
    </w:p>
    <w:p w14:paraId="0276ADAE" w14:textId="77777777" w:rsidR="00677F8D" w:rsidRDefault="00677F8D">
      <w:pPr>
        <w:widowControl/>
        <w:jc w:val="center"/>
        <w:rPr>
          <w:rStyle w:val="Normal1"/>
          <w:b/>
          <w:sz w:val="22"/>
          <w:szCs w:val="22"/>
        </w:rPr>
      </w:pPr>
      <w:r>
        <w:rPr>
          <w:rStyle w:val="Normal1"/>
          <w:b/>
          <w:sz w:val="22"/>
          <w:szCs w:val="22"/>
        </w:rPr>
        <w:t>-FCC-</w:t>
      </w:r>
    </w:p>
    <w:sectPr w:rsidR="00677F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4A52B" w14:textId="77777777" w:rsidR="00C61A9A" w:rsidRDefault="00C61A9A">
      <w:r>
        <w:separator/>
      </w:r>
    </w:p>
  </w:endnote>
  <w:endnote w:type="continuationSeparator" w:id="0">
    <w:p w14:paraId="26D3106C" w14:textId="77777777" w:rsidR="00C61A9A" w:rsidRDefault="00C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8211" w14:textId="77777777" w:rsidR="007921CA" w:rsidRDefault="0079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14:paraId="73E42D14" w14:textId="77777777" w:rsidR="00A72D7B" w:rsidRDefault="00A72D7B">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60F0D">
      <w:rPr>
        <w:noProof/>
        <w:sz w:val="22"/>
        <w:szCs w:val="22"/>
      </w:rPr>
      <w:t>2</w:t>
    </w:r>
    <w:r>
      <w:rPr>
        <w:sz w:val="22"/>
        <w:szCs w:val="22"/>
      </w:rPr>
      <w:fldChar w:fldCharType="end"/>
    </w:r>
  </w:p>
  <w:bookmarkEnd w:id="9"/>
  <w:p w14:paraId="13A25134" w14:textId="77777777" w:rsidR="00A72D7B" w:rsidRDefault="00A72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A783" w14:textId="77777777" w:rsidR="007921CA" w:rsidRDefault="0079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3060C" w14:textId="77777777" w:rsidR="00C61A9A" w:rsidRDefault="00C61A9A">
      <w:r>
        <w:separator/>
      </w:r>
    </w:p>
  </w:footnote>
  <w:footnote w:type="continuationSeparator" w:id="0">
    <w:p w14:paraId="05CAB22F" w14:textId="77777777" w:rsidR="00C61A9A" w:rsidRDefault="00C61A9A">
      <w:r>
        <w:continuationSeparator/>
      </w:r>
    </w:p>
  </w:footnote>
  <w:footnote w:id="1">
    <w:p w14:paraId="08C7722C" w14:textId="77777777" w:rsidR="00A72D7B" w:rsidRDefault="00A72D7B">
      <w:pPr>
        <w:pStyle w:val="FootnoteText"/>
      </w:pPr>
      <w:r>
        <w:rPr>
          <w:rStyle w:val="FootnoteReference"/>
          <w:sz w:val="20"/>
        </w:rPr>
        <w:footnoteRef/>
      </w:r>
      <w:r>
        <w:t xml:space="preserve"> 47 U.S.C. § 310(d).  </w:t>
      </w:r>
    </w:p>
  </w:footnote>
  <w:footnote w:id="2">
    <w:p w14:paraId="6673AF17" w14:textId="77777777" w:rsidR="00192E54" w:rsidRPr="007C590C" w:rsidRDefault="00192E54" w:rsidP="00192E54">
      <w:pPr>
        <w:pStyle w:val="FootnoteText"/>
      </w:pPr>
      <w:r>
        <w:rPr>
          <w:rStyle w:val="FootnoteReference"/>
        </w:rPr>
        <w:footnoteRef/>
      </w:r>
      <w:r>
        <w:t xml:space="preserve"> </w:t>
      </w:r>
      <w:r>
        <w:rPr>
          <w:i/>
        </w:rPr>
        <w:t xml:space="preserve">See </w:t>
      </w:r>
      <w:r w:rsidR="00B8192B" w:rsidRPr="002D0DCC">
        <w:rPr>
          <w:i/>
        </w:rPr>
        <w:t>Application of Cellco Partnership and Nextlink Wireless, LLC for Long-Term De Facto Transfer Leasing Arrangement</w:t>
      </w:r>
      <w:r w:rsidR="00B8192B">
        <w:t>, ULS File No. 0007162285, Ex. 1 – Description of Transaction and Public Interest Statement at 1 n.1. (filed March 3, 2016) (Public Interest Statement).</w:t>
      </w:r>
    </w:p>
  </w:footnote>
  <w:footnote w:id="3">
    <w:p w14:paraId="7F110386" w14:textId="09B0E870" w:rsidR="0063175A" w:rsidRDefault="0063175A">
      <w:pPr>
        <w:pStyle w:val="FootnoteText"/>
      </w:pPr>
      <w:r>
        <w:rPr>
          <w:rStyle w:val="FootnoteReference"/>
        </w:rPr>
        <w:footnoteRef/>
      </w:r>
      <w:r>
        <w:t xml:space="preserve"> </w:t>
      </w:r>
      <w:r w:rsidR="00354660" w:rsidRPr="00E2519D">
        <w:rPr>
          <w:i/>
        </w:rPr>
        <w:t xml:space="preserve">See </w:t>
      </w:r>
      <w:r w:rsidRPr="00E2519D">
        <w:rPr>
          <w:i/>
        </w:rPr>
        <w:t>Applications Filed for the Transfer of Control of XO Communications, LLC to Verizon Communications</w:t>
      </w:r>
      <w:r w:rsidR="00354660" w:rsidRPr="00E2519D">
        <w:rPr>
          <w:i/>
        </w:rPr>
        <w:t xml:space="preserve"> </w:t>
      </w:r>
      <w:r w:rsidRPr="00E2519D">
        <w:rPr>
          <w:i/>
        </w:rPr>
        <w:t>Inc.</w:t>
      </w:r>
      <w:r w:rsidR="00354660" w:rsidRPr="00E2519D">
        <w:rPr>
          <w:i/>
        </w:rPr>
        <w:t>,</w:t>
      </w:r>
      <w:r w:rsidR="00354660">
        <w:t xml:space="preserve"> WC Docket 16-70, </w:t>
      </w:r>
      <w:r w:rsidR="00E2519D">
        <w:t xml:space="preserve">Public Notice, </w:t>
      </w:r>
      <w:r w:rsidR="00354660">
        <w:t xml:space="preserve">DA 16- </w:t>
      </w:r>
      <w:r w:rsidR="00E2519D">
        <w:t xml:space="preserve">393 </w:t>
      </w:r>
      <w:r w:rsidR="00354660">
        <w:t>(</w:t>
      </w:r>
      <w:r w:rsidR="00E2519D">
        <w:t xml:space="preserve">rel. </w:t>
      </w:r>
      <w:r w:rsidR="00354660">
        <w:t>April</w:t>
      </w:r>
      <w:r w:rsidR="007F2586">
        <w:t xml:space="preserve"> 1</w:t>
      </w:r>
      <w:r w:rsidR="002D0DCC">
        <w:t>2</w:t>
      </w:r>
      <w:r w:rsidR="00354660">
        <w:t>, 2016).</w:t>
      </w:r>
    </w:p>
  </w:footnote>
  <w:footnote w:id="4">
    <w:p w14:paraId="4AC1181A" w14:textId="0008450E" w:rsidR="00891E1E" w:rsidRPr="00891E1E" w:rsidRDefault="00891E1E">
      <w:pPr>
        <w:pStyle w:val="FootnoteText"/>
      </w:pPr>
      <w:r>
        <w:rPr>
          <w:rStyle w:val="FootnoteReference"/>
        </w:rPr>
        <w:footnoteRef/>
      </w:r>
      <w:r>
        <w:t xml:space="preserve"> </w:t>
      </w:r>
      <w:r w:rsidR="001D31DF">
        <w:rPr>
          <w:i/>
        </w:rPr>
        <w:t xml:space="preserve">See </w:t>
      </w:r>
      <w:r w:rsidR="001D31DF">
        <w:t>Public Interest Statement at 1.</w:t>
      </w:r>
    </w:p>
  </w:footnote>
  <w:footnote w:id="5">
    <w:p w14:paraId="6CC670FD" w14:textId="77777777" w:rsidR="00192E54" w:rsidRPr="00B14519" w:rsidRDefault="00192E54" w:rsidP="00192E54">
      <w:pPr>
        <w:pStyle w:val="FootnoteText"/>
      </w:pPr>
      <w:r>
        <w:rPr>
          <w:rStyle w:val="FootnoteReference"/>
        </w:rPr>
        <w:footnoteRef/>
      </w:r>
      <w:r>
        <w:t xml:space="preserve"> </w:t>
      </w:r>
      <w:r>
        <w:rPr>
          <w:i/>
        </w:rPr>
        <w:t xml:space="preserve">See </w:t>
      </w:r>
      <w:r w:rsidR="001D31DF">
        <w:rPr>
          <w:i/>
        </w:rPr>
        <w:t xml:space="preserve">id. </w:t>
      </w:r>
      <w:r>
        <w:t>at 1-2.</w:t>
      </w:r>
    </w:p>
  </w:footnote>
  <w:footnote w:id="6">
    <w:p w14:paraId="4DD6690E" w14:textId="637D6DDF" w:rsidR="0089361F" w:rsidRPr="0089361F" w:rsidRDefault="0089361F">
      <w:pPr>
        <w:pStyle w:val="FootnoteText"/>
      </w:pPr>
      <w:r>
        <w:rPr>
          <w:rStyle w:val="FootnoteReference"/>
        </w:rPr>
        <w:footnoteRef/>
      </w:r>
      <w:r>
        <w:t xml:space="preserve"> </w:t>
      </w:r>
      <w:r>
        <w:rPr>
          <w:i/>
        </w:rPr>
        <w:t xml:space="preserve">See id. </w:t>
      </w:r>
      <w:r>
        <w:t>at 2.</w:t>
      </w:r>
    </w:p>
  </w:footnote>
  <w:footnote w:id="7">
    <w:p w14:paraId="2B6506BD" w14:textId="584DE474" w:rsidR="00017C90" w:rsidRPr="00017C90" w:rsidRDefault="00017C90">
      <w:pPr>
        <w:pStyle w:val="FootnoteText"/>
      </w:pPr>
      <w:r>
        <w:rPr>
          <w:rStyle w:val="FootnoteReference"/>
        </w:rPr>
        <w:footnoteRef/>
      </w:r>
      <w:r>
        <w:t xml:space="preserve"> </w:t>
      </w:r>
      <w:r>
        <w:rPr>
          <w:i/>
        </w:rPr>
        <w:t>See id.</w:t>
      </w:r>
      <w:r>
        <w:t xml:space="preserve"> </w:t>
      </w:r>
    </w:p>
  </w:footnote>
  <w:footnote w:id="8">
    <w:p w14:paraId="5DC03915" w14:textId="77777777" w:rsidR="00DC67E8" w:rsidRPr="00E46844" w:rsidRDefault="00DC67E8">
      <w:pPr>
        <w:pStyle w:val="FootnoteText"/>
      </w:pPr>
      <w:r>
        <w:rPr>
          <w:rStyle w:val="FootnoteReference"/>
        </w:rPr>
        <w:footnoteRef/>
      </w:r>
      <w:r>
        <w:t xml:space="preserve"> </w:t>
      </w:r>
      <w:r w:rsidR="00E46844">
        <w:rPr>
          <w:i/>
        </w:rPr>
        <w:t>See</w:t>
      </w:r>
      <w:r w:rsidR="00E46844">
        <w:t xml:space="preserve"> </w:t>
      </w:r>
      <w:r w:rsidR="00E46844">
        <w:rPr>
          <w:i/>
        </w:rPr>
        <w:t>Special Access for Price Cap Local Exchange Carriers</w:t>
      </w:r>
      <w:r w:rsidR="00E46844">
        <w:t>, WC Docket No. 05-25.</w:t>
      </w:r>
    </w:p>
  </w:footnote>
  <w:footnote w:id="9">
    <w:p w14:paraId="325AB75B" w14:textId="77777777" w:rsidR="00A72D7B" w:rsidRDefault="00A72D7B">
      <w:pPr>
        <w:spacing w:after="120"/>
        <w:rPr>
          <w:lang w:val="pt-BR"/>
        </w:rPr>
      </w:pPr>
      <w:r>
        <w:rPr>
          <w:rStyle w:val="FootnoteReference"/>
          <w:sz w:val="20"/>
        </w:rPr>
        <w:footnoteRef/>
      </w:r>
      <w:r>
        <w:rPr>
          <w:lang w:val="pt-BR"/>
        </w:rPr>
        <w:t xml:space="preserve"> 47 C.F.R. § 1.1200(a).  </w:t>
      </w:r>
    </w:p>
  </w:footnote>
  <w:footnote w:id="10">
    <w:p w14:paraId="5D38DC3F" w14:textId="77777777" w:rsidR="00A72D7B" w:rsidRDefault="00A72D7B">
      <w:pPr>
        <w:pStyle w:val="FootnoteText"/>
      </w:pPr>
      <w:r>
        <w:rPr>
          <w:rStyle w:val="FootnoteReference"/>
          <w:sz w:val="20"/>
        </w:rPr>
        <w:footnoteRef/>
      </w:r>
      <w:r>
        <w:t xml:space="preserve"> 47 C.F.R. § 1.1206.</w:t>
      </w:r>
    </w:p>
  </w:footnote>
  <w:footnote w:id="11">
    <w:p w14:paraId="696653F2" w14:textId="77777777" w:rsidR="00A72D7B" w:rsidRDefault="00A72D7B">
      <w:pPr>
        <w:pStyle w:val="FootnoteText"/>
      </w:pPr>
      <w:r>
        <w:rPr>
          <w:rStyle w:val="FootnoteReference"/>
          <w:sz w:val="20"/>
        </w:rPr>
        <w:footnoteRef/>
      </w:r>
      <w:r>
        <w:t xml:space="preserve"> </w:t>
      </w:r>
      <w:r>
        <w:rPr>
          <w:i/>
        </w:rPr>
        <w:t xml:space="preserve">See </w:t>
      </w:r>
      <w:r>
        <w:t>47 C.F.R. § 1.1206(b)(1).</w:t>
      </w:r>
    </w:p>
  </w:footnote>
  <w:footnote w:id="12">
    <w:p w14:paraId="15AF5CCF" w14:textId="77777777" w:rsidR="00A72D7B" w:rsidRDefault="00A72D7B">
      <w:pPr>
        <w:pStyle w:val="FootnoteText"/>
      </w:pPr>
      <w:r>
        <w:rPr>
          <w:rStyle w:val="FootnoteReference"/>
          <w:sz w:val="20"/>
        </w:rPr>
        <w:footnoteRef/>
      </w:r>
      <w:r>
        <w:t xml:space="preserve"> </w:t>
      </w:r>
      <w:r>
        <w:rPr>
          <w:i/>
        </w:rPr>
        <w:t>See id</w:t>
      </w:r>
      <w:r>
        <w:t>.</w:t>
      </w:r>
    </w:p>
  </w:footnote>
  <w:footnote w:id="13">
    <w:p w14:paraId="03882847" w14:textId="77777777" w:rsidR="00A72D7B" w:rsidRDefault="00A72D7B">
      <w:pPr>
        <w:pStyle w:val="FootnoteText"/>
      </w:pPr>
      <w:r>
        <w:rPr>
          <w:rStyle w:val="FootnoteReference"/>
          <w:sz w:val="20"/>
        </w:rPr>
        <w:footnoteRef/>
      </w:r>
      <w:r>
        <w:t xml:space="preserve"> </w:t>
      </w:r>
      <w:r w:rsidRPr="00984C82">
        <w:t>47</w:t>
      </w:r>
      <w:r>
        <w:t xml:space="preserve"> C.F.R. § 1.1206(b).</w:t>
      </w:r>
    </w:p>
  </w:footnote>
  <w:footnote w:id="14">
    <w:p w14:paraId="197DCC51" w14:textId="77777777" w:rsidR="00A72D7B" w:rsidRDefault="00A72D7B">
      <w:pPr>
        <w:pStyle w:val="FootnoteText"/>
      </w:pPr>
      <w:r>
        <w:rPr>
          <w:rStyle w:val="FootnoteReference"/>
          <w:sz w:val="20"/>
        </w:rPr>
        <w:footnoteRef/>
      </w:r>
      <w:r>
        <w:t xml:space="preserve"> </w:t>
      </w:r>
      <w:r>
        <w:rPr>
          <w:i/>
        </w:rPr>
        <w:t>See</w:t>
      </w:r>
      <w:r>
        <w:t xml:space="preserve"> 47 C.F.R. § 1.45(c).</w:t>
      </w:r>
    </w:p>
  </w:footnote>
  <w:footnote w:id="15">
    <w:p w14:paraId="0A13EC76" w14:textId="77777777" w:rsidR="00A72D7B" w:rsidRDefault="00A72D7B">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sidRPr="00625D0C">
        <w:rPr>
          <w:bCs/>
          <w:i/>
        </w:rPr>
        <w:t>FCC</w:t>
      </w:r>
      <w:r w:rsidRPr="00625D0C">
        <w:rPr>
          <w:i/>
        </w:rPr>
        <w:t xml:space="preserve"> </w:t>
      </w:r>
      <w:bookmarkStart w:id="3" w:name="SR;2767"/>
      <w:bookmarkEnd w:id="3"/>
      <w:r w:rsidRPr="00625D0C">
        <w:rPr>
          <w:bCs/>
          <w:i/>
        </w:rPr>
        <w:t>Announces</w:t>
      </w:r>
      <w:r w:rsidRPr="00625D0C">
        <w:rPr>
          <w:i/>
        </w:rPr>
        <w:t xml:space="preserve"> </w:t>
      </w:r>
      <w:bookmarkStart w:id="4" w:name="SR;2768"/>
      <w:bookmarkEnd w:id="4"/>
      <w:r w:rsidRPr="00625D0C">
        <w:rPr>
          <w:bCs/>
          <w:i/>
        </w:rPr>
        <w:t>Change</w:t>
      </w:r>
      <w:r w:rsidRPr="00625D0C">
        <w:rPr>
          <w:i/>
        </w:rPr>
        <w:t xml:space="preserve"> in </w:t>
      </w:r>
      <w:bookmarkStart w:id="5" w:name="SR;2770"/>
      <w:bookmarkEnd w:id="5"/>
      <w:r w:rsidRPr="00625D0C">
        <w:rPr>
          <w:bCs/>
          <w:i/>
        </w:rPr>
        <w:t>Filing</w:t>
      </w:r>
      <w:r w:rsidRPr="00625D0C">
        <w:rPr>
          <w:i/>
        </w:rPr>
        <w:t xml:space="preserve"> </w:t>
      </w:r>
      <w:bookmarkStart w:id="6" w:name="SR;2771"/>
      <w:bookmarkEnd w:id="6"/>
      <w:r w:rsidRPr="00625D0C">
        <w:rPr>
          <w:bCs/>
          <w:i/>
        </w:rPr>
        <w:t>Location</w:t>
      </w:r>
      <w:r w:rsidRPr="00625D0C">
        <w:rPr>
          <w:i/>
        </w:rPr>
        <w:t xml:space="preserve"> for </w:t>
      </w:r>
      <w:bookmarkStart w:id="7" w:name="SR;2773"/>
      <w:bookmarkEnd w:id="7"/>
      <w:r w:rsidRPr="00625D0C">
        <w:rPr>
          <w:bCs/>
          <w:i/>
        </w:rPr>
        <w:t>Paper</w:t>
      </w:r>
      <w:r w:rsidRPr="00625D0C">
        <w:rPr>
          <w:i/>
        </w:rPr>
        <w:t xml:space="preserve"> </w:t>
      </w:r>
      <w:bookmarkStart w:id="8" w:name="SR;2774"/>
      <w:bookmarkEnd w:id="2"/>
      <w:bookmarkEnd w:id="8"/>
      <w:r w:rsidRPr="00625D0C">
        <w:rPr>
          <w:bCs/>
          <w:i/>
        </w:rPr>
        <w:t>Documents</w:t>
      </w:r>
      <w:r>
        <w:t xml:space="preserve">, </w:t>
      </w:r>
      <w:r w:rsidRPr="00625D0C">
        <w:rPr>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307A" w14:textId="77777777" w:rsidR="007921CA" w:rsidRDefault="0079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D406" w14:textId="77777777" w:rsidR="007921CA" w:rsidRDefault="00792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9AC2" w14:textId="77777777" w:rsidR="007921CA" w:rsidRDefault="00792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00565"/>
    <w:rsid w:val="0000198A"/>
    <w:rsid w:val="0000222F"/>
    <w:rsid w:val="0001102C"/>
    <w:rsid w:val="00017C90"/>
    <w:rsid w:val="000248F6"/>
    <w:rsid w:val="00026476"/>
    <w:rsid w:val="0002745F"/>
    <w:rsid w:val="00034397"/>
    <w:rsid w:val="00043459"/>
    <w:rsid w:val="00047287"/>
    <w:rsid w:val="00063431"/>
    <w:rsid w:val="000701F1"/>
    <w:rsid w:val="000705CB"/>
    <w:rsid w:val="00071FA2"/>
    <w:rsid w:val="00072B1F"/>
    <w:rsid w:val="00082953"/>
    <w:rsid w:val="00085D12"/>
    <w:rsid w:val="00093BFF"/>
    <w:rsid w:val="000941E6"/>
    <w:rsid w:val="000A63DF"/>
    <w:rsid w:val="000A726E"/>
    <w:rsid w:val="000B122C"/>
    <w:rsid w:val="000B2956"/>
    <w:rsid w:val="000B3C8B"/>
    <w:rsid w:val="000C0CC6"/>
    <w:rsid w:val="000D0F6F"/>
    <w:rsid w:val="000D70AF"/>
    <w:rsid w:val="000F0E83"/>
    <w:rsid w:val="000F1734"/>
    <w:rsid w:val="000F29A3"/>
    <w:rsid w:val="000F32D1"/>
    <w:rsid w:val="000F4082"/>
    <w:rsid w:val="000F7E3C"/>
    <w:rsid w:val="00102DB2"/>
    <w:rsid w:val="00115BCD"/>
    <w:rsid w:val="00117E2B"/>
    <w:rsid w:val="00121683"/>
    <w:rsid w:val="00124C8C"/>
    <w:rsid w:val="0012564E"/>
    <w:rsid w:val="00125D48"/>
    <w:rsid w:val="00134241"/>
    <w:rsid w:val="00136C69"/>
    <w:rsid w:val="001631B4"/>
    <w:rsid w:val="001633A5"/>
    <w:rsid w:val="00175BD7"/>
    <w:rsid w:val="0018560F"/>
    <w:rsid w:val="00186EF8"/>
    <w:rsid w:val="00192E54"/>
    <w:rsid w:val="001964DE"/>
    <w:rsid w:val="001A01F5"/>
    <w:rsid w:val="001A15F0"/>
    <w:rsid w:val="001A1E3B"/>
    <w:rsid w:val="001A4281"/>
    <w:rsid w:val="001C0506"/>
    <w:rsid w:val="001C2A97"/>
    <w:rsid w:val="001C30B1"/>
    <w:rsid w:val="001C7231"/>
    <w:rsid w:val="001D0197"/>
    <w:rsid w:val="001D31DF"/>
    <w:rsid w:val="001D6577"/>
    <w:rsid w:val="001E6756"/>
    <w:rsid w:val="001E7206"/>
    <w:rsid w:val="001F42EC"/>
    <w:rsid w:val="0020071B"/>
    <w:rsid w:val="00206039"/>
    <w:rsid w:val="00206E06"/>
    <w:rsid w:val="00210FAD"/>
    <w:rsid w:val="00235D9B"/>
    <w:rsid w:val="00242497"/>
    <w:rsid w:val="002448C6"/>
    <w:rsid w:val="00245F1E"/>
    <w:rsid w:val="0024799C"/>
    <w:rsid w:val="00253412"/>
    <w:rsid w:val="002579A3"/>
    <w:rsid w:val="002719D1"/>
    <w:rsid w:val="00277DCE"/>
    <w:rsid w:val="00282695"/>
    <w:rsid w:val="00291812"/>
    <w:rsid w:val="00292AC0"/>
    <w:rsid w:val="002A62BF"/>
    <w:rsid w:val="002B07D7"/>
    <w:rsid w:val="002B14E3"/>
    <w:rsid w:val="002B7C53"/>
    <w:rsid w:val="002C33BF"/>
    <w:rsid w:val="002C5840"/>
    <w:rsid w:val="002D0DCC"/>
    <w:rsid w:val="002E2943"/>
    <w:rsid w:val="002E2DA8"/>
    <w:rsid w:val="002F5A47"/>
    <w:rsid w:val="002F726C"/>
    <w:rsid w:val="00302135"/>
    <w:rsid w:val="003050A6"/>
    <w:rsid w:val="00306ACC"/>
    <w:rsid w:val="00307EBA"/>
    <w:rsid w:val="00326C7B"/>
    <w:rsid w:val="00333720"/>
    <w:rsid w:val="003366D8"/>
    <w:rsid w:val="003372ED"/>
    <w:rsid w:val="00337DCB"/>
    <w:rsid w:val="00351E77"/>
    <w:rsid w:val="00352D53"/>
    <w:rsid w:val="00354660"/>
    <w:rsid w:val="00355221"/>
    <w:rsid w:val="00355228"/>
    <w:rsid w:val="00360F0D"/>
    <w:rsid w:val="00363B67"/>
    <w:rsid w:val="003649CF"/>
    <w:rsid w:val="00364E45"/>
    <w:rsid w:val="00383EAA"/>
    <w:rsid w:val="00387845"/>
    <w:rsid w:val="00391535"/>
    <w:rsid w:val="003A5522"/>
    <w:rsid w:val="003A599F"/>
    <w:rsid w:val="003C3439"/>
    <w:rsid w:val="003D2F20"/>
    <w:rsid w:val="003D4777"/>
    <w:rsid w:val="003E1E59"/>
    <w:rsid w:val="003E57CB"/>
    <w:rsid w:val="003E61A5"/>
    <w:rsid w:val="003E6E77"/>
    <w:rsid w:val="003F2CAD"/>
    <w:rsid w:val="003F6CB2"/>
    <w:rsid w:val="00401995"/>
    <w:rsid w:val="0041018A"/>
    <w:rsid w:val="004146B6"/>
    <w:rsid w:val="00417CC1"/>
    <w:rsid w:val="004214AC"/>
    <w:rsid w:val="00423520"/>
    <w:rsid w:val="00425BC1"/>
    <w:rsid w:val="0043770D"/>
    <w:rsid w:val="004406E7"/>
    <w:rsid w:val="0044146E"/>
    <w:rsid w:val="00442119"/>
    <w:rsid w:val="00446739"/>
    <w:rsid w:val="00447701"/>
    <w:rsid w:val="004545FF"/>
    <w:rsid w:val="00457A0F"/>
    <w:rsid w:val="00464358"/>
    <w:rsid w:val="00464392"/>
    <w:rsid w:val="0046657D"/>
    <w:rsid w:val="0046688D"/>
    <w:rsid w:val="0047660B"/>
    <w:rsid w:val="00477A8C"/>
    <w:rsid w:val="004854BC"/>
    <w:rsid w:val="00485BD6"/>
    <w:rsid w:val="00486A7E"/>
    <w:rsid w:val="00487D7D"/>
    <w:rsid w:val="004A14E6"/>
    <w:rsid w:val="004A2679"/>
    <w:rsid w:val="004A2F8C"/>
    <w:rsid w:val="004B3F99"/>
    <w:rsid w:val="004B6123"/>
    <w:rsid w:val="004D350A"/>
    <w:rsid w:val="004D66E1"/>
    <w:rsid w:val="004E207A"/>
    <w:rsid w:val="004F4FD2"/>
    <w:rsid w:val="004F5C31"/>
    <w:rsid w:val="00503D66"/>
    <w:rsid w:val="00504995"/>
    <w:rsid w:val="005127EA"/>
    <w:rsid w:val="00515B31"/>
    <w:rsid w:val="0052101B"/>
    <w:rsid w:val="00522703"/>
    <w:rsid w:val="0052728C"/>
    <w:rsid w:val="00530B3B"/>
    <w:rsid w:val="00532864"/>
    <w:rsid w:val="00536820"/>
    <w:rsid w:val="00541389"/>
    <w:rsid w:val="0054160E"/>
    <w:rsid w:val="0054216D"/>
    <w:rsid w:val="005429AA"/>
    <w:rsid w:val="0054471E"/>
    <w:rsid w:val="005448D6"/>
    <w:rsid w:val="005453E8"/>
    <w:rsid w:val="00556933"/>
    <w:rsid w:val="0056096A"/>
    <w:rsid w:val="005679E0"/>
    <w:rsid w:val="0057338C"/>
    <w:rsid w:val="00574DFD"/>
    <w:rsid w:val="005800DB"/>
    <w:rsid w:val="00586237"/>
    <w:rsid w:val="005876BC"/>
    <w:rsid w:val="005A404B"/>
    <w:rsid w:val="005A50A7"/>
    <w:rsid w:val="005A54C4"/>
    <w:rsid w:val="005A7837"/>
    <w:rsid w:val="005B0C21"/>
    <w:rsid w:val="005B5BB9"/>
    <w:rsid w:val="005B78EC"/>
    <w:rsid w:val="005C2259"/>
    <w:rsid w:val="005C798F"/>
    <w:rsid w:val="005D0AF1"/>
    <w:rsid w:val="005D278E"/>
    <w:rsid w:val="005D4FE4"/>
    <w:rsid w:val="005E4AA2"/>
    <w:rsid w:val="005E710A"/>
    <w:rsid w:val="005F500C"/>
    <w:rsid w:val="005F510C"/>
    <w:rsid w:val="00612C7A"/>
    <w:rsid w:val="006133DB"/>
    <w:rsid w:val="00613418"/>
    <w:rsid w:val="0061694E"/>
    <w:rsid w:val="00617BC7"/>
    <w:rsid w:val="00617D72"/>
    <w:rsid w:val="006224DE"/>
    <w:rsid w:val="0062252F"/>
    <w:rsid w:val="00623610"/>
    <w:rsid w:val="00625D0C"/>
    <w:rsid w:val="0063175A"/>
    <w:rsid w:val="00632A1C"/>
    <w:rsid w:val="00633134"/>
    <w:rsid w:val="006345F2"/>
    <w:rsid w:val="00635C5F"/>
    <w:rsid w:val="006428F9"/>
    <w:rsid w:val="00642A55"/>
    <w:rsid w:val="006458B9"/>
    <w:rsid w:val="00645EBF"/>
    <w:rsid w:val="006471A5"/>
    <w:rsid w:val="00655701"/>
    <w:rsid w:val="00656818"/>
    <w:rsid w:val="00667AD7"/>
    <w:rsid w:val="00676E92"/>
    <w:rsid w:val="00677F8D"/>
    <w:rsid w:val="0068151F"/>
    <w:rsid w:val="00681725"/>
    <w:rsid w:val="006821F9"/>
    <w:rsid w:val="006906B2"/>
    <w:rsid w:val="00694B33"/>
    <w:rsid w:val="006A12E5"/>
    <w:rsid w:val="006A3ADB"/>
    <w:rsid w:val="006A71FB"/>
    <w:rsid w:val="006A740A"/>
    <w:rsid w:val="006B1E81"/>
    <w:rsid w:val="006B46C4"/>
    <w:rsid w:val="006C046B"/>
    <w:rsid w:val="006C3B87"/>
    <w:rsid w:val="006C3FD4"/>
    <w:rsid w:val="006C53BA"/>
    <w:rsid w:val="006D1710"/>
    <w:rsid w:val="006D1B3B"/>
    <w:rsid w:val="006E2BAF"/>
    <w:rsid w:val="006E3609"/>
    <w:rsid w:val="006E47CA"/>
    <w:rsid w:val="006F1372"/>
    <w:rsid w:val="006F3C0A"/>
    <w:rsid w:val="006F7EB7"/>
    <w:rsid w:val="007012BA"/>
    <w:rsid w:val="007106CE"/>
    <w:rsid w:val="00714A5F"/>
    <w:rsid w:val="00721982"/>
    <w:rsid w:val="00722AD8"/>
    <w:rsid w:val="00732673"/>
    <w:rsid w:val="007350D2"/>
    <w:rsid w:val="007370CA"/>
    <w:rsid w:val="007409BF"/>
    <w:rsid w:val="0074198F"/>
    <w:rsid w:val="007436B2"/>
    <w:rsid w:val="00744950"/>
    <w:rsid w:val="0074577D"/>
    <w:rsid w:val="00746A89"/>
    <w:rsid w:val="00752D16"/>
    <w:rsid w:val="0075349A"/>
    <w:rsid w:val="007536BC"/>
    <w:rsid w:val="0076158B"/>
    <w:rsid w:val="007641E3"/>
    <w:rsid w:val="0076694F"/>
    <w:rsid w:val="00773C82"/>
    <w:rsid w:val="00775C36"/>
    <w:rsid w:val="0078629A"/>
    <w:rsid w:val="00790B0F"/>
    <w:rsid w:val="007921CA"/>
    <w:rsid w:val="007A1071"/>
    <w:rsid w:val="007A7FDE"/>
    <w:rsid w:val="007B5BA3"/>
    <w:rsid w:val="007B723B"/>
    <w:rsid w:val="007C09B3"/>
    <w:rsid w:val="007C590C"/>
    <w:rsid w:val="007E1899"/>
    <w:rsid w:val="007F017A"/>
    <w:rsid w:val="007F2586"/>
    <w:rsid w:val="007F5793"/>
    <w:rsid w:val="0080010D"/>
    <w:rsid w:val="00802366"/>
    <w:rsid w:val="00803E33"/>
    <w:rsid w:val="00805FEA"/>
    <w:rsid w:val="008157F5"/>
    <w:rsid w:val="00816C44"/>
    <w:rsid w:val="00822B61"/>
    <w:rsid w:val="008239F7"/>
    <w:rsid w:val="008277B1"/>
    <w:rsid w:val="008315DB"/>
    <w:rsid w:val="00831E5E"/>
    <w:rsid w:val="008355AC"/>
    <w:rsid w:val="00841646"/>
    <w:rsid w:val="008627CA"/>
    <w:rsid w:val="00863B66"/>
    <w:rsid w:val="00863C62"/>
    <w:rsid w:val="008661F8"/>
    <w:rsid w:val="008711E9"/>
    <w:rsid w:val="00873985"/>
    <w:rsid w:val="0087478E"/>
    <w:rsid w:val="00874BF3"/>
    <w:rsid w:val="008815DB"/>
    <w:rsid w:val="00883BA2"/>
    <w:rsid w:val="0089192F"/>
    <w:rsid w:val="00891E1E"/>
    <w:rsid w:val="00892B79"/>
    <w:rsid w:val="0089361F"/>
    <w:rsid w:val="008A031A"/>
    <w:rsid w:val="008A082F"/>
    <w:rsid w:val="008A1203"/>
    <w:rsid w:val="008A7009"/>
    <w:rsid w:val="008B0D20"/>
    <w:rsid w:val="008B69AB"/>
    <w:rsid w:val="008D16A7"/>
    <w:rsid w:val="008E65E4"/>
    <w:rsid w:val="008E7260"/>
    <w:rsid w:val="008F099D"/>
    <w:rsid w:val="008F449F"/>
    <w:rsid w:val="008F6D85"/>
    <w:rsid w:val="00901DBA"/>
    <w:rsid w:val="00903DBB"/>
    <w:rsid w:val="009045B6"/>
    <w:rsid w:val="00907A97"/>
    <w:rsid w:val="00913AA5"/>
    <w:rsid w:val="00915643"/>
    <w:rsid w:val="00920A81"/>
    <w:rsid w:val="00925AF0"/>
    <w:rsid w:val="00934298"/>
    <w:rsid w:val="00936E6D"/>
    <w:rsid w:val="00944D9E"/>
    <w:rsid w:val="009515A8"/>
    <w:rsid w:val="00952EDE"/>
    <w:rsid w:val="009553D8"/>
    <w:rsid w:val="009562BB"/>
    <w:rsid w:val="009739FC"/>
    <w:rsid w:val="00975178"/>
    <w:rsid w:val="00982888"/>
    <w:rsid w:val="00983042"/>
    <w:rsid w:val="00984C82"/>
    <w:rsid w:val="00991DC8"/>
    <w:rsid w:val="009957B2"/>
    <w:rsid w:val="009A137D"/>
    <w:rsid w:val="009A2571"/>
    <w:rsid w:val="009A6D5B"/>
    <w:rsid w:val="009B19CE"/>
    <w:rsid w:val="009C283E"/>
    <w:rsid w:val="009C5BCA"/>
    <w:rsid w:val="009C743F"/>
    <w:rsid w:val="009D69ED"/>
    <w:rsid w:val="00A015E4"/>
    <w:rsid w:val="00A136B1"/>
    <w:rsid w:val="00A15EF0"/>
    <w:rsid w:val="00A22548"/>
    <w:rsid w:val="00A350D5"/>
    <w:rsid w:val="00A37D5D"/>
    <w:rsid w:val="00A465D0"/>
    <w:rsid w:val="00A46951"/>
    <w:rsid w:val="00A479B7"/>
    <w:rsid w:val="00A535DC"/>
    <w:rsid w:val="00A6046A"/>
    <w:rsid w:val="00A60C92"/>
    <w:rsid w:val="00A60DEB"/>
    <w:rsid w:val="00A72230"/>
    <w:rsid w:val="00A72D7B"/>
    <w:rsid w:val="00A76001"/>
    <w:rsid w:val="00A76C6A"/>
    <w:rsid w:val="00A83B3C"/>
    <w:rsid w:val="00A9522F"/>
    <w:rsid w:val="00A96D24"/>
    <w:rsid w:val="00AA4B14"/>
    <w:rsid w:val="00AA5EAE"/>
    <w:rsid w:val="00AB5B23"/>
    <w:rsid w:val="00AC01CE"/>
    <w:rsid w:val="00AC0E5E"/>
    <w:rsid w:val="00AD003A"/>
    <w:rsid w:val="00AE12C7"/>
    <w:rsid w:val="00AF213A"/>
    <w:rsid w:val="00AF7F2B"/>
    <w:rsid w:val="00B00C00"/>
    <w:rsid w:val="00B1028A"/>
    <w:rsid w:val="00B12720"/>
    <w:rsid w:val="00B14519"/>
    <w:rsid w:val="00B21151"/>
    <w:rsid w:val="00B231ED"/>
    <w:rsid w:val="00B26D18"/>
    <w:rsid w:val="00B34612"/>
    <w:rsid w:val="00B40D0B"/>
    <w:rsid w:val="00B41B48"/>
    <w:rsid w:val="00B42613"/>
    <w:rsid w:val="00B525CC"/>
    <w:rsid w:val="00B52A76"/>
    <w:rsid w:val="00B52C3D"/>
    <w:rsid w:val="00B54122"/>
    <w:rsid w:val="00B56644"/>
    <w:rsid w:val="00B57A32"/>
    <w:rsid w:val="00B61D94"/>
    <w:rsid w:val="00B63996"/>
    <w:rsid w:val="00B63BF3"/>
    <w:rsid w:val="00B76B3E"/>
    <w:rsid w:val="00B80276"/>
    <w:rsid w:val="00B81299"/>
    <w:rsid w:val="00B8192B"/>
    <w:rsid w:val="00B84255"/>
    <w:rsid w:val="00BA4115"/>
    <w:rsid w:val="00BA6346"/>
    <w:rsid w:val="00BB15FE"/>
    <w:rsid w:val="00BB1794"/>
    <w:rsid w:val="00BB5C9F"/>
    <w:rsid w:val="00BC1455"/>
    <w:rsid w:val="00BC25ED"/>
    <w:rsid w:val="00BC34EE"/>
    <w:rsid w:val="00BC52BE"/>
    <w:rsid w:val="00BD17BA"/>
    <w:rsid w:val="00BD1F17"/>
    <w:rsid w:val="00BD3F7F"/>
    <w:rsid w:val="00BE11E5"/>
    <w:rsid w:val="00BE4717"/>
    <w:rsid w:val="00BE5E0E"/>
    <w:rsid w:val="00BE6E51"/>
    <w:rsid w:val="00BE71B3"/>
    <w:rsid w:val="00BE7583"/>
    <w:rsid w:val="00BF05A5"/>
    <w:rsid w:val="00BF7867"/>
    <w:rsid w:val="00C01AF2"/>
    <w:rsid w:val="00C13E61"/>
    <w:rsid w:val="00C217B2"/>
    <w:rsid w:val="00C24B82"/>
    <w:rsid w:val="00C31250"/>
    <w:rsid w:val="00C31724"/>
    <w:rsid w:val="00C33CF3"/>
    <w:rsid w:val="00C367DA"/>
    <w:rsid w:val="00C41DDA"/>
    <w:rsid w:val="00C46564"/>
    <w:rsid w:val="00C51B83"/>
    <w:rsid w:val="00C567EA"/>
    <w:rsid w:val="00C61351"/>
    <w:rsid w:val="00C61A9A"/>
    <w:rsid w:val="00C635CD"/>
    <w:rsid w:val="00C73A5B"/>
    <w:rsid w:val="00C76F91"/>
    <w:rsid w:val="00C77420"/>
    <w:rsid w:val="00C77782"/>
    <w:rsid w:val="00C848E9"/>
    <w:rsid w:val="00C84E08"/>
    <w:rsid w:val="00C9181B"/>
    <w:rsid w:val="00C93B6F"/>
    <w:rsid w:val="00C96E0D"/>
    <w:rsid w:val="00CA45F7"/>
    <w:rsid w:val="00CA4B20"/>
    <w:rsid w:val="00CA5C7B"/>
    <w:rsid w:val="00CB1BBE"/>
    <w:rsid w:val="00CB2EA6"/>
    <w:rsid w:val="00CB6EE2"/>
    <w:rsid w:val="00CC6FAF"/>
    <w:rsid w:val="00CD5540"/>
    <w:rsid w:val="00CD6351"/>
    <w:rsid w:val="00CE3998"/>
    <w:rsid w:val="00CF049C"/>
    <w:rsid w:val="00CF0B04"/>
    <w:rsid w:val="00D061EF"/>
    <w:rsid w:val="00D07FC5"/>
    <w:rsid w:val="00D11C31"/>
    <w:rsid w:val="00D254D4"/>
    <w:rsid w:val="00D31F30"/>
    <w:rsid w:val="00D408DD"/>
    <w:rsid w:val="00D41944"/>
    <w:rsid w:val="00D43250"/>
    <w:rsid w:val="00D434DA"/>
    <w:rsid w:val="00D43BC1"/>
    <w:rsid w:val="00D440C4"/>
    <w:rsid w:val="00D44C9A"/>
    <w:rsid w:val="00D45262"/>
    <w:rsid w:val="00D519C7"/>
    <w:rsid w:val="00D54594"/>
    <w:rsid w:val="00D60517"/>
    <w:rsid w:val="00D6291E"/>
    <w:rsid w:val="00D63484"/>
    <w:rsid w:val="00D66D40"/>
    <w:rsid w:val="00D6789D"/>
    <w:rsid w:val="00D71C50"/>
    <w:rsid w:val="00D74222"/>
    <w:rsid w:val="00D74C38"/>
    <w:rsid w:val="00D76632"/>
    <w:rsid w:val="00D81E48"/>
    <w:rsid w:val="00D837B6"/>
    <w:rsid w:val="00D84F07"/>
    <w:rsid w:val="00D85C6C"/>
    <w:rsid w:val="00D97838"/>
    <w:rsid w:val="00DA440B"/>
    <w:rsid w:val="00DA4A73"/>
    <w:rsid w:val="00DA5024"/>
    <w:rsid w:val="00DA5FC0"/>
    <w:rsid w:val="00DA716B"/>
    <w:rsid w:val="00DA72FE"/>
    <w:rsid w:val="00DA7B54"/>
    <w:rsid w:val="00DB293C"/>
    <w:rsid w:val="00DC0594"/>
    <w:rsid w:val="00DC67E8"/>
    <w:rsid w:val="00DC7979"/>
    <w:rsid w:val="00DD10A4"/>
    <w:rsid w:val="00DD1600"/>
    <w:rsid w:val="00DD45C0"/>
    <w:rsid w:val="00DD59C1"/>
    <w:rsid w:val="00DE3E61"/>
    <w:rsid w:val="00DE5A5E"/>
    <w:rsid w:val="00DF192C"/>
    <w:rsid w:val="00DF19E4"/>
    <w:rsid w:val="00DF3BE0"/>
    <w:rsid w:val="00DF7453"/>
    <w:rsid w:val="00E05DDD"/>
    <w:rsid w:val="00E10E93"/>
    <w:rsid w:val="00E12478"/>
    <w:rsid w:val="00E17734"/>
    <w:rsid w:val="00E2519D"/>
    <w:rsid w:val="00E26571"/>
    <w:rsid w:val="00E302C0"/>
    <w:rsid w:val="00E37DD9"/>
    <w:rsid w:val="00E43F5E"/>
    <w:rsid w:val="00E43FBD"/>
    <w:rsid w:val="00E45524"/>
    <w:rsid w:val="00E46844"/>
    <w:rsid w:val="00E4730A"/>
    <w:rsid w:val="00E61F3B"/>
    <w:rsid w:val="00E651F6"/>
    <w:rsid w:val="00E66D7D"/>
    <w:rsid w:val="00E67629"/>
    <w:rsid w:val="00E7185C"/>
    <w:rsid w:val="00E71D1D"/>
    <w:rsid w:val="00E8302D"/>
    <w:rsid w:val="00E870B9"/>
    <w:rsid w:val="00E9721F"/>
    <w:rsid w:val="00EA12CF"/>
    <w:rsid w:val="00EA3CE2"/>
    <w:rsid w:val="00EA49F6"/>
    <w:rsid w:val="00EB3859"/>
    <w:rsid w:val="00EB5171"/>
    <w:rsid w:val="00EC1738"/>
    <w:rsid w:val="00EC251B"/>
    <w:rsid w:val="00EC7FDB"/>
    <w:rsid w:val="00ED19FD"/>
    <w:rsid w:val="00ED7365"/>
    <w:rsid w:val="00EE06B5"/>
    <w:rsid w:val="00EE06F0"/>
    <w:rsid w:val="00EE4046"/>
    <w:rsid w:val="00EE47FF"/>
    <w:rsid w:val="00EE7828"/>
    <w:rsid w:val="00EF7412"/>
    <w:rsid w:val="00F0162B"/>
    <w:rsid w:val="00F02AF3"/>
    <w:rsid w:val="00F144C4"/>
    <w:rsid w:val="00F17815"/>
    <w:rsid w:val="00F23958"/>
    <w:rsid w:val="00F27160"/>
    <w:rsid w:val="00F31C7B"/>
    <w:rsid w:val="00F51843"/>
    <w:rsid w:val="00F53CDA"/>
    <w:rsid w:val="00F557DD"/>
    <w:rsid w:val="00F56B05"/>
    <w:rsid w:val="00F624A8"/>
    <w:rsid w:val="00F637E7"/>
    <w:rsid w:val="00F700D7"/>
    <w:rsid w:val="00F71FE0"/>
    <w:rsid w:val="00F80958"/>
    <w:rsid w:val="00F83FC0"/>
    <w:rsid w:val="00F874AD"/>
    <w:rsid w:val="00F906F9"/>
    <w:rsid w:val="00F91F87"/>
    <w:rsid w:val="00F933C4"/>
    <w:rsid w:val="00F94D9B"/>
    <w:rsid w:val="00FA61F1"/>
    <w:rsid w:val="00FA716F"/>
    <w:rsid w:val="00FB0C57"/>
    <w:rsid w:val="00FB1437"/>
    <w:rsid w:val="00FB1B32"/>
    <w:rsid w:val="00FB3631"/>
    <w:rsid w:val="00FB4D92"/>
    <w:rsid w:val="00FB6F13"/>
    <w:rsid w:val="00FC4079"/>
    <w:rsid w:val="00FC72C7"/>
    <w:rsid w:val="00FD11C1"/>
    <w:rsid w:val="00FD68F1"/>
    <w:rsid w:val="00FE14A0"/>
    <w:rsid w:val="00FE2520"/>
    <w:rsid w:val="00FE589E"/>
    <w:rsid w:val="00FF0361"/>
    <w:rsid w:val="00FF0D8F"/>
    <w:rsid w:val="00FF1146"/>
    <w:rsid w:val="00FF3F1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4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4">
      <w:bodyDiv w:val="1"/>
      <w:marLeft w:val="0"/>
      <w:marRight w:val="0"/>
      <w:marTop w:val="0"/>
      <w:marBottom w:val="0"/>
      <w:divBdr>
        <w:top w:val="none" w:sz="0" w:space="0" w:color="auto"/>
        <w:left w:val="none" w:sz="0" w:space="0" w:color="auto"/>
        <w:bottom w:val="none" w:sz="0" w:space="0" w:color="auto"/>
        <w:right w:val="none" w:sz="0" w:space="0" w:color="auto"/>
      </w:divBdr>
    </w:div>
    <w:div w:id="896476779">
      <w:bodyDiv w:val="1"/>
      <w:marLeft w:val="0"/>
      <w:marRight w:val="0"/>
      <w:marTop w:val="0"/>
      <w:marBottom w:val="0"/>
      <w:divBdr>
        <w:top w:val="none" w:sz="0" w:space="0" w:color="auto"/>
        <w:left w:val="none" w:sz="0" w:space="0" w:color="auto"/>
        <w:bottom w:val="none" w:sz="0" w:space="0" w:color="auto"/>
        <w:right w:val="none" w:sz="0" w:space="0" w:color="auto"/>
      </w:divBdr>
    </w:div>
    <w:div w:id="1086342588">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8425</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9911</CharactersWithSpaces>
  <SharedDoc>false</SharedDoc>
  <HyperlinkBase> </HyperlinkBase>
  <HLinks>
    <vt:vector size="6" baseType="variant">
      <vt:variant>
        <vt:i4>5308417</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2016-04-06T11:55:00Z</cp:lastPrinted>
  <dcterms:created xsi:type="dcterms:W3CDTF">2016-04-12T16:47:00Z</dcterms:created>
  <dcterms:modified xsi:type="dcterms:W3CDTF">2016-04-12T16:47:00Z</dcterms:modified>
  <cp:category> </cp:category>
  <cp:contentStatus> </cp:contentStatus>
</cp:coreProperties>
</file>