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BB" w:rsidRDefault="001D0CBB" w:rsidP="00D47505">
      <w:pPr>
        <w:jc w:val="right"/>
        <w:rPr>
          <w:b/>
          <w:sz w:val="24"/>
        </w:rPr>
      </w:pPr>
      <w:bookmarkStart w:id="0" w:name="_GoBack"/>
      <w:bookmarkEnd w:id="0"/>
    </w:p>
    <w:p w:rsidR="001D0CBB" w:rsidRPr="001D0CBB" w:rsidRDefault="001D0CBB" w:rsidP="001D0CBB">
      <w:pPr>
        <w:widowControl/>
        <w:jc w:val="right"/>
        <w:rPr>
          <w:b/>
          <w:snapToGrid/>
          <w:kern w:val="0"/>
          <w:szCs w:val="22"/>
        </w:rPr>
      </w:pPr>
      <w:r w:rsidRPr="001D0CBB">
        <w:rPr>
          <w:b/>
          <w:snapToGrid/>
          <w:kern w:val="0"/>
          <w:szCs w:val="22"/>
        </w:rPr>
        <w:t>DA 16-</w:t>
      </w:r>
      <w:r w:rsidR="0060626B">
        <w:rPr>
          <w:b/>
          <w:snapToGrid/>
          <w:kern w:val="0"/>
          <w:szCs w:val="22"/>
        </w:rPr>
        <w:t>403</w:t>
      </w:r>
    </w:p>
    <w:p w:rsidR="00D47505" w:rsidRPr="00B20363" w:rsidRDefault="00B338A9" w:rsidP="00D47505">
      <w:pPr>
        <w:spacing w:before="60"/>
        <w:jc w:val="right"/>
        <w:rPr>
          <w:b/>
          <w:sz w:val="24"/>
        </w:rPr>
      </w:pPr>
      <w:r>
        <w:rPr>
          <w:b/>
          <w:sz w:val="24"/>
        </w:rPr>
        <w:t xml:space="preserve">Released:  </w:t>
      </w:r>
      <w:r w:rsidR="001D0CBB">
        <w:rPr>
          <w:b/>
          <w:sz w:val="24"/>
        </w:rPr>
        <w:t>April 14, 2016</w:t>
      </w:r>
    </w:p>
    <w:p w:rsidR="00D47505" w:rsidRDefault="00D47505" w:rsidP="00D47505">
      <w:pPr>
        <w:jc w:val="right"/>
        <w:rPr>
          <w:sz w:val="24"/>
        </w:rPr>
      </w:pPr>
    </w:p>
    <w:p w:rsidR="001D0CBB" w:rsidRPr="001D0CBB" w:rsidRDefault="001D0CBB" w:rsidP="001D0CBB">
      <w:pPr>
        <w:widowControl/>
        <w:jc w:val="center"/>
        <w:rPr>
          <w:b/>
          <w:bCs/>
          <w:snapToGrid/>
          <w:kern w:val="0"/>
        </w:rPr>
      </w:pPr>
      <w:r w:rsidRPr="001D0CBB">
        <w:rPr>
          <w:b/>
          <w:bCs/>
          <w:snapToGrid/>
          <w:kern w:val="0"/>
        </w:rPr>
        <w:t xml:space="preserve">DOMESTIC SECTION 214 APPLICATION FILED FOR THE TRANSFER OF CONTROL OF TVC ALBANY, INC.  AND SEGTEL, INC. TO OHCP NORTHEASTERN FIBER BUYER, INC. </w:t>
      </w:r>
    </w:p>
    <w:p w:rsidR="00D47505" w:rsidRPr="00B20363" w:rsidRDefault="00D47505" w:rsidP="00D47505">
      <w:pPr>
        <w:spacing w:after="240"/>
        <w:jc w:val="center"/>
        <w:rPr>
          <w:rFonts w:ascii="Times New Roman Bold" w:hAnsi="Times New Roman Bold"/>
          <w:b/>
          <w:caps/>
          <w:sz w:val="24"/>
        </w:rPr>
      </w:pPr>
    </w:p>
    <w:p w:rsidR="001D0CBB" w:rsidRPr="001D0CBB" w:rsidRDefault="00E17827" w:rsidP="001D0CBB">
      <w:pPr>
        <w:widowControl/>
        <w:spacing w:after="240"/>
        <w:jc w:val="center"/>
        <w:rPr>
          <w:b/>
          <w:snapToGrid/>
          <w:kern w:val="0"/>
          <w:szCs w:val="22"/>
        </w:rPr>
      </w:pPr>
      <w:r>
        <w:rPr>
          <w:b/>
          <w:snapToGrid/>
          <w:kern w:val="0"/>
          <w:szCs w:val="22"/>
        </w:rPr>
        <w:t>NON-</w:t>
      </w:r>
      <w:r w:rsidR="001D0CBB" w:rsidRPr="001D0CBB">
        <w:rPr>
          <w:b/>
          <w:snapToGrid/>
          <w:kern w:val="0"/>
          <w:szCs w:val="22"/>
        </w:rPr>
        <w:t>STREAMLINED PLEADING CYCLE ESTABLISHED</w:t>
      </w:r>
    </w:p>
    <w:p w:rsidR="001D0CBB" w:rsidRPr="001D0CBB" w:rsidRDefault="001D0CBB" w:rsidP="001D0CBB">
      <w:pPr>
        <w:widowControl/>
        <w:jc w:val="center"/>
        <w:rPr>
          <w:b/>
          <w:snapToGrid/>
          <w:kern w:val="0"/>
          <w:szCs w:val="22"/>
        </w:rPr>
      </w:pPr>
      <w:r w:rsidRPr="001D0CBB">
        <w:rPr>
          <w:b/>
          <w:snapToGrid/>
          <w:kern w:val="0"/>
          <w:szCs w:val="22"/>
        </w:rPr>
        <w:t>WC Docket No. 16-107</w:t>
      </w:r>
    </w:p>
    <w:p w:rsidR="00D47505" w:rsidRDefault="00D47505" w:rsidP="00D47505">
      <w:pPr>
        <w:jc w:val="center"/>
        <w:rPr>
          <w:b/>
          <w:sz w:val="24"/>
        </w:rPr>
      </w:pPr>
    </w:p>
    <w:p w:rsidR="001D0CBB" w:rsidRPr="006F6A1D" w:rsidRDefault="001D0CBB" w:rsidP="001D0CBB">
      <w:pPr>
        <w:pStyle w:val="NoSpacing"/>
        <w:rPr>
          <w:b/>
          <w:szCs w:val="22"/>
        </w:rPr>
      </w:pPr>
      <w:r w:rsidRPr="006F6A1D">
        <w:rPr>
          <w:b/>
          <w:szCs w:val="22"/>
        </w:rPr>
        <w:t xml:space="preserve">Comments Due:  </w:t>
      </w:r>
      <w:r>
        <w:rPr>
          <w:b/>
          <w:szCs w:val="22"/>
        </w:rPr>
        <w:t>April</w:t>
      </w:r>
      <w:r w:rsidRPr="006F6A1D">
        <w:rPr>
          <w:b/>
          <w:szCs w:val="22"/>
        </w:rPr>
        <w:t xml:space="preserve"> </w:t>
      </w:r>
      <w:r w:rsidR="00E17827">
        <w:rPr>
          <w:b/>
          <w:szCs w:val="22"/>
        </w:rPr>
        <w:t>28</w:t>
      </w:r>
      <w:r w:rsidRPr="006F6A1D">
        <w:rPr>
          <w:b/>
          <w:szCs w:val="22"/>
        </w:rPr>
        <w:t>, 201</w:t>
      </w:r>
      <w:r>
        <w:rPr>
          <w:b/>
          <w:szCs w:val="22"/>
        </w:rPr>
        <w:t>6</w:t>
      </w:r>
    </w:p>
    <w:p w:rsidR="001D0CBB" w:rsidRPr="006F6A1D" w:rsidRDefault="001D0CBB" w:rsidP="001D0CBB">
      <w:pPr>
        <w:pStyle w:val="NoSpacing"/>
        <w:rPr>
          <w:b/>
          <w:szCs w:val="22"/>
        </w:rPr>
      </w:pPr>
      <w:r w:rsidRPr="006F6A1D">
        <w:rPr>
          <w:b/>
          <w:szCs w:val="22"/>
        </w:rPr>
        <w:t xml:space="preserve">Reply Comments Due:  </w:t>
      </w:r>
      <w:r w:rsidR="00E17827">
        <w:rPr>
          <w:b/>
          <w:szCs w:val="22"/>
        </w:rPr>
        <w:t>May 5</w:t>
      </w:r>
      <w:r>
        <w:rPr>
          <w:b/>
          <w:szCs w:val="22"/>
        </w:rPr>
        <w:t>,</w:t>
      </w:r>
      <w:r w:rsidRPr="006F6A1D">
        <w:rPr>
          <w:b/>
          <w:szCs w:val="22"/>
        </w:rPr>
        <w:t xml:space="preserve"> 201</w:t>
      </w:r>
      <w:r>
        <w:rPr>
          <w:b/>
          <w:szCs w:val="22"/>
        </w:rPr>
        <w:t>6</w:t>
      </w:r>
    </w:p>
    <w:p w:rsidR="00D47505" w:rsidRDefault="00D47505" w:rsidP="001D0CBB">
      <w:pPr>
        <w:rPr>
          <w:sz w:val="24"/>
        </w:rPr>
      </w:pPr>
    </w:p>
    <w:p w:rsidR="001D0CBB" w:rsidRPr="001D0CBB" w:rsidRDefault="001D0CBB" w:rsidP="001D0CBB">
      <w:pPr>
        <w:widowControl/>
        <w:autoSpaceDE w:val="0"/>
        <w:autoSpaceDN w:val="0"/>
        <w:adjustRightInd w:val="0"/>
        <w:ind w:firstLine="720"/>
        <w:rPr>
          <w:snapToGrid/>
          <w:color w:val="2D2A2B"/>
          <w:kern w:val="0"/>
          <w:szCs w:val="22"/>
        </w:rPr>
      </w:pPr>
      <w:r w:rsidRPr="001D0CBB">
        <w:rPr>
          <w:snapToGrid/>
          <w:color w:val="2D2A2B"/>
          <w:kern w:val="0"/>
          <w:szCs w:val="22"/>
        </w:rPr>
        <w:t>Tech Valley Holdings, LLC (TVC Holdings), TVC Albany, Inc. (TVC), segTEL, Inc. (segTEL), and OHCP Northeastern Fiber Buyer, Inc. (OHCP Northeastern Fiber) (collectively Applicants</w:t>
      </w:r>
      <w:r w:rsidRPr="001D0CBB">
        <w:rPr>
          <w:snapToGrid/>
          <w:kern w:val="0"/>
          <w:szCs w:val="22"/>
        </w:rPr>
        <w:t>) filed an application pursuant to section 214 of the Communications Act of 1934, as amended, and section 63.03 of the Commission’s rules, requesting approval to transfer control of TVC and segTEL to OHCP Northeastern Fiber.</w:t>
      </w:r>
      <w:r w:rsidRPr="001D0CBB">
        <w:rPr>
          <w:snapToGrid/>
          <w:kern w:val="0"/>
          <w:szCs w:val="22"/>
          <w:vertAlign w:val="superscript"/>
        </w:rPr>
        <w:footnoteReference w:id="2"/>
      </w:r>
      <w:r w:rsidRPr="001D0CBB">
        <w:rPr>
          <w:snapToGrid/>
          <w:kern w:val="0"/>
          <w:szCs w:val="22"/>
        </w:rPr>
        <w:t xml:space="preserve"> </w:t>
      </w:r>
    </w:p>
    <w:p w:rsidR="001D0CBB" w:rsidRPr="001D0CBB" w:rsidRDefault="001D0CBB" w:rsidP="001D0CBB">
      <w:pPr>
        <w:widowControl/>
        <w:autoSpaceDE w:val="0"/>
        <w:autoSpaceDN w:val="0"/>
        <w:adjustRightInd w:val="0"/>
        <w:rPr>
          <w:snapToGrid/>
          <w:color w:val="2D2A2B"/>
          <w:kern w:val="0"/>
          <w:sz w:val="23"/>
          <w:szCs w:val="23"/>
        </w:rPr>
      </w:pPr>
    </w:p>
    <w:p w:rsidR="001D0CBB" w:rsidRPr="001D0CBB" w:rsidRDefault="001D0CBB" w:rsidP="001D0CBB">
      <w:pPr>
        <w:widowControl/>
        <w:autoSpaceDE w:val="0"/>
        <w:autoSpaceDN w:val="0"/>
        <w:adjustRightInd w:val="0"/>
        <w:ind w:firstLine="720"/>
        <w:rPr>
          <w:snapToGrid/>
          <w:color w:val="2D2A2B"/>
          <w:kern w:val="0"/>
          <w:szCs w:val="22"/>
        </w:rPr>
      </w:pPr>
      <w:r w:rsidRPr="001D0CBB">
        <w:rPr>
          <w:snapToGrid/>
          <w:color w:val="2D2A2B"/>
          <w:kern w:val="0"/>
          <w:szCs w:val="22"/>
        </w:rPr>
        <w:t xml:space="preserve">TVC, a Delaware corporation, and its indirect subsidiary, segTEL, a New Hampshire corporation, operate using the trade name FirstLight Fiber.  FirstLight Fiber provides telecommunications services in Maine, Massachusetts, New Hampshire, New York, and Vermont.  FirstLight offers high bandwidth connectivity solutions including Ethernet, wavelengths and dark fiber as well as dedicated Internet access solutions, data center services, and voice services such as SIP trunks, virtual PBX, and traditional TDM solutions.  FirstLight provides service over a combination of owned and leased facilities of other carriers that together comprise a fiber optic communications network of more than 260,000 fiber miles. </w:t>
      </w:r>
    </w:p>
    <w:p w:rsidR="001D0CBB" w:rsidRPr="001D0CBB" w:rsidRDefault="001D0CBB" w:rsidP="001D0CBB">
      <w:pPr>
        <w:widowControl/>
        <w:autoSpaceDE w:val="0"/>
        <w:autoSpaceDN w:val="0"/>
        <w:adjustRightInd w:val="0"/>
        <w:rPr>
          <w:snapToGrid/>
          <w:color w:val="2D2A2B"/>
          <w:kern w:val="0"/>
          <w:szCs w:val="22"/>
        </w:rPr>
      </w:pPr>
    </w:p>
    <w:p w:rsidR="001D0CBB" w:rsidRPr="001D0CBB" w:rsidRDefault="001D0CBB" w:rsidP="001D0CBB">
      <w:pPr>
        <w:widowControl/>
        <w:autoSpaceDE w:val="0"/>
        <w:autoSpaceDN w:val="0"/>
        <w:adjustRightInd w:val="0"/>
        <w:ind w:firstLine="720"/>
        <w:rPr>
          <w:snapToGrid/>
          <w:color w:val="262223"/>
          <w:kern w:val="0"/>
          <w:szCs w:val="22"/>
        </w:rPr>
      </w:pPr>
      <w:r w:rsidRPr="001D0CBB">
        <w:rPr>
          <w:snapToGrid/>
          <w:color w:val="2D2A2B"/>
          <w:kern w:val="0"/>
          <w:szCs w:val="22"/>
        </w:rPr>
        <w:t>OHCP Northeastern Fiber</w:t>
      </w:r>
      <w:r w:rsidRPr="001D0CBB">
        <w:rPr>
          <w:snapToGrid/>
          <w:color w:val="262223"/>
          <w:kern w:val="0"/>
          <w:szCs w:val="22"/>
        </w:rPr>
        <w:t xml:space="preserve"> does not provide telecommunications services,</w:t>
      </w:r>
      <w:r w:rsidRPr="001D0CBB">
        <w:rPr>
          <w:snapToGrid/>
          <w:color w:val="262223"/>
          <w:kern w:val="0"/>
          <w:szCs w:val="22"/>
          <w:vertAlign w:val="superscript"/>
        </w:rPr>
        <w:t xml:space="preserve"> </w:t>
      </w:r>
      <w:r w:rsidRPr="001D0CBB">
        <w:rPr>
          <w:snapToGrid/>
          <w:color w:val="262223"/>
          <w:kern w:val="0"/>
          <w:szCs w:val="22"/>
          <w:vertAlign w:val="superscript"/>
        </w:rPr>
        <w:footnoteReference w:id="3"/>
      </w:r>
      <w:r w:rsidRPr="001D0CBB">
        <w:rPr>
          <w:snapToGrid/>
          <w:color w:val="262223"/>
          <w:kern w:val="0"/>
          <w:szCs w:val="22"/>
        </w:rPr>
        <w:t xml:space="preserve"> rather, it was formed for the purpose of acquiring TVC.  After consummation of the proposed transaction, OHCP Northeastern Fiber will be predominantly owned, and controlled, by various private equity funds formed in the Cayman </w:t>
      </w:r>
      <w:r w:rsidRPr="001D0CBB">
        <w:rPr>
          <w:snapToGrid/>
          <w:color w:val="262223"/>
          <w:kern w:val="0"/>
          <w:szCs w:val="22"/>
        </w:rPr>
        <w:lastRenderedPageBreak/>
        <w:t>Islands.</w:t>
      </w:r>
      <w:r w:rsidRPr="001D0CBB">
        <w:rPr>
          <w:snapToGrid/>
          <w:color w:val="262223"/>
          <w:kern w:val="0"/>
          <w:szCs w:val="22"/>
          <w:vertAlign w:val="superscript"/>
        </w:rPr>
        <w:footnoteReference w:id="4"/>
      </w:r>
      <w:r w:rsidRPr="001D0CBB">
        <w:rPr>
          <w:snapToGrid/>
          <w:color w:val="262223"/>
          <w:kern w:val="0"/>
          <w:szCs w:val="22"/>
        </w:rPr>
        <w:t xml:space="preserve">  These funds are all ultimately controlled by OHCP MGP IV, Ltd. (MGP IV), a Cayman Islands entity, the voting members of which are all U.S. citizens.</w:t>
      </w:r>
      <w:r w:rsidRPr="001D0CBB">
        <w:rPr>
          <w:snapToGrid/>
          <w:color w:val="262223"/>
          <w:kern w:val="0"/>
          <w:szCs w:val="22"/>
          <w:vertAlign w:val="superscript"/>
        </w:rPr>
        <w:footnoteReference w:id="5"/>
      </w:r>
      <w:r w:rsidRPr="001D0CBB">
        <w:rPr>
          <w:snapToGrid/>
          <w:color w:val="262223"/>
          <w:kern w:val="0"/>
          <w:szCs w:val="22"/>
        </w:rPr>
        <w:t xml:space="preserve">  Applicants state that none of the Oak Hill IV Funds or MGP IV owns or operates any other Commission regulated providers of telecommunications services.  Applicants describe that the equity in the Oak Hill IV Funds is held by numerous investors, including, individuals, trusts, institutions and business entities.</w:t>
      </w:r>
    </w:p>
    <w:p w:rsidR="001D0CBB" w:rsidRPr="001D0CBB" w:rsidRDefault="001D0CBB" w:rsidP="001D0CBB">
      <w:pPr>
        <w:widowControl/>
        <w:autoSpaceDE w:val="0"/>
        <w:autoSpaceDN w:val="0"/>
        <w:adjustRightInd w:val="0"/>
        <w:rPr>
          <w:snapToGrid/>
          <w:kern w:val="0"/>
          <w:szCs w:val="22"/>
        </w:rPr>
      </w:pPr>
    </w:p>
    <w:p w:rsidR="001D0CBB" w:rsidRPr="001D0CBB" w:rsidRDefault="001D0CBB" w:rsidP="001D0CBB">
      <w:pPr>
        <w:widowControl/>
        <w:autoSpaceDE w:val="0"/>
        <w:autoSpaceDN w:val="0"/>
        <w:adjustRightInd w:val="0"/>
        <w:ind w:firstLine="720"/>
        <w:rPr>
          <w:snapToGrid/>
          <w:color w:val="262223"/>
          <w:kern w:val="0"/>
          <w:szCs w:val="22"/>
        </w:rPr>
      </w:pPr>
      <w:r w:rsidRPr="001D0CBB">
        <w:rPr>
          <w:snapToGrid/>
          <w:kern w:val="0"/>
          <w:szCs w:val="22"/>
        </w:rPr>
        <w:t>Applicants state that, pursuant to the terms of the proposed securities purchase agreement (Agreement), OHCP Northeastern Fiber</w:t>
      </w:r>
      <w:r w:rsidRPr="001D0CBB">
        <w:rPr>
          <w:snapToGrid/>
          <w:color w:val="262223"/>
          <w:kern w:val="0"/>
          <w:szCs w:val="22"/>
        </w:rPr>
        <w:t xml:space="preserve"> will purchase 100 percent of the outstanding securities of TVC from TVC Holding (Transaction).  Applicants explain that, before closing of the proposed Transaction, OHCP Northeastern Fiber will assign its rights under the Agreement to a yet-to-be formed entity, “Oak Hill Buyer”, which Applicants indicate will be a subsidiary of OHCP Northeastern Fiber.  Upon completion of the proposed Transaction, therefore, TVC will be a wholly owned subsidiary of Oak Hill Buyer (direct) and OHCP Northeastern Fiber (indirect) and segTEL, will be an indirect, wholly owned subsidiary of Oak Hill Buyer and OHCP Northeastern Fiber.</w:t>
      </w:r>
      <w:r w:rsidR="00E17827">
        <w:rPr>
          <w:snapToGrid/>
          <w:color w:val="262223"/>
          <w:kern w:val="0"/>
          <w:szCs w:val="22"/>
        </w:rPr>
        <w:t xml:space="preserve"> </w:t>
      </w:r>
      <w:r w:rsidRPr="001D0CBB">
        <w:rPr>
          <w:snapToGrid/>
          <w:color w:val="262223"/>
          <w:kern w:val="0"/>
          <w:szCs w:val="22"/>
        </w:rPr>
        <w:t xml:space="preserve"> </w:t>
      </w:r>
      <w:r w:rsidR="00707DB4">
        <w:rPr>
          <w:snapToGrid/>
          <w:color w:val="262223"/>
          <w:kern w:val="0"/>
          <w:szCs w:val="22"/>
        </w:rPr>
        <w:t>In light of the multiple applications pending before the Commission with respect to this transaction and the public interest review associated with them, the domestic transfer of control application is not subject to streamlined treatment</w:t>
      </w:r>
      <w:r w:rsidRPr="001D0CBB">
        <w:rPr>
          <w:rFonts w:ascii="TimesNewRoman" w:hAnsi="TimesNewRoman" w:cs="TimesNewRoman"/>
          <w:snapToGrid/>
          <w:color w:val="020100"/>
          <w:kern w:val="0"/>
          <w:szCs w:val="22"/>
        </w:rPr>
        <w:t>.</w:t>
      </w:r>
      <w:r w:rsidRPr="001D0CBB">
        <w:rPr>
          <w:rFonts w:ascii="TimesNewRoman" w:hAnsi="TimesNewRoman" w:cs="TimesNewRoman"/>
          <w:snapToGrid/>
          <w:color w:val="020100"/>
          <w:kern w:val="0"/>
          <w:szCs w:val="22"/>
          <w:vertAlign w:val="superscript"/>
        </w:rPr>
        <w:footnoteReference w:id="6"/>
      </w:r>
    </w:p>
    <w:p w:rsidR="001D0CBB" w:rsidRPr="001D0CBB" w:rsidRDefault="001D0CBB" w:rsidP="001D0CBB">
      <w:pPr>
        <w:widowControl/>
        <w:rPr>
          <w:snapToGrid/>
          <w:kern w:val="0"/>
          <w:szCs w:val="22"/>
        </w:rPr>
      </w:pPr>
    </w:p>
    <w:p w:rsidR="001D0CBB" w:rsidRPr="001D0CBB" w:rsidRDefault="001D0CBB" w:rsidP="001D0CBB">
      <w:pPr>
        <w:widowControl/>
        <w:autoSpaceDE w:val="0"/>
        <w:autoSpaceDN w:val="0"/>
        <w:adjustRightInd w:val="0"/>
        <w:ind w:left="720" w:right="144"/>
        <w:rPr>
          <w:bCs/>
          <w:snapToGrid/>
          <w:kern w:val="0"/>
          <w:szCs w:val="22"/>
        </w:rPr>
      </w:pPr>
      <w:r w:rsidRPr="001D0CBB">
        <w:rPr>
          <w:snapToGrid/>
          <w:kern w:val="0"/>
          <w:szCs w:val="22"/>
        </w:rPr>
        <w:t xml:space="preserve">Domestic Section 214 Application Filed for the </w:t>
      </w:r>
      <w:r w:rsidRPr="001D0CBB">
        <w:rPr>
          <w:bCs/>
          <w:snapToGrid/>
          <w:kern w:val="0"/>
          <w:szCs w:val="22"/>
        </w:rPr>
        <w:t xml:space="preserve">Transfer of </w:t>
      </w:r>
      <w:r w:rsidR="00707DB4">
        <w:rPr>
          <w:bCs/>
          <w:snapToGrid/>
          <w:kern w:val="0"/>
          <w:szCs w:val="22"/>
        </w:rPr>
        <w:t>Control of TVC Albany, Inc. and</w:t>
      </w:r>
      <w:r w:rsidR="001213D3">
        <w:rPr>
          <w:bCs/>
          <w:snapToGrid/>
          <w:kern w:val="0"/>
          <w:szCs w:val="22"/>
        </w:rPr>
        <w:t xml:space="preserve"> s</w:t>
      </w:r>
      <w:r w:rsidRPr="001D0CBB">
        <w:rPr>
          <w:bCs/>
          <w:snapToGrid/>
          <w:kern w:val="0"/>
          <w:szCs w:val="22"/>
        </w:rPr>
        <w:t xml:space="preserve">egTEL, Inc. to OHCP Northeastern Fiber Buyer, Inc., </w:t>
      </w:r>
      <w:r w:rsidRPr="001D0CBB">
        <w:rPr>
          <w:snapToGrid/>
          <w:kern w:val="0"/>
          <w:szCs w:val="22"/>
        </w:rPr>
        <w:t>WC Docket No. 16-107 (filed Mar. 30, 2016).</w:t>
      </w:r>
    </w:p>
    <w:p w:rsidR="001D0CBB" w:rsidRPr="001D0CBB" w:rsidRDefault="001D0CBB" w:rsidP="001D0CBB">
      <w:pPr>
        <w:widowControl/>
        <w:autoSpaceDE w:val="0"/>
        <w:autoSpaceDN w:val="0"/>
        <w:adjustRightInd w:val="0"/>
        <w:ind w:left="720"/>
        <w:rPr>
          <w:snapToGrid/>
          <w:kern w:val="0"/>
          <w:szCs w:val="22"/>
        </w:rPr>
      </w:pPr>
    </w:p>
    <w:p w:rsidR="001D0CBB" w:rsidRPr="001D0CBB" w:rsidRDefault="001D0CBB" w:rsidP="001D0CBB">
      <w:pPr>
        <w:widowControl/>
        <w:ind w:right="720"/>
        <w:rPr>
          <w:snapToGrid/>
          <w:kern w:val="0"/>
          <w:szCs w:val="22"/>
        </w:rPr>
      </w:pPr>
      <w:r w:rsidRPr="001D0CBB">
        <w:rPr>
          <w:b/>
          <w:snapToGrid/>
          <w:kern w:val="0"/>
          <w:szCs w:val="22"/>
          <w:u w:val="single"/>
        </w:rPr>
        <w:t>GENERAL INFORMATION</w:t>
      </w:r>
    </w:p>
    <w:p w:rsidR="001D0CBB" w:rsidRPr="001D0CBB" w:rsidRDefault="001D0CBB" w:rsidP="001D0CBB">
      <w:pPr>
        <w:widowControl/>
        <w:ind w:right="720"/>
        <w:rPr>
          <w:snapToGrid/>
          <w:kern w:val="0"/>
          <w:szCs w:val="22"/>
        </w:rPr>
      </w:pPr>
    </w:p>
    <w:p w:rsidR="001D0CBB" w:rsidRPr="001D0CBB" w:rsidRDefault="001D0CBB" w:rsidP="001D0CBB">
      <w:pPr>
        <w:widowControl/>
        <w:ind w:firstLine="720"/>
        <w:rPr>
          <w:snapToGrid/>
          <w:kern w:val="0"/>
          <w:szCs w:val="22"/>
        </w:rPr>
      </w:pPr>
      <w:r w:rsidRPr="001D0CBB">
        <w:rPr>
          <w:snapToGrid/>
          <w:kern w:val="0"/>
          <w:szCs w:val="22"/>
        </w:rPr>
        <w:t xml:space="preserve">The transfer of control identified herein has been found, upon initial review, to be acceptable for filing as a </w:t>
      </w:r>
      <w:r w:rsidR="00E17827">
        <w:rPr>
          <w:snapToGrid/>
          <w:kern w:val="0"/>
          <w:szCs w:val="22"/>
        </w:rPr>
        <w:t>non-</w:t>
      </w:r>
      <w:r w:rsidRPr="001D0CBB">
        <w:rPr>
          <w:snapToGrid/>
          <w:kern w:val="0"/>
          <w:szCs w:val="22"/>
        </w:rPr>
        <w:t xml:space="preserve">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1D0CBB">
        <w:rPr>
          <w:b/>
          <w:snapToGrid/>
          <w:kern w:val="0"/>
          <w:szCs w:val="22"/>
        </w:rPr>
        <w:t xml:space="preserve">on or before </w:t>
      </w:r>
      <w:r w:rsidR="00E17827">
        <w:rPr>
          <w:b/>
          <w:snapToGrid/>
          <w:kern w:val="0"/>
          <w:szCs w:val="22"/>
        </w:rPr>
        <w:t>April 28</w:t>
      </w:r>
      <w:r w:rsidRPr="001D0CBB">
        <w:rPr>
          <w:b/>
          <w:snapToGrid/>
          <w:kern w:val="0"/>
          <w:szCs w:val="22"/>
        </w:rPr>
        <w:t>, 2016</w:t>
      </w:r>
      <w:r w:rsidRPr="001D0CBB">
        <w:rPr>
          <w:snapToGrid/>
          <w:kern w:val="0"/>
          <w:szCs w:val="22"/>
        </w:rPr>
        <w:t xml:space="preserve">, and reply comments </w:t>
      </w:r>
      <w:r w:rsidRPr="001D0CBB">
        <w:rPr>
          <w:b/>
          <w:snapToGrid/>
          <w:kern w:val="0"/>
          <w:szCs w:val="22"/>
        </w:rPr>
        <w:t xml:space="preserve">on or before </w:t>
      </w:r>
      <w:r w:rsidR="00E17827">
        <w:rPr>
          <w:b/>
          <w:snapToGrid/>
          <w:kern w:val="0"/>
          <w:szCs w:val="22"/>
        </w:rPr>
        <w:t>May 5</w:t>
      </w:r>
      <w:r w:rsidRPr="001D0CBB">
        <w:rPr>
          <w:b/>
          <w:snapToGrid/>
          <w:kern w:val="0"/>
          <w:szCs w:val="22"/>
        </w:rPr>
        <w:t>, 2016</w:t>
      </w:r>
      <w:r w:rsidRPr="001D0CBB">
        <w:rPr>
          <w:snapToGrid/>
          <w:kern w:val="0"/>
          <w:szCs w:val="22"/>
        </w:rPr>
        <w:t xml:space="preserve">.  Pursuant to Section 63.52 of the Commission’s rules, 47 C.F.R. § 63.52, commenters must serve a copy of comments on the Applicants no later than the above comment filing date.     </w:t>
      </w:r>
    </w:p>
    <w:p w:rsidR="001D0CBB" w:rsidRPr="001D0CBB" w:rsidRDefault="001D0CBB" w:rsidP="001D0CBB">
      <w:pPr>
        <w:widowControl/>
        <w:rPr>
          <w:snapToGrid/>
          <w:kern w:val="0"/>
          <w:szCs w:val="22"/>
        </w:rPr>
      </w:pPr>
    </w:p>
    <w:p w:rsidR="001D0CBB" w:rsidRPr="001D0CBB" w:rsidRDefault="001D0CBB" w:rsidP="001D0CBB">
      <w:pPr>
        <w:widowControl/>
        <w:ind w:firstLine="720"/>
        <w:rPr>
          <w:snapToGrid/>
          <w:kern w:val="0"/>
          <w:szCs w:val="22"/>
        </w:rPr>
      </w:pPr>
      <w:r w:rsidRPr="001D0CBB">
        <w:rPr>
          <w:snapToGrid/>
          <w:kern w:val="0"/>
          <w:szCs w:val="22"/>
        </w:rPr>
        <w:lastRenderedPageBreak/>
        <w:t xml:space="preserve">Pursuant to Section 63.03 of the Commission’s rules, 47 CFR § 63.03, parties to this proceeding should file any documents in this proceeding using the Commission’s Electronic Comment Filing System (ECFS):  http://apps.fcc.gov/ecfs/.  </w:t>
      </w:r>
    </w:p>
    <w:p w:rsidR="001D0CBB" w:rsidRPr="001D0CBB" w:rsidRDefault="00EF5E4C" w:rsidP="001D0CBB">
      <w:pPr>
        <w:widowControl/>
        <w:rPr>
          <w:snapToGrid/>
          <w:kern w:val="0"/>
          <w:szCs w:val="22"/>
        </w:rPr>
      </w:pPr>
      <w:r>
        <w:rPr>
          <w:snapToGrid/>
          <w:kern w:val="0"/>
          <w:szCs w:val="22"/>
        </w:rPr>
        <w:br w:type="page"/>
      </w:r>
    </w:p>
    <w:p w:rsidR="001D0CBB" w:rsidRPr="001D0CBB" w:rsidRDefault="001D0CBB" w:rsidP="001D0CBB">
      <w:pPr>
        <w:widowControl/>
        <w:rPr>
          <w:b/>
          <w:snapToGrid/>
          <w:kern w:val="0"/>
          <w:szCs w:val="22"/>
        </w:rPr>
      </w:pPr>
      <w:r w:rsidRPr="001D0CBB">
        <w:rPr>
          <w:b/>
          <w:snapToGrid/>
          <w:kern w:val="0"/>
          <w:szCs w:val="22"/>
        </w:rPr>
        <w:t>In addition, e-mail one copy of each pleading to each of the following:</w:t>
      </w:r>
    </w:p>
    <w:p w:rsidR="001D0CBB" w:rsidRPr="001D0CBB" w:rsidRDefault="001D0CBB" w:rsidP="001D0CBB">
      <w:pPr>
        <w:widowControl/>
        <w:rPr>
          <w:snapToGrid/>
          <w:kern w:val="0"/>
          <w:szCs w:val="22"/>
        </w:rPr>
      </w:pPr>
    </w:p>
    <w:p w:rsidR="001D0CBB" w:rsidRPr="001D0CBB" w:rsidRDefault="001D0CBB" w:rsidP="001D0CBB">
      <w:pPr>
        <w:widowControl/>
        <w:numPr>
          <w:ilvl w:val="0"/>
          <w:numId w:val="8"/>
        </w:numPr>
        <w:rPr>
          <w:snapToGrid/>
          <w:kern w:val="0"/>
          <w:szCs w:val="22"/>
        </w:rPr>
      </w:pPr>
      <w:r w:rsidRPr="001D0CBB">
        <w:rPr>
          <w:snapToGrid/>
          <w:kern w:val="0"/>
          <w:szCs w:val="22"/>
        </w:rPr>
        <w:t xml:space="preserve">Tracey Wilson, Wireline Competition Bureau,  </w:t>
      </w:r>
      <w:hyperlink r:id="rId8" w:history="1">
        <w:r w:rsidRPr="001D0CBB">
          <w:rPr>
            <w:snapToGrid/>
            <w:color w:val="0000FF"/>
            <w:kern w:val="0"/>
            <w:szCs w:val="22"/>
            <w:u w:val="single"/>
          </w:rPr>
          <w:t>tracey.wilson@fcc.gov</w:t>
        </w:r>
      </w:hyperlink>
      <w:r w:rsidRPr="001D0CBB">
        <w:rPr>
          <w:snapToGrid/>
          <w:kern w:val="0"/>
          <w:szCs w:val="22"/>
        </w:rPr>
        <w:t>;</w:t>
      </w:r>
    </w:p>
    <w:p w:rsidR="001D0CBB" w:rsidRPr="001D0CBB" w:rsidRDefault="001D0CBB" w:rsidP="001D0CBB">
      <w:pPr>
        <w:widowControl/>
        <w:rPr>
          <w:snapToGrid/>
          <w:kern w:val="0"/>
          <w:szCs w:val="22"/>
        </w:rPr>
      </w:pPr>
    </w:p>
    <w:p w:rsidR="001D0CBB" w:rsidRPr="001D0CBB" w:rsidRDefault="001D0CBB" w:rsidP="001D0CBB">
      <w:pPr>
        <w:widowControl/>
        <w:numPr>
          <w:ilvl w:val="0"/>
          <w:numId w:val="8"/>
        </w:numPr>
        <w:rPr>
          <w:snapToGrid/>
          <w:kern w:val="0"/>
          <w:szCs w:val="22"/>
        </w:rPr>
      </w:pPr>
      <w:r w:rsidRPr="001D0CBB">
        <w:rPr>
          <w:snapToGrid/>
          <w:kern w:val="0"/>
          <w:szCs w:val="22"/>
        </w:rPr>
        <w:t xml:space="preserve">Dennis Johnson, Wireline Competition Bureau, </w:t>
      </w:r>
      <w:hyperlink r:id="rId9" w:history="1">
        <w:r w:rsidRPr="001D0CBB">
          <w:rPr>
            <w:snapToGrid/>
            <w:color w:val="0000FF"/>
            <w:kern w:val="0"/>
            <w:szCs w:val="22"/>
            <w:u w:val="single"/>
          </w:rPr>
          <w:t>dennis.johnson@fcc.gov</w:t>
        </w:r>
      </w:hyperlink>
      <w:r w:rsidRPr="001D0CBB">
        <w:rPr>
          <w:snapToGrid/>
          <w:kern w:val="0"/>
          <w:szCs w:val="22"/>
        </w:rPr>
        <w:t>;</w:t>
      </w:r>
    </w:p>
    <w:p w:rsidR="001D0CBB" w:rsidRPr="001D0CBB" w:rsidRDefault="001D0CBB" w:rsidP="001D0CBB">
      <w:pPr>
        <w:widowControl/>
        <w:rPr>
          <w:snapToGrid/>
          <w:kern w:val="0"/>
          <w:szCs w:val="22"/>
        </w:rPr>
      </w:pPr>
    </w:p>
    <w:p w:rsidR="001D0CBB" w:rsidRPr="001D0CBB" w:rsidRDefault="001D0CBB" w:rsidP="001D0CBB">
      <w:pPr>
        <w:widowControl/>
        <w:numPr>
          <w:ilvl w:val="0"/>
          <w:numId w:val="8"/>
        </w:numPr>
        <w:rPr>
          <w:snapToGrid/>
          <w:kern w:val="0"/>
          <w:szCs w:val="22"/>
        </w:rPr>
      </w:pPr>
      <w:r w:rsidRPr="001D0CBB">
        <w:rPr>
          <w:snapToGrid/>
          <w:kern w:val="0"/>
          <w:szCs w:val="22"/>
        </w:rPr>
        <w:t xml:space="preserve">Jim Bird, Office of General Counsel, </w:t>
      </w:r>
      <w:hyperlink r:id="rId10" w:history="1">
        <w:r w:rsidRPr="001D0CBB">
          <w:rPr>
            <w:snapToGrid/>
            <w:color w:val="0000FF"/>
            <w:kern w:val="0"/>
            <w:szCs w:val="22"/>
            <w:u w:val="single"/>
          </w:rPr>
          <w:t>jim.bird@fcc.gov</w:t>
        </w:r>
      </w:hyperlink>
      <w:r w:rsidRPr="001D0CBB">
        <w:rPr>
          <w:snapToGrid/>
          <w:kern w:val="0"/>
          <w:szCs w:val="22"/>
        </w:rPr>
        <w:t>;</w:t>
      </w:r>
    </w:p>
    <w:p w:rsidR="001D0CBB" w:rsidRPr="001D0CBB" w:rsidRDefault="001D0CBB" w:rsidP="001D0CBB">
      <w:pPr>
        <w:widowControl/>
        <w:ind w:left="720"/>
        <w:rPr>
          <w:snapToGrid/>
          <w:kern w:val="0"/>
          <w:szCs w:val="22"/>
        </w:rPr>
      </w:pPr>
    </w:p>
    <w:p w:rsidR="001D0CBB" w:rsidRPr="001D0CBB" w:rsidRDefault="001D0CBB" w:rsidP="001D0CBB">
      <w:pPr>
        <w:widowControl/>
        <w:numPr>
          <w:ilvl w:val="0"/>
          <w:numId w:val="8"/>
        </w:numPr>
        <w:rPr>
          <w:snapToGrid/>
          <w:kern w:val="0"/>
          <w:szCs w:val="22"/>
        </w:rPr>
      </w:pPr>
      <w:r w:rsidRPr="001D0CBB">
        <w:rPr>
          <w:snapToGrid/>
          <w:kern w:val="0"/>
          <w:szCs w:val="22"/>
        </w:rPr>
        <w:t xml:space="preserve">David Krech, International Bureau, </w:t>
      </w:r>
      <w:hyperlink r:id="rId11" w:history="1">
        <w:r w:rsidRPr="001D0CBB">
          <w:rPr>
            <w:snapToGrid/>
            <w:color w:val="0000FF"/>
            <w:kern w:val="0"/>
            <w:szCs w:val="22"/>
            <w:u w:val="single"/>
          </w:rPr>
          <w:t>david.krech@fcc.gov</w:t>
        </w:r>
      </w:hyperlink>
      <w:r w:rsidRPr="001D0CBB">
        <w:rPr>
          <w:snapToGrid/>
          <w:kern w:val="0"/>
          <w:szCs w:val="22"/>
        </w:rPr>
        <w:t>;</w:t>
      </w:r>
    </w:p>
    <w:p w:rsidR="001D0CBB" w:rsidRPr="001D0CBB" w:rsidRDefault="001D0CBB" w:rsidP="001D0CBB">
      <w:pPr>
        <w:widowControl/>
        <w:ind w:left="720"/>
        <w:rPr>
          <w:snapToGrid/>
          <w:kern w:val="0"/>
          <w:szCs w:val="22"/>
        </w:rPr>
      </w:pPr>
    </w:p>
    <w:p w:rsidR="001D0CBB" w:rsidRPr="001D0CBB" w:rsidRDefault="001D0CBB" w:rsidP="001D0CBB">
      <w:pPr>
        <w:widowControl/>
        <w:numPr>
          <w:ilvl w:val="0"/>
          <w:numId w:val="8"/>
        </w:numPr>
        <w:rPr>
          <w:snapToGrid/>
          <w:kern w:val="0"/>
          <w:szCs w:val="22"/>
        </w:rPr>
      </w:pPr>
      <w:r w:rsidRPr="001D0CBB">
        <w:rPr>
          <w:snapToGrid/>
          <w:kern w:val="0"/>
          <w:szCs w:val="22"/>
        </w:rPr>
        <w:t xml:space="preserve">Sumita Mukhoty, International Bureau, </w:t>
      </w:r>
      <w:hyperlink r:id="rId12" w:history="1">
        <w:r w:rsidRPr="001D0CBB">
          <w:rPr>
            <w:snapToGrid/>
            <w:color w:val="0000FF"/>
            <w:kern w:val="0"/>
            <w:szCs w:val="22"/>
            <w:u w:val="single"/>
          </w:rPr>
          <w:t>sumita.mukhoty@fcc.gov</w:t>
        </w:r>
      </w:hyperlink>
      <w:r w:rsidRPr="001D0CBB">
        <w:rPr>
          <w:snapToGrid/>
          <w:kern w:val="0"/>
          <w:szCs w:val="22"/>
        </w:rPr>
        <w:t>.</w:t>
      </w:r>
    </w:p>
    <w:p w:rsidR="001D0CBB" w:rsidRPr="001D0CBB" w:rsidRDefault="001D0CBB" w:rsidP="001D0CBB">
      <w:pPr>
        <w:widowControl/>
        <w:rPr>
          <w:snapToGrid/>
          <w:kern w:val="0"/>
          <w:szCs w:val="22"/>
        </w:rPr>
      </w:pPr>
    </w:p>
    <w:p w:rsidR="001D0CBB" w:rsidRPr="001D0CBB" w:rsidRDefault="001D0CBB" w:rsidP="001D0CBB">
      <w:pPr>
        <w:widowControl/>
        <w:ind w:firstLine="720"/>
        <w:rPr>
          <w:snapToGrid/>
          <w:kern w:val="0"/>
          <w:szCs w:val="22"/>
        </w:rPr>
      </w:pPr>
      <w:r w:rsidRPr="001D0CBB">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1D0CBB" w:rsidRPr="001D0CBB" w:rsidRDefault="001D0CBB" w:rsidP="001D0CBB">
      <w:pPr>
        <w:widowControl/>
        <w:rPr>
          <w:snapToGrid/>
          <w:kern w:val="0"/>
          <w:szCs w:val="22"/>
        </w:rPr>
      </w:pPr>
    </w:p>
    <w:p w:rsidR="001D0CBB" w:rsidRPr="001D0CBB" w:rsidRDefault="001D0CBB" w:rsidP="001D0CBB">
      <w:pPr>
        <w:widowControl/>
        <w:ind w:firstLine="720"/>
        <w:rPr>
          <w:snapToGrid/>
          <w:kern w:val="0"/>
          <w:szCs w:val="22"/>
        </w:rPr>
      </w:pPr>
      <w:r w:rsidRPr="001D0CBB">
        <w:rPr>
          <w:snapToGrid/>
          <w:kern w:val="0"/>
          <w:szCs w:val="22"/>
        </w:rPr>
        <w:t xml:space="preserve">The proceeding in this Notice shall be treated as a “permit-but-disclose” proceeding in accordance with the Commission’s </w:t>
      </w:r>
      <w:r w:rsidRPr="001D0CBB">
        <w:rPr>
          <w:i/>
          <w:snapToGrid/>
          <w:kern w:val="0"/>
          <w:szCs w:val="22"/>
        </w:rPr>
        <w:t>ex parte</w:t>
      </w:r>
      <w:r w:rsidRPr="001D0CBB">
        <w:rPr>
          <w:snapToGrid/>
          <w:kern w:val="0"/>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1D0CBB" w:rsidRPr="001D0CBB" w:rsidRDefault="001D0CBB" w:rsidP="001D0CBB">
      <w:pPr>
        <w:widowControl/>
        <w:rPr>
          <w:snapToGrid/>
          <w:kern w:val="0"/>
          <w:szCs w:val="22"/>
        </w:rPr>
      </w:pPr>
    </w:p>
    <w:p w:rsidR="001D0CBB" w:rsidRPr="001D0CBB" w:rsidRDefault="001D0CBB" w:rsidP="001D0CBB">
      <w:pPr>
        <w:widowControl/>
        <w:rPr>
          <w:snapToGrid/>
          <w:kern w:val="0"/>
          <w:szCs w:val="22"/>
        </w:rPr>
      </w:pPr>
      <w:r w:rsidRPr="001D0CBB">
        <w:rPr>
          <w:snapToGrid/>
          <w:kern w:val="0"/>
          <w:szCs w:val="22"/>
        </w:rPr>
        <w:tab/>
        <w:t>For further information, please contact Tracey Wilson at (202) 418-1394 or Dennis Johnson at (202) 418-0809.</w:t>
      </w:r>
    </w:p>
    <w:p w:rsidR="001D0CBB" w:rsidRPr="001D0CBB" w:rsidRDefault="001D0CBB" w:rsidP="001D0CBB">
      <w:pPr>
        <w:widowControl/>
        <w:ind w:left="720" w:right="720"/>
        <w:rPr>
          <w:snapToGrid/>
          <w:kern w:val="0"/>
          <w:szCs w:val="22"/>
        </w:rPr>
      </w:pPr>
    </w:p>
    <w:p w:rsidR="001D0CBB" w:rsidRPr="001D0CBB" w:rsidRDefault="001D0CBB" w:rsidP="001D0CBB">
      <w:pPr>
        <w:widowControl/>
        <w:jc w:val="center"/>
        <w:rPr>
          <w:snapToGrid/>
          <w:kern w:val="0"/>
          <w:szCs w:val="22"/>
        </w:rPr>
      </w:pPr>
      <w:r w:rsidRPr="001D0CBB">
        <w:rPr>
          <w:b/>
          <w:snapToGrid/>
          <w:kern w:val="0"/>
          <w:szCs w:val="22"/>
        </w:rPr>
        <w:t>- FCC -</w:t>
      </w:r>
    </w:p>
    <w:p w:rsidR="006A1F49" w:rsidRDefault="006A1F49" w:rsidP="00D47505">
      <w:pPr>
        <w:spacing w:before="120" w:after="240"/>
        <w:rPr>
          <w:sz w:val="24"/>
        </w:rPr>
      </w:pPr>
    </w:p>
    <w:sectPr w:rsidR="006A1F49"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BB" w:rsidRDefault="001D0CBB">
      <w:pPr>
        <w:spacing w:line="20" w:lineRule="exact"/>
      </w:pPr>
    </w:p>
  </w:endnote>
  <w:endnote w:type="continuationSeparator" w:id="0">
    <w:p w:rsidR="001D0CBB" w:rsidRDefault="001D0CBB">
      <w:r>
        <w:t xml:space="preserve"> </w:t>
      </w:r>
    </w:p>
  </w:endnote>
  <w:endnote w:type="continuationNotice" w:id="1">
    <w:p w:rsidR="001D0CBB" w:rsidRDefault="001D0C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2B5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BB" w:rsidRDefault="001D0CBB">
      <w:r>
        <w:separator/>
      </w:r>
    </w:p>
  </w:footnote>
  <w:footnote w:type="continuationSeparator" w:id="0">
    <w:p w:rsidR="001D0CBB" w:rsidRDefault="001D0CBB" w:rsidP="00C721AC">
      <w:pPr>
        <w:spacing w:before="120"/>
        <w:rPr>
          <w:sz w:val="20"/>
        </w:rPr>
      </w:pPr>
      <w:r>
        <w:rPr>
          <w:sz w:val="20"/>
        </w:rPr>
        <w:t xml:space="preserve">(Continued from previous page)  </w:t>
      </w:r>
      <w:r>
        <w:rPr>
          <w:sz w:val="20"/>
        </w:rPr>
        <w:separator/>
      </w:r>
    </w:p>
  </w:footnote>
  <w:footnote w:type="continuationNotice" w:id="1">
    <w:p w:rsidR="001D0CBB" w:rsidRDefault="001D0CBB" w:rsidP="00C721AC">
      <w:pPr>
        <w:jc w:val="right"/>
        <w:rPr>
          <w:sz w:val="20"/>
        </w:rPr>
      </w:pPr>
      <w:r>
        <w:rPr>
          <w:sz w:val="20"/>
        </w:rPr>
        <w:t>(continued….)</w:t>
      </w:r>
    </w:p>
  </w:footnote>
  <w:footnote w:id="2">
    <w:p w:rsidR="001D0CBB" w:rsidRPr="00504AF6" w:rsidRDefault="001D0CBB" w:rsidP="001D0CBB">
      <w:pPr>
        <w:pStyle w:val="FootnoteText"/>
      </w:pPr>
      <w:r w:rsidRPr="00504AF6">
        <w:rPr>
          <w:rStyle w:val="FootnoteReference"/>
        </w:rPr>
        <w:footnoteRef/>
      </w:r>
      <w:r w:rsidRPr="00504AF6">
        <w:t xml:space="preserve"> </w:t>
      </w:r>
      <w:r w:rsidRPr="00504AF6">
        <w:rPr>
          <w:i/>
        </w:rPr>
        <w:t xml:space="preserve">See </w:t>
      </w:r>
      <w:r w:rsidRPr="00504AF6">
        <w:t xml:space="preserve">47 C.F.R § 63.03; 47 U.S.C. § 214. </w:t>
      </w:r>
      <w:r w:rsidR="00564897">
        <w:t xml:space="preserve"> </w:t>
      </w:r>
      <w:r w:rsidRPr="00504AF6">
        <w:t>Applicants also filed applications for the transfer of authorizations associated with international and wireless services.  Any action on this domestic section 214 application is without prejudice to Commission action on other related, pending applications.</w:t>
      </w:r>
    </w:p>
  </w:footnote>
  <w:footnote w:id="3">
    <w:p w:rsidR="001D0CBB" w:rsidRPr="00504AF6" w:rsidRDefault="001D0CBB" w:rsidP="001D0CBB">
      <w:pPr>
        <w:pStyle w:val="FootnoteText"/>
      </w:pPr>
      <w:r w:rsidRPr="00504AF6">
        <w:rPr>
          <w:rStyle w:val="FootnoteReference"/>
        </w:rPr>
        <w:footnoteRef/>
      </w:r>
      <w:r w:rsidRPr="00504AF6">
        <w:t xml:space="preserve"> </w:t>
      </w:r>
      <w:r>
        <w:t xml:space="preserve">Applicants state that </w:t>
      </w:r>
      <w:r w:rsidRPr="00504AF6">
        <w:rPr>
          <w:color w:val="262223"/>
        </w:rPr>
        <w:t>OHCP Northeastern</w:t>
      </w:r>
      <w:r w:rsidR="00564897">
        <w:rPr>
          <w:color w:val="262223"/>
        </w:rPr>
        <w:t xml:space="preserve"> Fiber </w:t>
      </w:r>
      <w:r w:rsidRPr="00504AF6">
        <w:rPr>
          <w:color w:val="262223"/>
        </w:rPr>
        <w:t>is currently affiliated, th</w:t>
      </w:r>
      <w:r>
        <w:rPr>
          <w:color w:val="262223"/>
        </w:rPr>
        <w:t>r</w:t>
      </w:r>
      <w:r w:rsidRPr="00504AF6">
        <w:rPr>
          <w:color w:val="262223"/>
        </w:rPr>
        <w:t>ough funds under the Oak Hill umbrella</w:t>
      </w:r>
      <w:r>
        <w:rPr>
          <w:color w:val="262223"/>
        </w:rPr>
        <w:t>, which</w:t>
      </w:r>
      <w:r w:rsidRPr="00504AF6">
        <w:rPr>
          <w:color w:val="262223"/>
        </w:rPr>
        <w:t xml:space="preserve"> </w:t>
      </w:r>
      <w:r>
        <w:rPr>
          <w:color w:val="262223"/>
        </w:rPr>
        <w:t xml:space="preserve">is </w:t>
      </w:r>
      <w:r w:rsidRPr="00504AF6">
        <w:rPr>
          <w:color w:val="262223"/>
        </w:rPr>
        <w:t xml:space="preserve">ultimately controlled by OHCP MGP III, Ltd., with the following domestic telecommunications services providers:  Astound </w:t>
      </w:r>
      <w:r w:rsidR="00564897">
        <w:rPr>
          <w:color w:val="262223"/>
        </w:rPr>
        <w:t>Broadband, LLC</w:t>
      </w:r>
      <w:r w:rsidRPr="00504AF6">
        <w:rPr>
          <w:color w:val="262223"/>
        </w:rPr>
        <w:t>, a provider of domestic telecommunications services, including local exchange, long distance, and wholesale telecommunications services, to residential and business customers in Cal</w:t>
      </w:r>
      <w:r>
        <w:rPr>
          <w:color w:val="262223"/>
        </w:rPr>
        <w:t>ifornia, Oregon, and Washington;</w:t>
      </w:r>
      <w:r w:rsidRPr="00504AF6">
        <w:rPr>
          <w:color w:val="262223"/>
        </w:rPr>
        <w:t xml:space="preserve"> Metronet Holdings, LLC</w:t>
      </w:r>
      <w:r>
        <w:rPr>
          <w:color w:val="262223"/>
        </w:rPr>
        <w:t>,</w:t>
      </w:r>
      <w:r w:rsidRPr="00504AF6">
        <w:rPr>
          <w:color w:val="262223"/>
        </w:rPr>
        <w:t xml:space="preserve"> a fiber company providing s</w:t>
      </w:r>
      <w:r>
        <w:rPr>
          <w:color w:val="262223"/>
        </w:rPr>
        <w:t xml:space="preserve">ervices in Indiana and Illinois; and </w:t>
      </w:r>
      <w:r w:rsidRPr="00504AF6">
        <w:rPr>
          <w:color w:val="262223"/>
        </w:rPr>
        <w:t xml:space="preserve"> Intermedia.net, Inc., a hosted exchange and PBX company providing services nearly nationwide, including, in</w:t>
      </w:r>
      <w:r>
        <w:rPr>
          <w:color w:val="262223"/>
        </w:rPr>
        <w:t>cluding</w:t>
      </w:r>
      <w:r w:rsidRPr="00504AF6">
        <w:rPr>
          <w:color w:val="262223"/>
        </w:rPr>
        <w:t xml:space="preserve"> New York, Massachusetts, and Maine.</w:t>
      </w:r>
    </w:p>
  </w:footnote>
  <w:footnote w:id="4">
    <w:p w:rsidR="001D0CBB" w:rsidRPr="00504AF6" w:rsidRDefault="001D0CBB" w:rsidP="001D0CBB">
      <w:pPr>
        <w:pStyle w:val="FootnoteText"/>
      </w:pPr>
      <w:r w:rsidRPr="00504AF6">
        <w:rPr>
          <w:rStyle w:val="FootnoteReference"/>
        </w:rPr>
        <w:footnoteRef/>
      </w:r>
      <w:r w:rsidRPr="00504AF6">
        <w:t xml:space="preserve"> </w:t>
      </w:r>
      <w:r>
        <w:rPr>
          <w:color w:val="262223"/>
        </w:rPr>
        <w:t>OHCP Northeastern Fiber will be held by the following</w:t>
      </w:r>
      <w:r w:rsidRPr="00504AF6">
        <w:rPr>
          <w:color w:val="262223"/>
        </w:rPr>
        <w:t xml:space="preserve"> </w:t>
      </w:r>
      <w:r>
        <w:rPr>
          <w:color w:val="262223"/>
        </w:rPr>
        <w:t xml:space="preserve">funds:  </w:t>
      </w:r>
      <w:r w:rsidRPr="00504AF6">
        <w:rPr>
          <w:color w:val="262223"/>
        </w:rPr>
        <w:t xml:space="preserve">Oak Hill Capital Partners IV (Management), L.P., Oak Hill Capital Partners IV (Onshore), L.P., Oak Hill Capital Partners IV (Onshore Tax Exempt), L.P., Oak Hill Capital Partners IV (Offshore) IV, L.P., and Oak Hill Capital Partners IV (Offshore 892), L.P. (collectively, the Oak Hill IV Funds).  </w:t>
      </w:r>
      <w:r>
        <w:rPr>
          <w:color w:val="262223"/>
        </w:rPr>
        <w:t xml:space="preserve">Applicants state that </w:t>
      </w:r>
      <w:r>
        <w:t>t</w:t>
      </w:r>
      <w:r w:rsidRPr="00504AF6">
        <w:t>he Oak Hill IV Funds will collectively hold over 90% of</w:t>
      </w:r>
      <w:r w:rsidR="00564897">
        <w:t xml:space="preserve"> OHCP Northeastern Fiber</w:t>
      </w:r>
      <w:r w:rsidRPr="00504AF6">
        <w:t xml:space="preserve">.  </w:t>
      </w:r>
      <w:r>
        <w:t>Applicants state that i</w:t>
      </w:r>
      <w:r w:rsidRPr="00504AF6">
        <w:t xml:space="preserve">t is expected that less than 10% of </w:t>
      </w:r>
      <w:r w:rsidRPr="00504AF6">
        <w:rPr>
          <w:color w:val="262223"/>
        </w:rPr>
        <w:t>OHCP Northeastern Fiber Buyer</w:t>
      </w:r>
      <w:r w:rsidRPr="00504AF6">
        <w:t xml:space="preserve"> will be held by other entities and individuals, including members of TVC management and other existing interest-holders.  In addition, </w:t>
      </w:r>
      <w:r>
        <w:t xml:space="preserve">Applicants submit that </w:t>
      </w:r>
      <w:r w:rsidRPr="00504AF6">
        <w:t xml:space="preserve">it is expected that the Oak Hill IV Funds will implement a new incentive equity plan for management in connection with or following the consummation of the proposed Transaction. </w:t>
      </w:r>
    </w:p>
  </w:footnote>
  <w:footnote w:id="5">
    <w:p w:rsidR="001D0CBB" w:rsidRPr="00C4562F" w:rsidRDefault="001D0CBB" w:rsidP="001D0CBB">
      <w:pPr>
        <w:pStyle w:val="FootnoteText"/>
      </w:pPr>
      <w:r w:rsidRPr="00C4562F">
        <w:rPr>
          <w:rStyle w:val="FootnoteReference"/>
        </w:rPr>
        <w:footnoteRef/>
      </w:r>
      <w:r w:rsidRPr="00C4562F">
        <w:t xml:space="preserve"> </w:t>
      </w:r>
      <w:r>
        <w:t xml:space="preserve">Applicants state that the shares in MGP IV are distributed equally among </w:t>
      </w:r>
      <w:r w:rsidR="00564897">
        <w:t xml:space="preserve">the following </w:t>
      </w:r>
      <w:r>
        <w:t>thirteen individuals (the Investment Committee)</w:t>
      </w:r>
      <w:r w:rsidR="00564897">
        <w:t xml:space="preserve"> (all are</w:t>
      </w:r>
      <w:r>
        <w:t xml:space="preserve"> U.S. citizens</w:t>
      </w:r>
      <w:r w:rsidR="00564897">
        <w:t>)</w:t>
      </w:r>
      <w:r>
        <w:t>:  J. Taylor Crandall, Steven B. Gruber, Tyler J.</w:t>
      </w:r>
      <w:r w:rsidR="00564897">
        <w:t xml:space="preserve"> Wolfram, Scott A. Baker, Brian</w:t>
      </w:r>
      <w:r>
        <w:t xml:space="preserve"> N. Cherry, Benjamin Diesbach, Stratton R. Heath, III, Scott B. Kauffman, Kevin M. Mailender, John R. Monsky, William J. Pade, Stven G. Puccinelli, and David S. Scott.  Applicants state th</w:t>
      </w:r>
      <w:r w:rsidR="00564897">
        <w:t>at none of these individuals have</w:t>
      </w:r>
      <w:r>
        <w:t xml:space="preserve"> a ten percent or greater interest in </w:t>
      </w:r>
      <w:r>
        <w:rPr>
          <w:color w:val="2D2A2B"/>
          <w:szCs w:val="22"/>
        </w:rPr>
        <w:t>OHCP Northeastern Fiber.</w:t>
      </w:r>
      <w:r w:rsidRPr="00C4562F">
        <w:rPr>
          <w:i/>
        </w:rPr>
        <w:t xml:space="preserve"> </w:t>
      </w:r>
      <w:r w:rsidR="00564897">
        <w:rPr>
          <w:i/>
        </w:rPr>
        <w:t xml:space="preserve"> </w:t>
      </w:r>
      <w:r w:rsidRPr="00C4562F">
        <w:rPr>
          <w:i/>
        </w:rPr>
        <w:t>See</w:t>
      </w:r>
      <w:r w:rsidRPr="00C4562F">
        <w:t xml:space="preserve"> Application for a complete description of t</w:t>
      </w:r>
      <w:r w:rsidR="00564897">
        <w:t>he OHCP Northeastern Fiber</w:t>
      </w:r>
      <w:r w:rsidRPr="00C4562F">
        <w:t>’s ownership and post-transaction ownership chart of TVC and segNET.</w:t>
      </w:r>
    </w:p>
  </w:footnote>
  <w:footnote w:id="6">
    <w:p w:rsidR="001D0CBB" w:rsidRPr="00504AF6" w:rsidRDefault="001D0CBB" w:rsidP="001D0CBB">
      <w:pPr>
        <w:pStyle w:val="FootnoteText"/>
      </w:pPr>
      <w:r w:rsidRPr="00504AF6">
        <w:rPr>
          <w:rStyle w:val="FootnoteReference"/>
        </w:rPr>
        <w:footnoteRef/>
      </w:r>
      <w:r w:rsidRPr="00504AF6">
        <w:t xml:space="preserve"> </w:t>
      </w:r>
      <w:r w:rsidRPr="00504AF6">
        <w:rPr>
          <w:color w:val="020100"/>
        </w:rPr>
        <w:t>47 C.F.R. § 63.03</w:t>
      </w:r>
      <w:r w:rsidR="00707DB4">
        <w:rPr>
          <w:color w:val="020100"/>
        </w:rPr>
        <w:t>(c)(1</w:t>
      </w:r>
      <w:r w:rsidRPr="00504AF6">
        <w:rPr>
          <w:color w:val="0201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0E" w:rsidRDefault="00FE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0E" w:rsidRDefault="00FE6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522A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82B5E">
                            <w:rPr>
                              <w:rFonts w:ascii="Arial" w:hAnsi="Arial"/>
                              <w:b/>
                              <w:sz w:val="16"/>
                            </w:rPr>
                            <w:instrText>HYPERLINK "https://www.fcc.gov/"</w:instrText>
                          </w:r>
                          <w:r w:rsidR="00182B5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82B5E">
                      <w:rPr>
                        <w:rFonts w:ascii="Arial" w:hAnsi="Arial"/>
                        <w:b/>
                        <w:sz w:val="16"/>
                      </w:rPr>
                      <w:instrText>HYPERLINK "https://www.fcc.gov/"</w:instrText>
                    </w:r>
                    <w:r w:rsidR="00182B5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BB"/>
    <w:rsid w:val="00036039"/>
    <w:rsid w:val="00037F90"/>
    <w:rsid w:val="000875BF"/>
    <w:rsid w:val="00096D8C"/>
    <w:rsid w:val="000C0B65"/>
    <w:rsid w:val="000E05FE"/>
    <w:rsid w:val="000E3D42"/>
    <w:rsid w:val="001213D3"/>
    <w:rsid w:val="00122BD5"/>
    <w:rsid w:val="00133F79"/>
    <w:rsid w:val="00182B5E"/>
    <w:rsid w:val="00194A66"/>
    <w:rsid w:val="001D0CBB"/>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4897"/>
    <w:rsid w:val="005E14C2"/>
    <w:rsid w:val="0060626B"/>
    <w:rsid w:val="00607BA5"/>
    <w:rsid w:val="0061180A"/>
    <w:rsid w:val="00626EB6"/>
    <w:rsid w:val="00655D03"/>
    <w:rsid w:val="00683388"/>
    <w:rsid w:val="00683F84"/>
    <w:rsid w:val="006A1F49"/>
    <w:rsid w:val="006A6A81"/>
    <w:rsid w:val="006B1456"/>
    <w:rsid w:val="006F7393"/>
    <w:rsid w:val="0070224F"/>
    <w:rsid w:val="00707DB4"/>
    <w:rsid w:val="007115F7"/>
    <w:rsid w:val="00785689"/>
    <w:rsid w:val="0079754B"/>
    <w:rsid w:val="007A1E6D"/>
    <w:rsid w:val="007B0EB2"/>
    <w:rsid w:val="007F413A"/>
    <w:rsid w:val="00810B6F"/>
    <w:rsid w:val="00822CE0"/>
    <w:rsid w:val="00841AB1"/>
    <w:rsid w:val="0088275C"/>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7827"/>
    <w:rsid w:val="00E5409F"/>
    <w:rsid w:val="00E67049"/>
    <w:rsid w:val="00EB4ACC"/>
    <w:rsid w:val="00EE6488"/>
    <w:rsid w:val="00EF5E4C"/>
    <w:rsid w:val="00F021FA"/>
    <w:rsid w:val="00F62E97"/>
    <w:rsid w:val="00F64209"/>
    <w:rsid w:val="00F8591E"/>
    <w:rsid w:val="00F93BF5"/>
    <w:rsid w:val="00FE2C64"/>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Spacing">
    <w:name w:val="No Spacing"/>
    <w:uiPriority w:val="1"/>
    <w:qFormat/>
    <w:rsid w:val="001D0CB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Spacing">
    <w:name w:val="No Spacing"/>
    <w:uiPriority w:val="1"/>
    <w:qFormat/>
    <w:rsid w:val="001D0C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mita.mukhoty@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kre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m.bird@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nis.johnson@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967</Words>
  <Characters>5585</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2016-04-13T17:23:00Z</cp:lastPrinted>
  <dcterms:created xsi:type="dcterms:W3CDTF">2016-04-14T14:16:00Z</dcterms:created>
  <dcterms:modified xsi:type="dcterms:W3CDTF">2016-04-14T14:16:00Z</dcterms:modified>
  <cp:category> </cp:category>
  <cp:contentStatus> </cp:contentStatus>
</cp:coreProperties>
</file>