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10841C" w14:textId="77777777" w:rsidR="00B53330" w:rsidRPr="00053890" w:rsidRDefault="00B53330" w:rsidP="00B53330">
      <w:pPr>
        <w:jc w:val="center"/>
        <w:rPr>
          <w:b/>
        </w:rPr>
      </w:pPr>
      <w:bookmarkStart w:id="0" w:name="_GoBack"/>
      <w:bookmarkEnd w:id="0"/>
      <w:r w:rsidRPr="00224B69">
        <w:rPr>
          <w:b/>
          <w:kern w:val="0"/>
          <w:szCs w:val="22"/>
        </w:rPr>
        <w:t>Before</w:t>
      </w:r>
      <w:r w:rsidRPr="00053890">
        <w:rPr>
          <w:b/>
        </w:rPr>
        <w:t xml:space="preserve"> the</w:t>
      </w:r>
    </w:p>
    <w:p w14:paraId="07A8D78E" w14:textId="1FB0D097" w:rsidR="00B53330" w:rsidRPr="00224B69" w:rsidRDefault="00F337C0" w:rsidP="00F337C0">
      <w:pPr>
        <w:pStyle w:val="StyleBoldCentered"/>
        <w:tabs>
          <w:tab w:val="center" w:pos="4680"/>
          <w:tab w:val="right" w:pos="9360"/>
        </w:tabs>
        <w:jc w:val="left"/>
        <w:rPr>
          <w:rFonts w:ascii="Times New Roman" w:hAnsi="Times New Roman"/>
        </w:rPr>
      </w:pPr>
      <w:r>
        <w:rPr>
          <w:rFonts w:ascii="Times New Roman" w:hAnsi="Times New Roman"/>
        </w:rPr>
        <w:tab/>
      </w:r>
      <w:r w:rsidR="00B53330" w:rsidRPr="00224B69">
        <w:rPr>
          <w:rFonts w:ascii="Times New Roman" w:hAnsi="Times New Roman"/>
        </w:rPr>
        <w:t>F</w:t>
      </w:r>
      <w:r w:rsidR="00B53330" w:rsidRPr="00224B69">
        <w:rPr>
          <w:rFonts w:ascii="Times New Roman" w:hAnsi="Times New Roman"/>
          <w:caps w:val="0"/>
        </w:rPr>
        <w:t>ederal Communications Commission</w:t>
      </w:r>
    </w:p>
    <w:p w14:paraId="73620A98" w14:textId="77777777" w:rsidR="00B53330" w:rsidRPr="00224B69" w:rsidRDefault="00B53330" w:rsidP="00B53330">
      <w:pPr>
        <w:pStyle w:val="StyleBoldCentered"/>
        <w:rPr>
          <w:rFonts w:ascii="Times New Roman" w:hAnsi="Times New Roman"/>
        </w:rPr>
      </w:pPr>
      <w:r w:rsidRPr="00224B69">
        <w:rPr>
          <w:rFonts w:ascii="Times New Roman" w:hAnsi="Times New Roman"/>
          <w:caps w:val="0"/>
        </w:rPr>
        <w:t>Washington, D.C. 20554</w:t>
      </w:r>
    </w:p>
    <w:p w14:paraId="133D6946" w14:textId="77777777" w:rsidR="00B53330" w:rsidRPr="00053890" w:rsidRDefault="00B53330" w:rsidP="00B53330"/>
    <w:p w14:paraId="35FC663E" w14:textId="77777777" w:rsidR="00B53330" w:rsidRPr="00053890" w:rsidRDefault="00B53330" w:rsidP="00B53330"/>
    <w:tbl>
      <w:tblPr>
        <w:tblW w:w="13824" w:type="dxa"/>
        <w:tblLayout w:type="fixed"/>
        <w:tblLook w:val="0000" w:firstRow="0" w:lastRow="0" w:firstColumn="0" w:lastColumn="0" w:noHBand="0" w:noVBand="0"/>
      </w:tblPr>
      <w:tblGrid>
        <w:gridCol w:w="4698"/>
        <w:gridCol w:w="630"/>
        <w:gridCol w:w="4248"/>
        <w:gridCol w:w="4248"/>
      </w:tblGrid>
      <w:tr w:rsidR="00B53330" w:rsidRPr="00053890" w14:paraId="46C00C66" w14:textId="77777777" w:rsidTr="00240C15">
        <w:tc>
          <w:tcPr>
            <w:tcW w:w="4698" w:type="dxa"/>
          </w:tcPr>
          <w:p w14:paraId="2EEB1AC3" w14:textId="77777777" w:rsidR="00B53330" w:rsidRPr="00053890" w:rsidRDefault="00B53330" w:rsidP="00240C15">
            <w:pPr>
              <w:tabs>
                <w:tab w:val="center" w:pos="4680"/>
              </w:tabs>
              <w:suppressAutoHyphens/>
              <w:ind w:left="-108"/>
              <w:rPr>
                <w:spacing w:val="-2"/>
              </w:rPr>
            </w:pPr>
            <w:r w:rsidRPr="00053890">
              <w:rPr>
                <w:spacing w:val="-2"/>
              </w:rPr>
              <w:t>In the Matter of</w:t>
            </w:r>
          </w:p>
          <w:p w14:paraId="0C6E7433" w14:textId="77777777" w:rsidR="00B53330" w:rsidRPr="00053890" w:rsidRDefault="00B53330" w:rsidP="00240C15">
            <w:pPr>
              <w:tabs>
                <w:tab w:val="center" w:pos="4680"/>
              </w:tabs>
              <w:suppressAutoHyphens/>
              <w:ind w:left="-108"/>
              <w:rPr>
                <w:spacing w:val="-2"/>
              </w:rPr>
            </w:pPr>
          </w:p>
          <w:p w14:paraId="046C7557" w14:textId="77777777" w:rsidR="00B53330" w:rsidRPr="00053890" w:rsidRDefault="00B53330" w:rsidP="00240C15">
            <w:pPr>
              <w:tabs>
                <w:tab w:val="left" w:pos="720"/>
                <w:tab w:val="center" w:pos="4680"/>
              </w:tabs>
              <w:suppressAutoHyphens/>
              <w:ind w:left="-108"/>
              <w:rPr>
                <w:spacing w:val="-2"/>
              </w:rPr>
            </w:pPr>
            <w:r w:rsidRPr="00053890">
              <w:rPr>
                <w:spacing w:val="-2"/>
              </w:rPr>
              <w:t>Sprint</w:t>
            </w:r>
            <w:r>
              <w:rPr>
                <w:spacing w:val="-2"/>
              </w:rPr>
              <w:t>C</w:t>
            </w:r>
            <w:r w:rsidRPr="00053890">
              <w:rPr>
                <w:spacing w:val="-2"/>
              </w:rPr>
              <w:t xml:space="preserve">om, Inc., Shenandoah Personal Communications, LLC, and </w:t>
            </w:r>
            <w:r>
              <w:rPr>
                <w:spacing w:val="-2"/>
              </w:rPr>
              <w:br/>
              <w:t>NTELOS</w:t>
            </w:r>
            <w:r w:rsidRPr="00053890">
              <w:rPr>
                <w:spacing w:val="-2"/>
              </w:rPr>
              <w:t xml:space="preserve"> Holdings Corp</w:t>
            </w:r>
            <w:r>
              <w:rPr>
                <w:spacing w:val="-2"/>
              </w:rPr>
              <w:t>.</w:t>
            </w:r>
          </w:p>
          <w:p w14:paraId="4FDE2F8B" w14:textId="77777777" w:rsidR="00B53330" w:rsidRPr="00053890" w:rsidRDefault="00B53330" w:rsidP="00240C15">
            <w:pPr>
              <w:tabs>
                <w:tab w:val="left" w:pos="720"/>
                <w:tab w:val="center" w:pos="4680"/>
              </w:tabs>
              <w:suppressAutoHyphens/>
              <w:ind w:left="-108"/>
              <w:rPr>
                <w:spacing w:val="-2"/>
              </w:rPr>
            </w:pPr>
          </w:p>
          <w:p w14:paraId="19D2D665" w14:textId="77777777" w:rsidR="00B53330" w:rsidRPr="00053890" w:rsidRDefault="00B53330" w:rsidP="00240C15">
            <w:pPr>
              <w:tabs>
                <w:tab w:val="center" w:pos="4680"/>
              </w:tabs>
              <w:suppressAutoHyphens/>
              <w:ind w:left="-108"/>
              <w:rPr>
                <w:spacing w:val="-2"/>
              </w:rPr>
            </w:pPr>
            <w:r w:rsidRPr="00053890">
              <w:rPr>
                <w:spacing w:val="-2"/>
              </w:rPr>
              <w:t>For Consent To Assign Licenses</w:t>
            </w:r>
            <w:r>
              <w:rPr>
                <w:spacing w:val="-2"/>
              </w:rPr>
              <w:t xml:space="preserve"> and Spectrum Lease Authorizations</w:t>
            </w:r>
            <w:r w:rsidRPr="00053890">
              <w:rPr>
                <w:spacing w:val="-2"/>
              </w:rPr>
              <w:t xml:space="preserve"> </w:t>
            </w:r>
            <w:r>
              <w:rPr>
                <w:spacing w:val="-2"/>
              </w:rPr>
              <w:t xml:space="preserve">and To Transfer Control of </w:t>
            </w:r>
            <w:r w:rsidRPr="00053890">
              <w:rPr>
                <w:spacing w:val="-2"/>
              </w:rPr>
              <w:t>Spectrum Lease Authorizations and an International Section 214 Authorization</w:t>
            </w:r>
          </w:p>
        </w:tc>
        <w:tc>
          <w:tcPr>
            <w:tcW w:w="630" w:type="dxa"/>
          </w:tcPr>
          <w:p w14:paraId="48778D93" w14:textId="77777777" w:rsidR="00B53330" w:rsidRPr="00053890" w:rsidRDefault="00B53330" w:rsidP="00240C15">
            <w:pPr>
              <w:tabs>
                <w:tab w:val="center" w:pos="4680"/>
              </w:tabs>
              <w:suppressAutoHyphens/>
              <w:rPr>
                <w:b/>
                <w:spacing w:val="-2"/>
              </w:rPr>
            </w:pPr>
            <w:r w:rsidRPr="00053890">
              <w:rPr>
                <w:b/>
                <w:spacing w:val="-2"/>
              </w:rPr>
              <w:t>)</w:t>
            </w:r>
          </w:p>
          <w:p w14:paraId="2D7F12AD" w14:textId="77777777" w:rsidR="00B53330" w:rsidRPr="00053890" w:rsidRDefault="00B53330" w:rsidP="00240C15">
            <w:pPr>
              <w:tabs>
                <w:tab w:val="center" w:pos="4680"/>
              </w:tabs>
              <w:suppressAutoHyphens/>
              <w:rPr>
                <w:b/>
                <w:spacing w:val="-2"/>
              </w:rPr>
            </w:pPr>
            <w:r w:rsidRPr="00053890">
              <w:rPr>
                <w:b/>
                <w:spacing w:val="-2"/>
              </w:rPr>
              <w:t>)</w:t>
            </w:r>
          </w:p>
          <w:p w14:paraId="7EFC3B41" w14:textId="77777777" w:rsidR="00B53330" w:rsidRPr="00053890" w:rsidRDefault="00B53330" w:rsidP="00240C15">
            <w:pPr>
              <w:tabs>
                <w:tab w:val="center" w:pos="4680"/>
              </w:tabs>
              <w:suppressAutoHyphens/>
              <w:rPr>
                <w:b/>
                <w:spacing w:val="-2"/>
              </w:rPr>
            </w:pPr>
            <w:r w:rsidRPr="00053890">
              <w:rPr>
                <w:b/>
                <w:spacing w:val="-2"/>
              </w:rPr>
              <w:t>)</w:t>
            </w:r>
          </w:p>
          <w:p w14:paraId="2D7A2699" w14:textId="77777777" w:rsidR="00B53330" w:rsidRPr="00053890" w:rsidRDefault="00B53330" w:rsidP="00240C15">
            <w:pPr>
              <w:tabs>
                <w:tab w:val="center" w:pos="4680"/>
              </w:tabs>
              <w:suppressAutoHyphens/>
              <w:rPr>
                <w:b/>
                <w:spacing w:val="-2"/>
              </w:rPr>
            </w:pPr>
            <w:r w:rsidRPr="00053890">
              <w:rPr>
                <w:b/>
                <w:spacing w:val="-2"/>
              </w:rPr>
              <w:t>)</w:t>
            </w:r>
          </w:p>
          <w:p w14:paraId="42278A55" w14:textId="77777777" w:rsidR="00B53330" w:rsidRPr="00053890" w:rsidRDefault="00B53330" w:rsidP="00240C15">
            <w:pPr>
              <w:tabs>
                <w:tab w:val="center" w:pos="4680"/>
              </w:tabs>
              <w:suppressAutoHyphens/>
              <w:rPr>
                <w:b/>
                <w:spacing w:val="-2"/>
              </w:rPr>
            </w:pPr>
            <w:r w:rsidRPr="00053890">
              <w:rPr>
                <w:b/>
                <w:spacing w:val="-2"/>
              </w:rPr>
              <w:t>)</w:t>
            </w:r>
          </w:p>
          <w:p w14:paraId="01F2B50D" w14:textId="77777777" w:rsidR="00B53330" w:rsidRPr="00053890" w:rsidRDefault="00B53330" w:rsidP="00240C15">
            <w:pPr>
              <w:tabs>
                <w:tab w:val="center" w:pos="4680"/>
              </w:tabs>
              <w:suppressAutoHyphens/>
              <w:rPr>
                <w:b/>
                <w:spacing w:val="-2"/>
              </w:rPr>
            </w:pPr>
            <w:r w:rsidRPr="00053890">
              <w:rPr>
                <w:b/>
                <w:spacing w:val="-2"/>
              </w:rPr>
              <w:t>)</w:t>
            </w:r>
          </w:p>
          <w:p w14:paraId="571862DA" w14:textId="77777777" w:rsidR="00B53330" w:rsidRPr="00053890" w:rsidRDefault="00B53330" w:rsidP="00240C15">
            <w:pPr>
              <w:tabs>
                <w:tab w:val="center" w:pos="4680"/>
              </w:tabs>
              <w:suppressAutoHyphens/>
              <w:rPr>
                <w:b/>
                <w:spacing w:val="-2"/>
              </w:rPr>
            </w:pPr>
            <w:r w:rsidRPr="00053890">
              <w:rPr>
                <w:b/>
                <w:spacing w:val="-2"/>
              </w:rPr>
              <w:t>)</w:t>
            </w:r>
          </w:p>
          <w:p w14:paraId="5D9528B3" w14:textId="77777777" w:rsidR="00B53330" w:rsidRPr="00053890" w:rsidRDefault="00B53330" w:rsidP="00240C15">
            <w:pPr>
              <w:tabs>
                <w:tab w:val="center" w:pos="4680"/>
              </w:tabs>
              <w:suppressAutoHyphens/>
              <w:rPr>
                <w:b/>
                <w:spacing w:val="-2"/>
              </w:rPr>
            </w:pPr>
            <w:r w:rsidRPr="00053890">
              <w:rPr>
                <w:b/>
                <w:spacing w:val="-2"/>
              </w:rPr>
              <w:t>)</w:t>
            </w:r>
          </w:p>
          <w:p w14:paraId="3E475443" w14:textId="77777777" w:rsidR="00B53330" w:rsidRDefault="00B53330" w:rsidP="00240C15">
            <w:pPr>
              <w:tabs>
                <w:tab w:val="center" w:pos="4680"/>
              </w:tabs>
              <w:suppressAutoHyphens/>
              <w:rPr>
                <w:spacing w:val="-2"/>
              </w:rPr>
            </w:pPr>
            <w:r>
              <w:rPr>
                <w:spacing w:val="-2"/>
              </w:rPr>
              <w:t>)</w:t>
            </w:r>
          </w:p>
          <w:p w14:paraId="51786422" w14:textId="77777777" w:rsidR="00B53330" w:rsidRDefault="00B53330" w:rsidP="00240C15">
            <w:pPr>
              <w:tabs>
                <w:tab w:val="center" w:pos="4680"/>
              </w:tabs>
              <w:suppressAutoHyphens/>
              <w:rPr>
                <w:spacing w:val="-2"/>
              </w:rPr>
            </w:pPr>
            <w:r>
              <w:rPr>
                <w:spacing w:val="-2"/>
              </w:rPr>
              <w:t>)</w:t>
            </w:r>
          </w:p>
          <w:p w14:paraId="12A6455F" w14:textId="77777777" w:rsidR="00B53330" w:rsidRPr="00053890" w:rsidRDefault="00B53330" w:rsidP="00240C15">
            <w:pPr>
              <w:tabs>
                <w:tab w:val="center" w:pos="4680"/>
              </w:tabs>
              <w:suppressAutoHyphens/>
              <w:rPr>
                <w:spacing w:val="-2"/>
              </w:rPr>
            </w:pPr>
          </w:p>
        </w:tc>
        <w:tc>
          <w:tcPr>
            <w:tcW w:w="4248" w:type="dxa"/>
          </w:tcPr>
          <w:p w14:paraId="0FBFF8E6" w14:textId="77777777" w:rsidR="00B53330" w:rsidRPr="00053890" w:rsidRDefault="00B53330" w:rsidP="00240C15">
            <w:pPr>
              <w:tabs>
                <w:tab w:val="center" w:pos="4680"/>
              </w:tabs>
              <w:suppressAutoHyphens/>
              <w:rPr>
                <w:spacing w:val="-2"/>
              </w:rPr>
            </w:pPr>
          </w:p>
          <w:p w14:paraId="52BC498C" w14:textId="77777777" w:rsidR="00B53330" w:rsidRPr="00053890" w:rsidRDefault="00B53330" w:rsidP="00240C15">
            <w:pPr>
              <w:pStyle w:val="TOAHeading"/>
              <w:tabs>
                <w:tab w:val="clear" w:pos="9360"/>
                <w:tab w:val="center" w:pos="4680"/>
              </w:tabs>
              <w:rPr>
                <w:spacing w:val="-2"/>
              </w:rPr>
            </w:pPr>
          </w:p>
          <w:p w14:paraId="1C5E7054" w14:textId="77777777" w:rsidR="00B53330" w:rsidRPr="00053890" w:rsidRDefault="00B53330" w:rsidP="00240C15">
            <w:pPr>
              <w:tabs>
                <w:tab w:val="center" w:pos="4680"/>
              </w:tabs>
              <w:suppressAutoHyphens/>
              <w:rPr>
                <w:spacing w:val="-2"/>
              </w:rPr>
            </w:pPr>
            <w:r w:rsidRPr="00053890">
              <w:rPr>
                <w:spacing w:val="-2"/>
              </w:rPr>
              <w:t>WT Docket No. 15-262</w:t>
            </w:r>
          </w:p>
        </w:tc>
        <w:tc>
          <w:tcPr>
            <w:tcW w:w="4248" w:type="dxa"/>
          </w:tcPr>
          <w:p w14:paraId="6E0812A4" w14:textId="77777777" w:rsidR="00B53330" w:rsidRPr="00053890" w:rsidRDefault="00B53330" w:rsidP="00240C15">
            <w:pPr>
              <w:tabs>
                <w:tab w:val="center" w:pos="4680"/>
              </w:tabs>
              <w:suppressAutoHyphens/>
              <w:rPr>
                <w:spacing w:val="-2"/>
              </w:rPr>
            </w:pPr>
          </w:p>
        </w:tc>
      </w:tr>
    </w:tbl>
    <w:p w14:paraId="50A87168" w14:textId="77777777" w:rsidR="00B53330" w:rsidRPr="00053890" w:rsidRDefault="00B53330" w:rsidP="00B53330"/>
    <w:p w14:paraId="69138024" w14:textId="77777777" w:rsidR="00B53330" w:rsidRPr="00224B69" w:rsidRDefault="00B53330" w:rsidP="00B53330">
      <w:pPr>
        <w:pStyle w:val="StyleBoldCentered"/>
        <w:rPr>
          <w:rFonts w:ascii="Times New Roman" w:hAnsi="Times New Roman"/>
        </w:rPr>
      </w:pPr>
      <w:r w:rsidRPr="00224B69">
        <w:rPr>
          <w:rFonts w:ascii="Times New Roman" w:hAnsi="Times New Roman"/>
        </w:rPr>
        <w:t>memorandum opinion and order</w:t>
      </w:r>
    </w:p>
    <w:p w14:paraId="2C27CB5B" w14:textId="77777777" w:rsidR="00B53330" w:rsidRPr="00053890" w:rsidRDefault="00B53330" w:rsidP="00B53330">
      <w:pPr>
        <w:tabs>
          <w:tab w:val="left" w:pos="-720"/>
        </w:tabs>
        <w:suppressAutoHyphens/>
        <w:spacing w:line="227" w:lineRule="auto"/>
        <w:rPr>
          <w:spacing w:val="-2"/>
        </w:rPr>
      </w:pPr>
    </w:p>
    <w:p w14:paraId="0DB13994" w14:textId="77777777" w:rsidR="00B53330" w:rsidRPr="00053890" w:rsidRDefault="00B53330" w:rsidP="00B53330">
      <w:pPr>
        <w:tabs>
          <w:tab w:val="left" w:pos="720"/>
          <w:tab w:val="right" w:pos="9360"/>
        </w:tabs>
        <w:suppressAutoHyphens/>
        <w:spacing w:line="227" w:lineRule="auto"/>
        <w:rPr>
          <w:spacing w:val="-2"/>
        </w:rPr>
      </w:pPr>
      <w:r w:rsidRPr="00053890">
        <w:rPr>
          <w:b/>
          <w:spacing w:val="-2"/>
        </w:rPr>
        <w:t xml:space="preserve">Adopted:  </w:t>
      </w:r>
      <w:r>
        <w:rPr>
          <w:b/>
          <w:spacing w:val="-2"/>
        </w:rPr>
        <w:t>April 15, 2016</w:t>
      </w:r>
      <w:r w:rsidRPr="00053890">
        <w:rPr>
          <w:b/>
          <w:spacing w:val="-2"/>
        </w:rPr>
        <w:tab/>
        <w:t xml:space="preserve">Released:  </w:t>
      </w:r>
      <w:r>
        <w:rPr>
          <w:b/>
          <w:spacing w:val="-2"/>
        </w:rPr>
        <w:t>April 15, 2016</w:t>
      </w:r>
    </w:p>
    <w:p w14:paraId="62FA9C3C" w14:textId="77777777" w:rsidR="00B53330" w:rsidRPr="00053890" w:rsidRDefault="00B53330" w:rsidP="00B53330"/>
    <w:p w14:paraId="43488FD9" w14:textId="77777777" w:rsidR="00B53330" w:rsidRPr="00053890" w:rsidRDefault="00B53330" w:rsidP="00B53330">
      <w:pPr>
        <w:rPr>
          <w:spacing w:val="-2"/>
        </w:rPr>
      </w:pPr>
      <w:r w:rsidRPr="00053890">
        <w:t xml:space="preserve">By the </w:t>
      </w:r>
      <w:r w:rsidRPr="00053890">
        <w:rPr>
          <w:spacing w:val="-2"/>
        </w:rPr>
        <w:t>Chief, Wireless Telecommunications Bureau, and Chief, International Bureau:</w:t>
      </w:r>
    </w:p>
    <w:p w14:paraId="51C360CE" w14:textId="77777777" w:rsidR="00B53330" w:rsidRDefault="00B53330" w:rsidP="00B53330">
      <w:pPr>
        <w:rPr>
          <w:spacing w:val="-2"/>
        </w:rPr>
      </w:pPr>
    </w:p>
    <w:p w14:paraId="20711F41" w14:textId="0DBE03F0" w:rsidR="0078483A" w:rsidRDefault="0078483A" w:rsidP="0078483A">
      <w:pPr>
        <w:pStyle w:val="TOCTitle"/>
      </w:pPr>
      <w:bookmarkStart w:id="1" w:name="TOChere"/>
      <w:r>
        <w:t>Table of Contents</w:t>
      </w:r>
    </w:p>
    <w:p w14:paraId="4DA9C3B0" w14:textId="155B4867" w:rsidR="0078483A" w:rsidRDefault="0078483A" w:rsidP="0078483A">
      <w:pPr>
        <w:pStyle w:val="Paratitle"/>
      </w:pPr>
      <w:r>
        <w:t>Heading</w:t>
      </w:r>
      <w:r>
        <w:tab/>
        <w:t>Paragraph #</w:t>
      </w:r>
      <w:bookmarkStart w:id="2" w:name="start_here"/>
      <w:bookmarkEnd w:id="2"/>
    </w:p>
    <w:p w14:paraId="6CE64037" w14:textId="6AD8FCD1" w:rsidR="0078483A" w:rsidRDefault="0078483A" w:rsidP="0078483A">
      <w:pPr>
        <w:pStyle w:val="TOC1"/>
        <w:rPr>
          <w:rFonts w:asciiTheme="minorHAnsi" w:eastAsiaTheme="minorEastAsia" w:hAnsiTheme="minorHAnsi" w:cstheme="minorBidi"/>
          <w:caps w:val="0"/>
          <w:snapToGrid/>
          <w:kern w:val="0"/>
          <w:szCs w:val="22"/>
        </w:rPr>
      </w:pPr>
      <w:r w:rsidRPr="00F96432">
        <w:t>I.</w:t>
      </w:r>
      <w:r>
        <w:rPr>
          <w:rFonts w:asciiTheme="minorHAnsi" w:eastAsiaTheme="minorEastAsia" w:hAnsiTheme="minorHAnsi" w:cstheme="minorBidi"/>
          <w:caps w:val="0"/>
          <w:snapToGrid/>
          <w:kern w:val="0"/>
          <w:szCs w:val="22"/>
        </w:rPr>
        <w:tab/>
      </w:r>
      <w:r w:rsidRPr="00F96432">
        <w:t>introduction</w:t>
      </w:r>
      <w:r>
        <w:tab/>
        <w:t>1</w:t>
      </w:r>
    </w:p>
    <w:p w14:paraId="583A73B1" w14:textId="17A4DB9E" w:rsidR="0078483A" w:rsidRDefault="0078483A" w:rsidP="0078483A">
      <w:pPr>
        <w:pStyle w:val="TOC1"/>
        <w:rPr>
          <w:rFonts w:asciiTheme="minorHAnsi" w:eastAsiaTheme="minorEastAsia" w:hAnsiTheme="minorHAnsi" w:cstheme="minorBidi"/>
          <w:caps w:val="0"/>
          <w:snapToGrid/>
          <w:kern w:val="0"/>
          <w:szCs w:val="22"/>
        </w:rPr>
      </w:pPr>
      <w:r>
        <w:t>II.</w:t>
      </w:r>
      <w:r>
        <w:rPr>
          <w:rFonts w:asciiTheme="minorHAnsi" w:eastAsiaTheme="minorEastAsia" w:hAnsiTheme="minorHAnsi" w:cstheme="minorBidi"/>
          <w:caps w:val="0"/>
          <w:snapToGrid/>
          <w:kern w:val="0"/>
          <w:szCs w:val="22"/>
        </w:rPr>
        <w:tab/>
      </w:r>
      <w:r w:rsidRPr="00F96432">
        <w:t>background and public interest framework</w:t>
      </w:r>
      <w:r>
        <w:tab/>
        <w:t>3</w:t>
      </w:r>
    </w:p>
    <w:p w14:paraId="557534ED" w14:textId="7640108F" w:rsidR="0078483A" w:rsidRDefault="0078483A" w:rsidP="0078483A">
      <w:pPr>
        <w:pStyle w:val="TOC1"/>
        <w:rPr>
          <w:rFonts w:asciiTheme="minorHAnsi" w:eastAsiaTheme="minorEastAsia" w:hAnsiTheme="minorHAnsi" w:cstheme="minorBidi"/>
          <w:caps w:val="0"/>
          <w:snapToGrid/>
          <w:kern w:val="0"/>
          <w:szCs w:val="22"/>
        </w:rPr>
      </w:pPr>
      <w:r w:rsidRPr="00F96432">
        <w:t>III.</w:t>
      </w:r>
      <w:r>
        <w:rPr>
          <w:rFonts w:asciiTheme="minorHAnsi" w:eastAsiaTheme="minorEastAsia" w:hAnsiTheme="minorHAnsi" w:cstheme="minorBidi"/>
          <w:caps w:val="0"/>
          <w:snapToGrid/>
          <w:kern w:val="0"/>
          <w:szCs w:val="22"/>
        </w:rPr>
        <w:tab/>
      </w:r>
      <w:r w:rsidRPr="00F96432">
        <w:t>potential public interest harms</w:t>
      </w:r>
      <w:r>
        <w:tab/>
        <w:t>9</w:t>
      </w:r>
    </w:p>
    <w:p w14:paraId="0C7C49F5" w14:textId="03E40780" w:rsidR="0078483A" w:rsidRDefault="0078483A" w:rsidP="0078483A">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Market Definitions</w:t>
      </w:r>
      <w:r>
        <w:tab/>
        <w:t>10</w:t>
      </w:r>
    </w:p>
    <w:p w14:paraId="172DF806" w14:textId="66182131" w:rsidR="0078483A" w:rsidRDefault="0078483A" w:rsidP="0078483A">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Competitive Effects of the Proposed Transaction</w:t>
      </w:r>
      <w:r>
        <w:tab/>
        <w:t>17</w:t>
      </w:r>
    </w:p>
    <w:p w14:paraId="5990C49C" w14:textId="56E524C4" w:rsidR="0078483A" w:rsidRDefault="0078483A" w:rsidP="0078483A">
      <w:pPr>
        <w:pStyle w:val="TOC1"/>
        <w:rPr>
          <w:rFonts w:asciiTheme="minorHAnsi" w:eastAsiaTheme="minorEastAsia" w:hAnsiTheme="minorHAnsi" w:cstheme="minorBidi"/>
          <w:caps w:val="0"/>
          <w:snapToGrid/>
          <w:kern w:val="0"/>
          <w:szCs w:val="22"/>
        </w:rPr>
      </w:pPr>
      <w:r w:rsidRPr="00F96432">
        <w:rPr>
          <w:snapToGrid/>
        </w:rPr>
        <w:t>IV.</w:t>
      </w:r>
      <w:r>
        <w:rPr>
          <w:rFonts w:asciiTheme="minorHAnsi" w:eastAsiaTheme="minorEastAsia" w:hAnsiTheme="minorHAnsi" w:cstheme="minorBidi"/>
          <w:caps w:val="0"/>
          <w:snapToGrid/>
          <w:kern w:val="0"/>
          <w:szCs w:val="22"/>
        </w:rPr>
        <w:tab/>
      </w:r>
      <w:r w:rsidRPr="00F96432">
        <w:rPr>
          <w:snapToGrid/>
        </w:rPr>
        <w:t>potential public interest benefits</w:t>
      </w:r>
      <w:r>
        <w:tab/>
        <w:t>34</w:t>
      </w:r>
    </w:p>
    <w:p w14:paraId="21D38AFC" w14:textId="47B46603" w:rsidR="0078483A" w:rsidRDefault="0078483A" w:rsidP="0078483A">
      <w:pPr>
        <w:pStyle w:val="TOC1"/>
        <w:rPr>
          <w:rFonts w:asciiTheme="minorHAnsi" w:eastAsiaTheme="minorEastAsia" w:hAnsiTheme="minorHAnsi" w:cstheme="minorBidi"/>
          <w:caps w:val="0"/>
          <w:snapToGrid/>
          <w:kern w:val="0"/>
          <w:szCs w:val="22"/>
        </w:rPr>
      </w:pPr>
      <w:r w:rsidRPr="00F96432">
        <w:t>V.</w:t>
      </w:r>
      <w:r>
        <w:rPr>
          <w:rFonts w:asciiTheme="minorHAnsi" w:eastAsiaTheme="minorEastAsia" w:hAnsiTheme="minorHAnsi" w:cstheme="minorBidi"/>
          <w:caps w:val="0"/>
          <w:snapToGrid/>
          <w:kern w:val="0"/>
          <w:szCs w:val="22"/>
        </w:rPr>
        <w:tab/>
      </w:r>
      <w:r w:rsidRPr="00F96432">
        <w:t>commitments and remedies</w:t>
      </w:r>
      <w:r>
        <w:tab/>
        <w:t>45</w:t>
      </w:r>
    </w:p>
    <w:p w14:paraId="4B87B81E" w14:textId="6E802315" w:rsidR="0078483A" w:rsidRDefault="0078483A" w:rsidP="0078483A">
      <w:pPr>
        <w:pStyle w:val="TOC1"/>
        <w:rPr>
          <w:rFonts w:asciiTheme="minorHAnsi" w:eastAsiaTheme="minorEastAsia" w:hAnsiTheme="minorHAnsi" w:cstheme="minorBidi"/>
          <w:caps w:val="0"/>
          <w:snapToGrid/>
          <w:kern w:val="0"/>
          <w:szCs w:val="22"/>
        </w:rPr>
      </w:pPr>
      <w:r w:rsidRPr="00F96432">
        <w:t>VI.</w:t>
      </w:r>
      <w:r>
        <w:rPr>
          <w:rFonts w:asciiTheme="minorHAnsi" w:eastAsiaTheme="minorEastAsia" w:hAnsiTheme="minorHAnsi" w:cstheme="minorBidi"/>
          <w:caps w:val="0"/>
          <w:snapToGrid/>
          <w:kern w:val="0"/>
          <w:szCs w:val="22"/>
        </w:rPr>
        <w:tab/>
      </w:r>
      <w:r w:rsidRPr="00F96432">
        <w:t>balancing the potential benefits and the potential harms</w:t>
      </w:r>
      <w:r>
        <w:tab/>
        <w:t>50</w:t>
      </w:r>
    </w:p>
    <w:p w14:paraId="30AF372F" w14:textId="52944A0A" w:rsidR="0078483A" w:rsidRDefault="0078483A" w:rsidP="0078483A">
      <w:pPr>
        <w:pStyle w:val="TOC1"/>
        <w:rPr>
          <w:rFonts w:asciiTheme="minorHAnsi" w:eastAsiaTheme="minorEastAsia" w:hAnsiTheme="minorHAnsi" w:cstheme="minorBidi"/>
          <w:caps w:val="0"/>
          <w:snapToGrid/>
          <w:kern w:val="0"/>
          <w:szCs w:val="22"/>
        </w:rPr>
      </w:pPr>
      <w:r w:rsidRPr="00F96432">
        <w:t>VII.ordering clauses</w:t>
      </w:r>
      <w:r>
        <w:tab/>
        <w:t>51</w:t>
      </w:r>
    </w:p>
    <w:bookmarkEnd w:id="1"/>
    <w:p w14:paraId="44199513" w14:textId="77777777" w:rsidR="00B53330" w:rsidRDefault="00B53330" w:rsidP="00B53330">
      <w:pPr>
        <w:rPr>
          <w:spacing w:val="-2"/>
        </w:rPr>
      </w:pPr>
      <w:r>
        <w:rPr>
          <w:spacing w:val="-2"/>
        </w:rPr>
        <w:t>APPENDIX 1 – COMMITMENT LETTER</w:t>
      </w:r>
    </w:p>
    <w:p w14:paraId="2478DFBB" w14:textId="77777777" w:rsidR="00B53330" w:rsidRDefault="00B53330" w:rsidP="00B53330">
      <w:pPr>
        <w:rPr>
          <w:spacing w:val="-2"/>
        </w:rPr>
      </w:pPr>
    </w:p>
    <w:p w14:paraId="4C2BDD01" w14:textId="77777777" w:rsidR="00B53330" w:rsidRPr="00053890" w:rsidRDefault="00B53330" w:rsidP="00B53330">
      <w:pPr>
        <w:rPr>
          <w:spacing w:val="-2"/>
        </w:rPr>
      </w:pPr>
    </w:p>
    <w:p w14:paraId="49CA418F" w14:textId="77777777" w:rsidR="00B53330" w:rsidRPr="00224B69" w:rsidRDefault="00B53330" w:rsidP="00B53330">
      <w:pPr>
        <w:pStyle w:val="Heading1"/>
        <w:rPr>
          <w:rFonts w:ascii="Times New Roman" w:hAnsi="Times New Roman"/>
        </w:rPr>
      </w:pPr>
      <w:bookmarkStart w:id="3" w:name="_Toc403981887"/>
      <w:bookmarkStart w:id="4" w:name="_Toc403998339"/>
      <w:bookmarkStart w:id="5" w:name="_Toc403998426"/>
      <w:bookmarkStart w:id="6" w:name="_Toc404003252"/>
      <w:bookmarkStart w:id="7" w:name="_Toc404003530"/>
      <w:bookmarkStart w:id="8" w:name="_Toc404152151"/>
      <w:bookmarkStart w:id="9" w:name="_Toc405185081"/>
      <w:bookmarkStart w:id="10" w:name="_Toc405799100"/>
      <w:bookmarkStart w:id="11" w:name="_Toc405799327"/>
      <w:bookmarkStart w:id="12" w:name="_Toc405801042"/>
      <w:bookmarkStart w:id="13" w:name="_Toc406492300"/>
      <w:bookmarkStart w:id="14" w:name="_Toc408387308"/>
      <w:bookmarkStart w:id="15" w:name="_Toc419201229"/>
      <w:bookmarkStart w:id="16" w:name="_Toc419201456"/>
      <w:bookmarkStart w:id="17" w:name="_Toc419206322"/>
      <w:bookmarkStart w:id="18" w:name="_Toc419206917"/>
      <w:bookmarkStart w:id="19" w:name="_Toc419206995"/>
      <w:bookmarkStart w:id="20" w:name="_Toc419287167"/>
      <w:bookmarkStart w:id="21" w:name="_Toc419447039"/>
      <w:bookmarkStart w:id="22" w:name="_Toc419815658"/>
      <w:bookmarkStart w:id="23" w:name="_Toc420400629"/>
      <w:bookmarkStart w:id="24" w:name="_Toc420499765"/>
      <w:bookmarkStart w:id="25" w:name="_Toc422839621"/>
      <w:bookmarkStart w:id="26" w:name="_Toc443663640"/>
      <w:bookmarkStart w:id="27" w:name="_Toc445827915"/>
      <w:bookmarkStart w:id="28" w:name="_Toc446399803"/>
      <w:bookmarkStart w:id="29" w:name="_Toc447192505"/>
      <w:bookmarkStart w:id="30" w:name="_Toc448303776"/>
      <w:bookmarkStart w:id="31" w:name="_Toc448473176"/>
      <w:r w:rsidRPr="00224B69">
        <w:rPr>
          <w:rFonts w:ascii="Times New Roman" w:hAnsi="Times New Roman"/>
        </w:rPr>
        <w:t>introduction</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14:paraId="6F41EEC0" w14:textId="77777777" w:rsidR="00B53330" w:rsidRPr="00BC6B80" w:rsidRDefault="00B53330" w:rsidP="00B53330">
      <w:pPr>
        <w:pStyle w:val="ParaNum"/>
        <w:tabs>
          <w:tab w:val="num" w:pos="1440"/>
        </w:tabs>
        <w:snapToGrid w:val="0"/>
        <w:ind w:left="0"/>
        <w:rPr>
          <w:snapToGrid/>
        </w:rPr>
      </w:pPr>
      <w:r w:rsidRPr="00053890">
        <w:t xml:space="preserve">In this </w:t>
      </w:r>
      <w:r w:rsidRPr="00936DA3">
        <w:t>Memorandum Opinion and Order</w:t>
      </w:r>
      <w:r w:rsidRPr="00053890">
        <w:t xml:space="preserve">, we </w:t>
      </w:r>
      <w:r>
        <w:t xml:space="preserve">grant consent, </w:t>
      </w:r>
      <w:r w:rsidRPr="00053890">
        <w:t xml:space="preserve">subject to conditions, </w:t>
      </w:r>
      <w:r>
        <w:t xml:space="preserve">to </w:t>
      </w:r>
      <w:r w:rsidRPr="00053890">
        <w:t xml:space="preserve">the applications of Sprint, Shentel and </w:t>
      </w:r>
      <w:r>
        <w:t>NTELOS</w:t>
      </w:r>
      <w:r w:rsidRPr="00053890">
        <w:t xml:space="preserve"> for the transfer of control and assignment </w:t>
      </w:r>
      <w:r>
        <w:t xml:space="preserve">of </w:t>
      </w:r>
      <w:r w:rsidRPr="00053890">
        <w:t xml:space="preserve">a number of AWS-1, PCS, BRS, and EBS spectrum licenses covering all or parts of thirty-eight local market areas in portions of Kentucky, Maryland, North Carolina, Ohio, Pennsylvania, Virginia, and West Virginia from </w:t>
      </w:r>
      <w:r>
        <w:t>NTELOS</w:t>
      </w:r>
      <w:r w:rsidRPr="00053890">
        <w:t xml:space="preserve"> to Shentel and Sprint and </w:t>
      </w:r>
      <w:r>
        <w:t xml:space="preserve">an </w:t>
      </w:r>
      <w:r w:rsidRPr="00053890">
        <w:t xml:space="preserve">international </w:t>
      </w:r>
      <w:r>
        <w:t>S</w:t>
      </w:r>
      <w:r w:rsidRPr="00053890">
        <w:t xml:space="preserve">ection 214 authorization held by </w:t>
      </w:r>
      <w:r>
        <w:t>NTELOS</w:t>
      </w:r>
      <w:r w:rsidRPr="00053890">
        <w:t xml:space="preserve"> to Shentel.</w:t>
      </w:r>
      <w:r w:rsidRPr="00053890">
        <w:rPr>
          <w:rStyle w:val="FootnoteReference"/>
        </w:rPr>
        <w:footnoteReference w:id="2"/>
      </w:r>
      <w:r w:rsidRPr="00053890">
        <w:t xml:space="preserve"> </w:t>
      </w:r>
      <w:r>
        <w:t xml:space="preserve"> </w:t>
      </w:r>
      <w:r w:rsidRPr="00053890">
        <w:t xml:space="preserve">As discussed below, as part of our determination whether the proposed transaction is in the </w:t>
      </w:r>
      <w:r w:rsidRPr="00053890">
        <w:lastRenderedPageBreak/>
        <w:t xml:space="preserve">public interest, we evaluate the competitive effects of Sprint’s post-transaction spectrum holdings on a local level.  In addition, we also evaluate the likely competitive effects of increased market concentration, as </w:t>
      </w:r>
      <w:r>
        <w:t>NTELOS</w:t>
      </w:r>
      <w:r w:rsidRPr="00053890">
        <w:t xml:space="preserve">’s </w:t>
      </w:r>
      <w:r>
        <w:t xml:space="preserve">approximately 300,000 </w:t>
      </w:r>
      <w:r w:rsidRPr="00053890">
        <w:t xml:space="preserve">customers will be transferred to Shentel, </w:t>
      </w:r>
      <w:r>
        <w:t xml:space="preserve">which </w:t>
      </w:r>
      <w:r w:rsidRPr="00053890">
        <w:t>will convert them into Sprint-branded customers.</w:t>
      </w:r>
    </w:p>
    <w:p w14:paraId="4F7139DB" w14:textId="77777777" w:rsidR="00B53330" w:rsidRPr="00BB5F2E" w:rsidRDefault="00B53330" w:rsidP="00B53330">
      <w:pPr>
        <w:pStyle w:val="ParaNum"/>
        <w:tabs>
          <w:tab w:val="num" w:pos="1440"/>
        </w:tabs>
        <w:snapToGrid w:val="0"/>
        <w:ind w:left="0"/>
      </w:pPr>
      <w:r w:rsidRPr="00B909DE">
        <w:t xml:space="preserve">Based on our analysis, we find </w:t>
      </w:r>
      <w:r>
        <w:t xml:space="preserve">the potential for certain competitive harms arising from this proposed transaction.  </w:t>
      </w:r>
      <w:r w:rsidRPr="00B909DE">
        <w:t xml:space="preserve">Sprint’s spectrum aggregation as a result of the proposed transaction raises some competitive concerns, specifically in </w:t>
      </w:r>
      <w:r>
        <w:t>a</w:t>
      </w:r>
      <w:r w:rsidRPr="00B909DE">
        <w:t xml:space="preserve"> cluster of Virginia markets.  </w:t>
      </w:r>
      <w:r>
        <w:t>These</w:t>
      </w:r>
      <w:r w:rsidRPr="00B909DE">
        <w:t xml:space="preserve"> concerns</w:t>
      </w:r>
      <w:r>
        <w:t xml:space="preserve"> are mitigated by</w:t>
      </w:r>
      <w:r w:rsidRPr="00B909DE">
        <w:t xml:space="preserve"> the Applicants</w:t>
      </w:r>
      <w:r>
        <w:t xml:space="preserve">’ </w:t>
      </w:r>
      <w:r w:rsidRPr="00B909DE">
        <w:t>commitment</w:t>
      </w:r>
      <w:r>
        <w:t>, which we impose as a condition,</w:t>
      </w:r>
      <w:r w:rsidRPr="00B909DE">
        <w:t xml:space="preserve"> to divest some </w:t>
      </w:r>
      <w:r>
        <w:t>of the</w:t>
      </w:r>
      <w:r w:rsidRPr="00B909DE">
        <w:t xml:space="preserve"> spectrum </w:t>
      </w:r>
      <w:r>
        <w:t xml:space="preserve">being acquired by Sprint from NTELOS </w:t>
      </w:r>
      <w:r w:rsidRPr="00B909DE">
        <w:t xml:space="preserve">in certain markets in Virginia.  </w:t>
      </w:r>
      <w:r>
        <w:t xml:space="preserve">We also recognize that the proposed transaction will cause the exit of NTELOS as an </w:t>
      </w:r>
      <w:r w:rsidRPr="00B909DE">
        <w:t xml:space="preserve">independent facilities-based service provider in </w:t>
      </w:r>
      <w:r>
        <w:t xml:space="preserve">certain </w:t>
      </w:r>
      <w:r w:rsidRPr="00B909DE">
        <w:t xml:space="preserve">markets </w:t>
      </w:r>
      <w:r>
        <w:t>in Virginia and West Virginia</w:t>
      </w:r>
      <w:r w:rsidRPr="00B909DE">
        <w:t>.  The Applicants</w:t>
      </w:r>
      <w:r>
        <w:t>, however,</w:t>
      </w:r>
      <w:r w:rsidRPr="00B909DE">
        <w:t xml:space="preserve"> claim that certain public interest benefits, including enhanced wireless coverage through network densification and expansion, will result </w:t>
      </w:r>
      <w:r>
        <w:t>from</w:t>
      </w:r>
      <w:r w:rsidRPr="00B909DE">
        <w:t xml:space="preserve"> the proposed transaction</w:t>
      </w:r>
      <w:r>
        <w:t xml:space="preserve">.  The Applicants have made </w:t>
      </w:r>
      <w:r w:rsidRPr="00B909DE">
        <w:t>certain commitments</w:t>
      </w:r>
      <w:r>
        <w:t xml:space="preserve"> related to these benefits, which we also impose as conditions, that </w:t>
      </w:r>
      <w:r w:rsidRPr="00B909DE">
        <w:t>will help ensure the</w:t>
      </w:r>
      <w:r>
        <w:t>ir</w:t>
      </w:r>
      <w:r w:rsidRPr="00B909DE">
        <w:t xml:space="preserve"> achievement in </w:t>
      </w:r>
      <w:r>
        <w:t>parts</w:t>
      </w:r>
      <w:r w:rsidRPr="00B909DE">
        <w:t xml:space="preserve"> of southern Virginia and West Virginia </w:t>
      </w:r>
      <w:r>
        <w:t xml:space="preserve">and </w:t>
      </w:r>
      <w:r w:rsidRPr="00B909DE">
        <w:t xml:space="preserve">help ameliorate </w:t>
      </w:r>
      <w:r>
        <w:t>possible</w:t>
      </w:r>
      <w:r w:rsidRPr="00B909DE">
        <w:t xml:space="preserve"> harms arising from the loss of </w:t>
      </w:r>
      <w:r>
        <w:t>NTELOS</w:t>
      </w:r>
      <w:r w:rsidRPr="00B909DE">
        <w:t xml:space="preserve"> in these markets</w:t>
      </w:r>
      <w:r w:rsidRPr="00BB5F2E">
        <w:t xml:space="preserve">.  </w:t>
      </w:r>
      <w:r w:rsidRPr="00B909DE">
        <w:t xml:space="preserve">Accordingly, based on our review of the record and in light of these commitments, which </w:t>
      </w:r>
      <w:r>
        <w:t>we impose as</w:t>
      </w:r>
      <w:r w:rsidRPr="00B909DE">
        <w:t xml:space="preserve"> conditions to our consent to the </w:t>
      </w:r>
      <w:r>
        <w:t>applications</w:t>
      </w:r>
      <w:r w:rsidRPr="00B909DE">
        <w:t>, we find that the public interest benefits of the proposed transaction outweigh the likelihood of public interest harms, such that</w:t>
      </w:r>
      <w:r>
        <w:t>,</w:t>
      </w:r>
      <w:r w:rsidRPr="00B909DE">
        <w:t xml:space="preserve"> overall, the proposed transaction is in the public interest.</w:t>
      </w:r>
    </w:p>
    <w:p w14:paraId="45C55502" w14:textId="77777777" w:rsidR="00B53330" w:rsidRPr="00F70A03" w:rsidRDefault="00B53330" w:rsidP="00B53330">
      <w:pPr>
        <w:pStyle w:val="Heading1"/>
      </w:pPr>
      <w:bookmarkStart w:id="32" w:name="_Toc403981888"/>
      <w:bookmarkStart w:id="33" w:name="_Toc403998340"/>
      <w:bookmarkStart w:id="34" w:name="_Toc403998427"/>
      <w:bookmarkStart w:id="35" w:name="_Toc404003253"/>
      <w:bookmarkStart w:id="36" w:name="_Toc404003531"/>
      <w:bookmarkStart w:id="37" w:name="_Toc404152152"/>
      <w:bookmarkStart w:id="38" w:name="_Toc405185082"/>
      <w:bookmarkStart w:id="39" w:name="_Toc405799101"/>
      <w:bookmarkStart w:id="40" w:name="_Toc405799328"/>
      <w:bookmarkStart w:id="41" w:name="_Toc405801043"/>
      <w:bookmarkStart w:id="42" w:name="_Toc406492301"/>
      <w:bookmarkStart w:id="43" w:name="_Toc408387309"/>
      <w:bookmarkStart w:id="44" w:name="_Toc419201230"/>
      <w:bookmarkStart w:id="45" w:name="_Toc419201457"/>
      <w:bookmarkStart w:id="46" w:name="_Toc419206323"/>
      <w:bookmarkStart w:id="47" w:name="_Toc419206918"/>
      <w:bookmarkStart w:id="48" w:name="_Toc419206996"/>
      <w:bookmarkStart w:id="49" w:name="_Toc419287168"/>
      <w:bookmarkStart w:id="50" w:name="_Toc419447040"/>
      <w:bookmarkStart w:id="51" w:name="_Toc419815659"/>
      <w:bookmarkStart w:id="52" w:name="_Toc420400630"/>
      <w:bookmarkStart w:id="53" w:name="_Toc420499766"/>
      <w:bookmarkStart w:id="54" w:name="_Toc422839622"/>
      <w:bookmarkStart w:id="55" w:name="_Toc443663641"/>
      <w:bookmarkStart w:id="56" w:name="_Toc445827916"/>
      <w:bookmarkStart w:id="57" w:name="_Toc446399804"/>
      <w:bookmarkStart w:id="58" w:name="_Toc447192506"/>
      <w:bookmarkStart w:id="59" w:name="_Toc448303777"/>
      <w:bookmarkStart w:id="60" w:name="_Toc448473177"/>
      <w:r w:rsidRPr="00BB5F2E">
        <w:rPr>
          <w:rFonts w:ascii="Times New Roman" w:hAnsi="Times New Roman"/>
        </w:rPr>
        <w:t>background</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r w:rsidRPr="00BB5F2E">
        <w:rPr>
          <w:rFonts w:ascii="Times New Roman" w:hAnsi="Times New Roman"/>
        </w:rPr>
        <w:t xml:space="preserve"> and public interest framework</w:t>
      </w:r>
      <w:bookmarkEnd w:id="52"/>
      <w:bookmarkEnd w:id="53"/>
      <w:bookmarkEnd w:id="54"/>
      <w:bookmarkEnd w:id="55"/>
      <w:bookmarkEnd w:id="56"/>
      <w:bookmarkEnd w:id="57"/>
      <w:bookmarkEnd w:id="58"/>
      <w:bookmarkEnd w:id="59"/>
      <w:bookmarkEnd w:id="60"/>
    </w:p>
    <w:p w14:paraId="3E5B0E62" w14:textId="253A4B59" w:rsidR="00B53330" w:rsidRPr="00BE360A" w:rsidRDefault="00B53330" w:rsidP="00B53330">
      <w:pPr>
        <w:pStyle w:val="ParaNum"/>
        <w:widowControl/>
        <w:tabs>
          <w:tab w:val="num" w:pos="1440"/>
        </w:tabs>
        <w:snapToGrid w:val="0"/>
        <w:ind w:left="0"/>
        <w:rPr>
          <w:szCs w:val="22"/>
        </w:rPr>
      </w:pPr>
      <w:r w:rsidRPr="00053890">
        <w:t xml:space="preserve">On August 25, 2015, Sprint, Shentel and </w:t>
      </w:r>
      <w:r>
        <w:t>NTELOS</w:t>
      </w:r>
      <w:r w:rsidRPr="00053890">
        <w:t xml:space="preserve"> filed </w:t>
      </w:r>
      <w:r>
        <w:t xml:space="preserve">the </w:t>
      </w:r>
      <w:r w:rsidRPr="00053890">
        <w:t xml:space="preserve">Applications pursuant to </w:t>
      </w:r>
      <w:r>
        <w:t>S</w:t>
      </w:r>
      <w:r w:rsidRPr="00053890">
        <w:t>ection 310(d) of the Communications Act of 1934, as amended (the Act),</w:t>
      </w:r>
      <w:r w:rsidRPr="00936DA3">
        <w:rPr>
          <w:sz w:val="20"/>
          <w:vertAlign w:val="superscript"/>
        </w:rPr>
        <w:footnoteReference w:id="3"/>
      </w:r>
      <w:r w:rsidRPr="00053890">
        <w:t xml:space="preserve"> seeking Commission consent to assign PCS, AWS-1, BRS, Common Carrier Fixed Point to Point microwave, and Private Point to Point microwave licenses from </w:t>
      </w:r>
      <w:r>
        <w:t>NTELOS</w:t>
      </w:r>
      <w:r w:rsidRPr="00053890">
        <w:t xml:space="preserve"> to Sprint.</w:t>
      </w:r>
      <w:r w:rsidRPr="00936DA3">
        <w:rPr>
          <w:sz w:val="20"/>
          <w:vertAlign w:val="superscript"/>
        </w:rPr>
        <w:footnoteReference w:id="4"/>
      </w:r>
      <w:r w:rsidRPr="00053890">
        <w:t xml:space="preserve">  </w:t>
      </w:r>
      <w:r>
        <w:t xml:space="preserve">The Applicants also </w:t>
      </w:r>
      <w:r w:rsidRPr="00821961">
        <w:t xml:space="preserve">filed applications </w:t>
      </w:r>
      <w:r>
        <w:t xml:space="preserve">to </w:t>
      </w:r>
      <w:r w:rsidRPr="00053890">
        <w:t>transfer</w:t>
      </w:r>
      <w:r w:rsidR="0078483A">
        <w:t xml:space="preserve"> </w:t>
      </w:r>
      <w:r>
        <w:t xml:space="preserve">control from NTELOS to Shentel of </w:t>
      </w:r>
      <w:r w:rsidRPr="00821961">
        <w:t>BRS, PCS, 800 MHz Specialized Mobile Radio Service</w:t>
      </w:r>
      <w:r>
        <w:t>,</w:t>
      </w:r>
      <w:r w:rsidRPr="00821961">
        <w:t xml:space="preserve"> and 1910-1915/1990-1995 MHz radio service spectrum leases</w:t>
      </w:r>
      <w:r w:rsidRPr="00053890">
        <w:t xml:space="preserve">, </w:t>
      </w:r>
      <w:r>
        <w:t>as well as</w:t>
      </w:r>
      <w:r w:rsidRPr="00053890">
        <w:t xml:space="preserve"> </w:t>
      </w:r>
      <w:r>
        <w:t xml:space="preserve">control of </w:t>
      </w:r>
      <w:r w:rsidRPr="00053890">
        <w:t xml:space="preserve">an international </w:t>
      </w:r>
      <w:r>
        <w:t>S</w:t>
      </w:r>
      <w:r w:rsidRPr="00053890">
        <w:t>ection 214 authorization.</w:t>
      </w:r>
      <w:r w:rsidRPr="00053890">
        <w:rPr>
          <w:rStyle w:val="FootnoteReference"/>
        </w:rPr>
        <w:footnoteReference w:id="5"/>
      </w:r>
      <w:r w:rsidRPr="00053890">
        <w:t xml:space="preserve">  No petitions to deny or comments were received.</w:t>
      </w:r>
    </w:p>
    <w:p w14:paraId="4643AB94" w14:textId="77777777" w:rsidR="00B53330" w:rsidRPr="00053890" w:rsidRDefault="00B53330" w:rsidP="00B53330">
      <w:pPr>
        <w:pStyle w:val="ParaNum"/>
        <w:widowControl/>
        <w:tabs>
          <w:tab w:val="num" w:pos="1440"/>
        </w:tabs>
        <w:snapToGrid w:val="0"/>
        <w:ind w:left="0"/>
        <w:rPr>
          <w:szCs w:val="22"/>
        </w:rPr>
      </w:pPr>
      <w:r w:rsidRPr="00053890">
        <w:rPr>
          <w:i/>
        </w:rPr>
        <w:lastRenderedPageBreak/>
        <w:t>Description of the Applicants</w:t>
      </w:r>
      <w:r w:rsidRPr="00936DA3">
        <w:t>.</w:t>
      </w:r>
      <w:r w:rsidRPr="00D60701">
        <w:t xml:space="preserve">  </w:t>
      </w:r>
      <w:r w:rsidRPr="00053890">
        <w:t>SprintCom, Inc. (Sprint) provide</w:t>
      </w:r>
      <w:r>
        <w:t>s</w:t>
      </w:r>
      <w:r w:rsidRPr="00053890">
        <w:t xml:space="preserve"> mobile wireless service to </w:t>
      </w:r>
      <w:r>
        <w:t>approximately 58 million</w:t>
      </w:r>
      <w:r w:rsidRPr="00053890">
        <w:t xml:space="preserve"> customers, and offers a </w:t>
      </w:r>
      <w:r w:rsidRPr="00053890">
        <w:rPr>
          <w:szCs w:val="22"/>
        </w:rPr>
        <w:t>range</w:t>
      </w:r>
      <w:r w:rsidRPr="00053890">
        <w:t xml:space="preserve"> of wireless and wireline voice and data services in all 50 states.</w:t>
      </w:r>
      <w:r w:rsidRPr="00053890">
        <w:rPr>
          <w:rStyle w:val="FootnoteReference"/>
        </w:rPr>
        <w:footnoteReference w:id="6"/>
      </w:r>
      <w:r w:rsidRPr="00053890">
        <w:t xml:space="preserve">  </w:t>
      </w:r>
      <w:r w:rsidRPr="00053890">
        <w:rPr>
          <w:szCs w:val="22"/>
        </w:rPr>
        <w:t>Shenandoah</w:t>
      </w:r>
      <w:r w:rsidRPr="00053890">
        <w:t xml:space="preserve"> Personal Communications, LLC (Shentel)</w:t>
      </w:r>
      <w:r w:rsidRPr="00053890">
        <w:rPr>
          <w:szCs w:val="22"/>
        </w:rPr>
        <w:t xml:space="preserve"> is a regional telecommunications company</w:t>
      </w:r>
      <w:r>
        <w:rPr>
          <w:szCs w:val="22"/>
        </w:rPr>
        <w:t xml:space="preserve"> and as a Sprint affiliate,</w:t>
      </w:r>
      <w:r w:rsidRPr="00053890">
        <w:rPr>
          <w:szCs w:val="22"/>
        </w:rPr>
        <w:t xml:space="preserve"> provid</w:t>
      </w:r>
      <w:r>
        <w:rPr>
          <w:szCs w:val="22"/>
        </w:rPr>
        <w:t>es</w:t>
      </w:r>
      <w:r w:rsidRPr="00053890">
        <w:rPr>
          <w:szCs w:val="22"/>
        </w:rPr>
        <w:t xml:space="preserve"> Sprint-branded wireless services primarily in rural portions of </w:t>
      </w:r>
      <w:r w:rsidRPr="00053890">
        <w:t>Pennsylvania</w:t>
      </w:r>
      <w:r w:rsidRPr="00053890">
        <w:rPr>
          <w:szCs w:val="22"/>
        </w:rPr>
        <w:t>, Maryland, Virginia, and West Virginia to more than 440,000 customers.</w:t>
      </w:r>
      <w:r w:rsidRPr="00936DA3">
        <w:rPr>
          <w:rStyle w:val="FootnoteReference"/>
        </w:rPr>
        <w:footnoteReference w:id="7"/>
      </w:r>
      <w:r w:rsidRPr="00053890">
        <w:rPr>
          <w:szCs w:val="22"/>
        </w:rPr>
        <w:t xml:space="preserve">  </w:t>
      </w:r>
      <w:r>
        <w:t>NTELOS</w:t>
      </w:r>
      <w:r w:rsidRPr="00053890">
        <w:t xml:space="preserve"> Holdings Corp. (</w:t>
      </w:r>
      <w:r>
        <w:t>NTELOS</w:t>
      </w:r>
      <w:r w:rsidRPr="00053890">
        <w:t>)</w:t>
      </w:r>
      <w:r w:rsidRPr="00053890">
        <w:rPr>
          <w:szCs w:val="22"/>
        </w:rPr>
        <w:t xml:space="preserve"> is a regional provider of wireless communications services to approximately 300,000 customers</w:t>
      </w:r>
      <w:r>
        <w:rPr>
          <w:szCs w:val="22"/>
        </w:rPr>
        <w:t>,</w:t>
      </w:r>
      <w:r w:rsidRPr="00053890">
        <w:rPr>
          <w:szCs w:val="22"/>
        </w:rPr>
        <w:t xml:space="preserve"> primarily in Virginia and West Virginia, </w:t>
      </w:r>
      <w:r w:rsidRPr="00053890">
        <w:t>as</w:t>
      </w:r>
      <w:r w:rsidRPr="00053890">
        <w:rPr>
          <w:szCs w:val="22"/>
        </w:rPr>
        <w:t xml:space="preserve"> well as parts of Maryland, North Carolina, Pennsylvania, Ohio, and Kentucky.</w:t>
      </w:r>
      <w:r w:rsidRPr="00053890">
        <w:rPr>
          <w:rStyle w:val="FootnoteReference"/>
          <w:szCs w:val="22"/>
        </w:rPr>
        <w:footnoteReference w:id="8"/>
      </w:r>
      <w:r w:rsidRPr="00053890">
        <w:rPr>
          <w:szCs w:val="22"/>
        </w:rPr>
        <w:t xml:space="preserve">  </w:t>
      </w:r>
      <w:r>
        <w:rPr>
          <w:szCs w:val="22"/>
        </w:rPr>
        <w:t>NTELOS also provides wholesale network access to other service providers, most notably through an arrangement with subsidiaries of Sprint</w:t>
      </w:r>
      <w:r w:rsidRPr="00053890">
        <w:rPr>
          <w:szCs w:val="22"/>
        </w:rPr>
        <w:t>.</w:t>
      </w:r>
      <w:r>
        <w:rPr>
          <w:rStyle w:val="FootnoteReference"/>
          <w:szCs w:val="22"/>
        </w:rPr>
        <w:footnoteReference w:id="9"/>
      </w:r>
    </w:p>
    <w:p w14:paraId="2D1A2EC6" w14:textId="77777777" w:rsidR="00B53330" w:rsidRPr="00053890" w:rsidRDefault="00B53330" w:rsidP="00B53330">
      <w:pPr>
        <w:pStyle w:val="ParaNum"/>
        <w:widowControl/>
        <w:tabs>
          <w:tab w:val="num" w:pos="1440"/>
        </w:tabs>
        <w:ind w:left="0"/>
      </w:pPr>
      <w:r w:rsidRPr="00211B4C">
        <w:rPr>
          <w:i/>
        </w:rPr>
        <w:t>Description of the Transaction</w:t>
      </w:r>
      <w:r w:rsidRPr="00936DA3">
        <w:t>.</w:t>
      </w:r>
      <w:r w:rsidRPr="00D60701">
        <w:t xml:space="preserve">  </w:t>
      </w:r>
      <w:r>
        <w:t xml:space="preserve">Through the proposed transaction, </w:t>
      </w:r>
      <w:r w:rsidRPr="00053890">
        <w:t xml:space="preserve">Shentel </w:t>
      </w:r>
      <w:r>
        <w:t>would</w:t>
      </w:r>
      <w:r w:rsidRPr="00053890">
        <w:t xml:space="preserve"> acquire all of </w:t>
      </w:r>
      <w:r>
        <w:t>NTELOS</w:t>
      </w:r>
      <w:r w:rsidRPr="00053890">
        <w:t xml:space="preserve">’s operations, including wireless network assets and spectrum, retail stores, and retail subscribers in </w:t>
      </w:r>
      <w:r>
        <w:t>NTELOS</w:t>
      </w:r>
      <w:r w:rsidRPr="00053890">
        <w:t>’s western markets.</w:t>
      </w:r>
      <w:r>
        <w:rPr>
          <w:rStyle w:val="FootnoteReference"/>
        </w:rPr>
        <w:footnoteReference w:id="10"/>
      </w:r>
      <w:r w:rsidRPr="00053890">
        <w:t xml:space="preserve">  </w:t>
      </w:r>
      <w:r>
        <w:t>Post consummation, Shentel would convert NTELOS</w:t>
      </w:r>
      <w:r w:rsidRPr="00053890">
        <w:t>’s subscribers to Sprint-branded customers.</w:t>
      </w:r>
      <w:r>
        <w:rPr>
          <w:rStyle w:val="FootnoteReference"/>
        </w:rPr>
        <w:footnoteReference w:id="11"/>
      </w:r>
      <w:r w:rsidRPr="00053890">
        <w:t xml:space="preserve">  </w:t>
      </w:r>
      <w:r>
        <w:t xml:space="preserve">Also, </w:t>
      </w:r>
      <w:r w:rsidRPr="00053890">
        <w:t>Shent</w:t>
      </w:r>
      <w:r>
        <w:t>el and Sprint entered into a series of agreements whereby</w:t>
      </w:r>
      <w:r w:rsidRPr="00053890">
        <w:t xml:space="preserve"> immediately after consummation</w:t>
      </w:r>
      <w:r>
        <w:t xml:space="preserve"> of the Shentel-NTELOS transaction</w:t>
      </w:r>
      <w:r w:rsidRPr="00053890">
        <w:t xml:space="preserve">, </w:t>
      </w:r>
      <w:r>
        <w:t xml:space="preserve">Shentel would </w:t>
      </w:r>
      <w:r w:rsidRPr="00053890">
        <w:t xml:space="preserve">assign to Sprint all of the spectrum licenses held by </w:t>
      </w:r>
      <w:r>
        <w:t>NTELOS</w:t>
      </w:r>
      <w:r w:rsidRPr="00053890">
        <w:t xml:space="preserve">, as well as certain spectrum leases acquired from </w:t>
      </w:r>
      <w:r>
        <w:t>NTELOS</w:t>
      </w:r>
      <w:r w:rsidRPr="00053890">
        <w:t>.</w:t>
      </w:r>
      <w:r>
        <w:rPr>
          <w:rStyle w:val="FootnoteReference"/>
        </w:rPr>
        <w:footnoteReference w:id="12"/>
      </w:r>
      <w:r w:rsidRPr="00053890">
        <w:t xml:space="preserve">  Through </w:t>
      </w:r>
      <w:r w:rsidRPr="00211B4C">
        <w:rPr>
          <w:szCs w:val="22"/>
        </w:rPr>
        <w:t>these</w:t>
      </w:r>
      <w:r w:rsidRPr="00053890">
        <w:t xml:space="preserve"> applications</w:t>
      </w:r>
      <w:r>
        <w:t xml:space="preserve"> as originally proposed</w:t>
      </w:r>
      <w:r w:rsidRPr="00053890">
        <w:t xml:space="preserve">, </w:t>
      </w:r>
      <w:r>
        <w:t xml:space="preserve">NTELOS’s subscribers would become Sprint-branded subscribers, and </w:t>
      </w:r>
      <w:r w:rsidRPr="00053890">
        <w:t xml:space="preserve">Sprint would be assigned or would lease up to an additional 135 megahertz of </w:t>
      </w:r>
      <w:r w:rsidRPr="00211B4C">
        <w:rPr>
          <w:szCs w:val="22"/>
        </w:rPr>
        <w:t>spectrum</w:t>
      </w:r>
      <w:r w:rsidRPr="00053890">
        <w:t xml:space="preserve"> in 153 counties covering all or parts of thirty-eight Cellular Market Areas </w:t>
      </w:r>
      <w:r>
        <w:t xml:space="preserve">(CMAs) </w:t>
      </w:r>
      <w:r w:rsidRPr="00053890">
        <w:t>in portions of Kentucky, Maryland, North Carolina, Ohio, Pennsylvania, Virginia, and West Virginia.  Post-transaction, without taking any spectrum divestitures into account, Sprint would hold 64 to 240.5 megahertz of spectrum in total, in all or part of these thirty-eight CMAs.</w:t>
      </w:r>
      <w:r w:rsidRPr="00936DA3">
        <w:rPr>
          <w:sz w:val="20"/>
          <w:vertAlign w:val="superscript"/>
        </w:rPr>
        <w:footnoteReference w:id="13"/>
      </w:r>
      <w:r w:rsidRPr="00053890">
        <w:t xml:space="preserve"> </w:t>
      </w:r>
    </w:p>
    <w:p w14:paraId="60812BE2" w14:textId="77777777" w:rsidR="00B53330" w:rsidRPr="00053890" w:rsidRDefault="00B53330" w:rsidP="00B53330">
      <w:pPr>
        <w:pStyle w:val="ParaNum"/>
        <w:tabs>
          <w:tab w:val="num" w:pos="1440"/>
        </w:tabs>
        <w:ind w:left="0"/>
      </w:pPr>
      <w:r w:rsidRPr="00053890">
        <w:rPr>
          <w:i/>
        </w:rPr>
        <w:t>Standard of Review</w:t>
      </w:r>
      <w:r w:rsidRPr="00936DA3">
        <w:t xml:space="preserve">.  </w:t>
      </w:r>
      <w:r w:rsidRPr="00053890">
        <w:t xml:space="preserve">Pursuant to </w:t>
      </w:r>
      <w:r>
        <w:t>S</w:t>
      </w:r>
      <w:r w:rsidRPr="00053890">
        <w:t>ection</w:t>
      </w:r>
      <w:r>
        <w:t>s</w:t>
      </w:r>
      <w:r w:rsidRPr="00053890">
        <w:t xml:space="preserve"> </w:t>
      </w:r>
      <w:r>
        <w:t xml:space="preserve">214 and </w:t>
      </w:r>
      <w:r w:rsidRPr="00053890">
        <w:t>310(d) of the Act,</w:t>
      </w:r>
      <w:r w:rsidRPr="00053890">
        <w:rPr>
          <w:rFonts w:eastAsia="MS Mincho"/>
          <w:sz w:val="20"/>
          <w:vertAlign w:val="superscript"/>
        </w:rPr>
        <w:footnoteReference w:id="14"/>
      </w:r>
      <w:r w:rsidRPr="00053890">
        <w:rPr>
          <w:b/>
        </w:rPr>
        <w:t xml:space="preserve"> </w:t>
      </w:r>
      <w:r w:rsidRPr="00053890">
        <w:t>we must determine whether the Applicants have demonstrated that the proposed transaction would serve the public interest, convenience, and necessity.</w:t>
      </w:r>
      <w:r w:rsidRPr="00053890">
        <w:rPr>
          <w:rStyle w:val="FootnoteReference"/>
        </w:rPr>
        <w:footnoteReference w:id="15"/>
      </w:r>
      <w:r w:rsidRPr="00053890">
        <w:t xml:space="preserve">  In making this determination, we first assess whether the proposed transaction complies with the specific provisions of the Act,</w:t>
      </w:r>
      <w:r w:rsidRPr="00053890">
        <w:rPr>
          <w:rStyle w:val="FootnoteReference"/>
        </w:rPr>
        <w:footnoteReference w:id="16"/>
      </w:r>
      <w:r w:rsidRPr="00053890">
        <w:t xml:space="preserve"> other applicable statutes, and the Commission’s rules.</w:t>
      </w:r>
      <w:r w:rsidRPr="00936DA3">
        <w:rPr>
          <w:sz w:val="20"/>
          <w:vertAlign w:val="superscript"/>
        </w:rPr>
        <w:footnoteReference w:id="17"/>
      </w:r>
      <w:r w:rsidRPr="00053890">
        <w:t xml:space="preserve">  If the proposed transaction does not violate a statute or rule, we next consider whether the proposed transaction could result in public interest harms by substantially frustrating or impairing the objectives or implementation of the Act or related statutes.</w:t>
      </w:r>
      <w:r w:rsidRPr="00936DA3">
        <w:rPr>
          <w:sz w:val="20"/>
          <w:vertAlign w:val="superscript"/>
        </w:rPr>
        <w:footnoteReference w:id="18"/>
      </w:r>
      <w:r w:rsidRPr="00053890">
        <w:t xml:space="preserve">  We then employ a balancing test weighing any potential public interest harms of the proposed transaction against any potential public interest benefits.</w:t>
      </w:r>
      <w:r w:rsidRPr="00936DA3">
        <w:rPr>
          <w:sz w:val="20"/>
          <w:vertAlign w:val="superscript"/>
        </w:rPr>
        <w:footnoteReference w:id="19"/>
      </w:r>
      <w:r w:rsidRPr="00053890">
        <w:t xml:space="preserve">  The Applicants bear the burden of proving, by a preponderance of the evidence, that the proposed transaction, on balance, would serve the public interest.</w:t>
      </w:r>
      <w:r w:rsidRPr="00053890">
        <w:rPr>
          <w:rFonts w:eastAsia="MS Mincho"/>
          <w:sz w:val="20"/>
          <w:vertAlign w:val="superscript"/>
        </w:rPr>
        <w:footnoteReference w:id="20"/>
      </w:r>
    </w:p>
    <w:p w14:paraId="567D61A7" w14:textId="77777777" w:rsidR="00B53330" w:rsidRPr="00053890" w:rsidRDefault="00B53330" w:rsidP="00B53330">
      <w:pPr>
        <w:pStyle w:val="ParaNum"/>
        <w:tabs>
          <w:tab w:val="num" w:pos="1440"/>
        </w:tabs>
        <w:ind w:left="0"/>
      </w:pPr>
      <w:r>
        <w:t>The Commission has fully discussed the contours of the required public interest determination in several orders,</w:t>
      </w:r>
      <w:r>
        <w:rPr>
          <w:rStyle w:val="FootnoteReference"/>
        </w:rPr>
        <w:footnoteReference w:id="21"/>
      </w:r>
      <w:r w:rsidRPr="00444AE3">
        <w:rPr>
          <w:rStyle w:val="FootnoteReference"/>
        </w:rPr>
        <w:t xml:space="preserve"> </w:t>
      </w:r>
      <w:r>
        <w:t>which we follow here.  In general, the</w:t>
      </w:r>
      <w:r w:rsidRPr="00053890">
        <w:t xml:space="preserve"> competitive analysis, which forms an important part of the public interest evaluation, is informed by, but not limited to, traditional antitrust principles.</w:t>
      </w:r>
      <w:r w:rsidRPr="00053890">
        <w:rPr>
          <w:sz w:val="20"/>
          <w:vertAlign w:val="superscript"/>
        </w:rPr>
        <w:footnoteReference w:id="22"/>
      </w:r>
      <w:r w:rsidRPr="00053890">
        <w:t xml:space="preserve">  The Commission and the Department of Justice (DOJ) each have independent authority to examine the competitive impacts of proposed mergers and transactions involving transfers of Commission licenses, but the Commission’s competitive analysis under the public interest standard is somewhat broader.</w:t>
      </w:r>
      <w:r w:rsidRPr="00936DA3">
        <w:rPr>
          <w:sz w:val="20"/>
          <w:vertAlign w:val="superscript"/>
        </w:rPr>
        <w:footnoteReference w:id="23"/>
      </w:r>
      <w:r w:rsidRPr="00053890">
        <w:t xml:space="preserve"> </w:t>
      </w:r>
      <w:r w:rsidRPr="00053890">
        <w:rPr>
          <w:rFonts w:eastAsia="MS Mincho"/>
          <w:lang w:eastAsia="ja-JP"/>
        </w:rPr>
        <w:t xml:space="preserve"> </w:t>
      </w:r>
      <w:r w:rsidRPr="00053890">
        <w:t>The Commission’s public interest authority enables us, where appropriate, to impose and enforce narrowly tailored, transaction-specific conditions that ensure that the public interest is served by the transaction.</w:t>
      </w:r>
      <w:r w:rsidRPr="00053890">
        <w:rPr>
          <w:rStyle w:val="FootnoteReference"/>
          <w:szCs w:val="22"/>
        </w:rPr>
        <w:footnoteReference w:id="24"/>
      </w:r>
      <w:r w:rsidRPr="00053890">
        <w:t xml:space="preserve">  If we are unable to find that the proposed transaction serves the public interest for any reason or if the record presents a substantial and material question of fact, we must designate the application(s) for hearing.</w:t>
      </w:r>
      <w:r w:rsidRPr="00053890">
        <w:rPr>
          <w:sz w:val="20"/>
          <w:vertAlign w:val="superscript"/>
        </w:rPr>
        <w:footnoteReference w:id="25"/>
      </w:r>
    </w:p>
    <w:p w14:paraId="23183ABB" w14:textId="77777777" w:rsidR="00B53330" w:rsidRPr="00053890" w:rsidRDefault="00B53330" w:rsidP="00B53330">
      <w:pPr>
        <w:pStyle w:val="ParaNum"/>
        <w:tabs>
          <w:tab w:val="num" w:pos="1440"/>
        </w:tabs>
        <w:ind w:left="0"/>
      </w:pPr>
      <w:r w:rsidRPr="00053890">
        <w:rPr>
          <w:i/>
        </w:rPr>
        <w:t>Qualifications of the Applicants</w:t>
      </w:r>
      <w:r w:rsidRPr="00936DA3">
        <w:t xml:space="preserve">.  </w:t>
      </w:r>
      <w:r w:rsidRPr="00053890">
        <w:t xml:space="preserve">As a threshold matter, the Commission must determine whether the applicants to a proposed transaction meet the requisite qualifications requirements to hold and transfer licenses under </w:t>
      </w:r>
      <w:r>
        <w:t>S</w:t>
      </w:r>
      <w:r w:rsidRPr="00053890">
        <w:t>ection 310(d) and the Commission’s rules.</w:t>
      </w:r>
      <w:r w:rsidRPr="00936DA3">
        <w:rPr>
          <w:sz w:val="20"/>
          <w:vertAlign w:val="superscript"/>
        </w:rPr>
        <w:footnoteReference w:id="26"/>
      </w:r>
      <w:r w:rsidRPr="00053890">
        <w:t xml:space="preserve">  We note that no issues were raised with respect to the basic qualifications of Sprint, Shentel</w:t>
      </w:r>
      <w:r>
        <w:t>,</w:t>
      </w:r>
      <w:r w:rsidRPr="00053890">
        <w:t xml:space="preserve"> or </w:t>
      </w:r>
      <w:r>
        <w:t>NTELOS</w:t>
      </w:r>
      <w:r w:rsidRPr="00053890">
        <w:t>, and Sprint previously and repeatedly has been found qualified to hold Commission licenses.</w:t>
      </w:r>
      <w:r w:rsidRPr="00936DA3">
        <w:rPr>
          <w:sz w:val="20"/>
          <w:vertAlign w:val="superscript"/>
        </w:rPr>
        <w:footnoteReference w:id="27"/>
      </w:r>
      <w:r w:rsidRPr="00053890">
        <w:t xml:space="preserve">  We therefore find </w:t>
      </w:r>
      <w:r>
        <w:t xml:space="preserve">that </w:t>
      </w:r>
      <w:r w:rsidRPr="00053890">
        <w:t>there is no reason to reevaluate the requisite citizenship, character, financial, technical, or other basic qualifications under the Act and our rules, regulations, and policies, of Sprint, Shentel</w:t>
      </w:r>
      <w:r>
        <w:t>,</w:t>
      </w:r>
      <w:r w:rsidRPr="00053890">
        <w:t xml:space="preserve"> or </w:t>
      </w:r>
      <w:r>
        <w:t>NTELOS</w:t>
      </w:r>
      <w:r w:rsidRPr="00053890">
        <w:t>.</w:t>
      </w:r>
    </w:p>
    <w:p w14:paraId="7391E375" w14:textId="77777777" w:rsidR="00B53330" w:rsidRPr="00224B69" w:rsidRDefault="00B53330" w:rsidP="00B53330">
      <w:pPr>
        <w:pStyle w:val="Heading1"/>
        <w:widowControl/>
        <w:rPr>
          <w:rFonts w:ascii="Times New Roman" w:hAnsi="Times New Roman"/>
        </w:rPr>
      </w:pPr>
      <w:bookmarkStart w:id="61" w:name="_Toc403981896"/>
      <w:bookmarkStart w:id="62" w:name="_Toc403998348"/>
      <w:bookmarkStart w:id="63" w:name="_Toc403998435"/>
      <w:bookmarkStart w:id="64" w:name="_Toc404003259"/>
      <w:bookmarkStart w:id="65" w:name="_Toc404003539"/>
      <w:bookmarkStart w:id="66" w:name="_Toc404152160"/>
      <w:bookmarkStart w:id="67" w:name="_Toc405185088"/>
      <w:bookmarkStart w:id="68" w:name="_Toc405799107"/>
      <w:bookmarkStart w:id="69" w:name="_Toc405799334"/>
      <w:bookmarkStart w:id="70" w:name="_Toc405801049"/>
      <w:bookmarkStart w:id="71" w:name="_Toc406492307"/>
      <w:bookmarkStart w:id="72" w:name="_Toc408387315"/>
      <w:bookmarkStart w:id="73" w:name="_Toc419201236"/>
      <w:bookmarkStart w:id="74" w:name="_Toc419201463"/>
      <w:bookmarkStart w:id="75" w:name="_Toc419206329"/>
      <w:bookmarkStart w:id="76" w:name="_Toc419206925"/>
      <w:bookmarkStart w:id="77" w:name="_Toc419207003"/>
      <w:bookmarkStart w:id="78" w:name="_Toc419287175"/>
      <w:bookmarkStart w:id="79" w:name="_Toc419447047"/>
      <w:bookmarkStart w:id="80" w:name="_Toc419815666"/>
      <w:bookmarkStart w:id="81" w:name="_Toc420400637"/>
      <w:bookmarkStart w:id="82" w:name="_Toc420499767"/>
      <w:bookmarkStart w:id="83" w:name="_Toc422839623"/>
      <w:bookmarkStart w:id="84" w:name="_Toc443663642"/>
      <w:bookmarkStart w:id="85" w:name="_Toc445827917"/>
      <w:bookmarkStart w:id="86" w:name="_Toc446399805"/>
      <w:bookmarkStart w:id="87" w:name="_Toc447192507"/>
      <w:bookmarkStart w:id="88" w:name="_Toc448303778"/>
      <w:bookmarkStart w:id="89" w:name="_Toc448473178"/>
      <w:r w:rsidRPr="00224B69">
        <w:rPr>
          <w:rFonts w:ascii="Times New Roman" w:hAnsi="Times New Roman"/>
        </w:rPr>
        <w:t>potential public interest harms</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p>
    <w:p w14:paraId="3ED0034E" w14:textId="77777777" w:rsidR="00B53330" w:rsidRPr="00053890" w:rsidRDefault="00B53330" w:rsidP="00B53330">
      <w:pPr>
        <w:pStyle w:val="ParaNum"/>
        <w:tabs>
          <w:tab w:val="num" w:pos="1440"/>
        </w:tabs>
        <w:ind w:left="0"/>
      </w:pPr>
      <w:r w:rsidRPr="00053890">
        <w:t>In its examination of a proposed transaction, the Commission evaluates the potential public interest harms and undertakes a case-by-case review of the competitive effects of any increase in market concentration or in spectrum holdings in the relevant markets.</w:t>
      </w:r>
      <w:r w:rsidRPr="00053890">
        <w:rPr>
          <w:rStyle w:val="FootnoteReference"/>
        </w:rPr>
        <w:footnoteReference w:id="28"/>
      </w:r>
      <w:r w:rsidRPr="00053890">
        <w:t xml:space="preserve">  The Commission’s competitive analysis of wireless transactions focuses initially on markets where the acquisition of customers and/or spectrum would result in significant concentration of either or both, and thereby could lead to competitive harm.</w:t>
      </w:r>
      <w:r w:rsidRPr="00053890">
        <w:rPr>
          <w:rStyle w:val="FootnoteReference"/>
        </w:rPr>
        <w:footnoteReference w:id="29"/>
      </w:r>
      <w:r w:rsidRPr="00053890">
        <w:t xml:space="preserve">  </w:t>
      </w:r>
      <w:r w:rsidRPr="00F57E64">
        <w:t>Spectrum is an essential input in the provision of mobile wireless services, and ensuring that sufficient spectrum is available for incumbent licensees as well as potential new entrants is critical to promoting effective competition and innovation in the marketplace.</w:t>
      </w:r>
      <w:r>
        <w:rPr>
          <w:rStyle w:val="FootnoteReference"/>
        </w:rPr>
        <w:footnoteReference w:id="30"/>
      </w:r>
      <w:r>
        <w:t xml:space="preserve">  </w:t>
      </w:r>
      <w:r w:rsidRPr="00053890">
        <w:t>In the past, the Commission has used a two-part screen to help identify those markets that provide particular reason for further competitive analysis, but has not limited its consideration of potential competitive harms solely to markets identified by its screen if it encounters other factors that may bear on the public interest inquiry.</w:t>
      </w:r>
      <w:r w:rsidRPr="00053890">
        <w:rPr>
          <w:rStyle w:val="FootnoteReference"/>
        </w:rPr>
        <w:footnoteReference w:id="31"/>
      </w:r>
      <w:r w:rsidRPr="00053890">
        <w:rPr>
          <w:kern w:val="0"/>
          <w:sz w:val="24"/>
          <w:szCs w:val="24"/>
        </w:rPr>
        <w:t xml:space="preserve">  </w:t>
      </w:r>
      <w:r w:rsidRPr="00053890">
        <w:t xml:space="preserve">In the </w:t>
      </w:r>
      <w:r w:rsidRPr="00BE360A">
        <w:rPr>
          <w:i/>
        </w:rPr>
        <w:t>Mobile</w:t>
      </w:r>
      <w:r w:rsidRPr="0088582A">
        <w:rPr>
          <w:i/>
        </w:rPr>
        <w:t xml:space="preserve"> </w:t>
      </w:r>
      <w:r w:rsidRPr="00053890">
        <w:rPr>
          <w:i/>
        </w:rPr>
        <w:t>Spectrum Holdings Report and Order</w:t>
      </w:r>
      <w:r w:rsidRPr="00053890">
        <w:t>, the Commission found that it is in the public interest to continue to use its spectrum screen and case-by-case review to evaluate the likely competitive effects of increased spectrum aggregation through secondary market transactions.</w:t>
      </w:r>
      <w:r w:rsidRPr="00053890">
        <w:rPr>
          <w:rStyle w:val="FootnoteReference"/>
        </w:rPr>
        <w:footnoteReference w:id="32"/>
      </w:r>
      <w:r w:rsidRPr="00053890">
        <w:t xml:space="preserve">  </w:t>
      </w:r>
      <w:r>
        <w:t>We discuss below the likely effects of the proposed transaction on competition in the mobile wireless marketplace.</w:t>
      </w:r>
    </w:p>
    <w:p w14:paraId="4D1B8E4B" w14:textId="77777777" w:rsidR="00B53330" w:rsidRPr="00053890" w:rsidRDefault="00B53330" w:rsidP="00B53330">
      <w:pPr>
        <w:pStyle w:val="Heading2"/>
      </w:pPr>
      <w:bookmarkStart w:id="90" w:name="_Toc420400639"/>
      <w:bookmarkStart w:id="91" w:name="_Toc420499768"/>
      <w:bookmarkStart w:id="92" w:name="_Toc422839624"/>
      <w:bookmarkStart w:id="93" w:name="_Toc443663643"/>
      <w:bookmarkStart w:id="94" w:name="_Toc445827918"/>
      <w:bookmarkStart w:id="95" w:name="_Toc446399806"/>
      <w:bookmarkStart w:id="96" w:name="_Toc447192508"/>
      <w:bookmarkStart w:id="97" w:name="_Toc448303779"/>
      <w:bookmarkStart w:id="98" w:name="_Toc448473179"/>
      <w:r w:rsidRPr="00053890">
        <w:t>Market Definitions</w:t>
      </w:r>
      <w:bookmarkEnd w:id="90"/>
      <w:bookmarkEnd w:id="91"/>
      <w:bookmarkEnd w:id="92"/>
      <w:bookmarkEnd w:id="93"/>
      <w:bookmarkEnd w:id="94"/>
      <w:bookmarkEnd w:id="95"/>
      <w:bookmarkEnd w:id="96"/>
      <w:bookmarkEnd w:id="97"/>
      <w:bookmarkEnd w:id="98"/>
    </w:p>
    <w:p w14:paraId="352EAD9C" w14:textId="77777777" w:rsidR="00B53330" w:rsidRPr="00053890" w:rsidRDefault="00B53330" w:rsidP="00B53330">
      <w:pPr>
        <w:pStyle w:val="ParaNum"/>
        <w:tabs>
          <w:tab w:val="num" w:pos="1440"/>
        </w:tabs>
        <w:ind w:left="0"/>
        <w:rPr>
          <w:snapToGrid/>
        </w:rPr>
      </w:pPr>
      <w:r w:rsidRPr="00053890">
        <w:t>We begin our competitive analysis by determining the appropriate market definitions for the proposed transaction,</w:t>
      </w:r>
      <w:r w:rsidRPr="00053890">
        <w:rPr>
          <w:rStyle w:val="FootnoteReference"/>
        </w:rPr>
        <w:footnoteReference w:id="33"/>
      </w:r>
      <w:r w:rsidRPr="00053890">
        <w:t xml:space="preserve"> including a determination of the product market, the geographic market, the input market for spectrum suitable and available for the provision of mobile wireless services, and the market participants.</w:t>
      </w:r>
    </w:p>
    <w:p w14:paraId="5AC715C2" w14:textId="77777777" w:rsidR="00B53330" w:rsidRPr="00053890" w:rsidRDefault="00B53330" w:rsidP="00B53330">
      <w:pPr>
        <w:pStyle w:val="ParaNum"/>
        <w:tabs>
          <w:tab w:val="num" w:pos="1440"/>
        </w:tabs>
        <w:ind w:left="0"/>
      </w:pPr>
      <w:r w:rsidRPr="00053890">
        <w:rPr>
          <w:i/>
        </w:rPr>
        <w:t>Product Market</w:t>
      </w:r>
      <w:r w:rsidRPr="009D533D">
        <w:t>.</w:t>
      </w:r>
      <w:r w:rsidRPr="00936DA3">
        <w:t xml:space="preserve">  </w:t>
      </w:r>
      <w:r w:rsidRPr="00053890">
        <w:t>Consistent with recent transaction orders we find that the relevant product market is a combined “mobile telephony/broadband services” product market that comprises mobile voice and data services, including mobile voice and data services provided over advanced broadband wireless networks (mobile broadband services).</w:t>
      </w:r>
      <w:r w:rsidRPr="00936DA3">
        <w:rPr>
          <w:sz w:val="20"/>
          <w:vertAlign w:val="superscript"/>
        </w:rPr>
        <w:footnoteReference w:id="34"/>
      </w:r>
      <w:r w:rsidRPr="00053890">
        <w:t xml:space="preserve">  </w:t>
      </w:r>
    </w:p>
    <w:p w14:paraId="229A9662" w14:textId="77777777" w:rsidR="00B53330" w:rsidRPr="00053890" w:rsidRDefault="00B53330" w:rsidP="00572AF6">
      <w:pPr>
        <w:pStyle w:val="ParaNum"/>
        <w:widowControl/>
        <w:tabs>
          <w:tab w:val="num" w:pos="1440"/>
        </w:tabs>
        <w:ind w:left="0"/>
      </w:pPr>
      <w:r w:rsidRPr="00053890">
        <w:rPr>
          <w:i/>
        </w:rPr>
        <w:t>Geographic Market</w:t>
      </w:r>
      <w:r w:rsidRPr="00053890">
        <w:t>.  The Commission has found that the relevant geographic markets for certain wireless transactions generally are local, but has held that a transaction’s competitive effects should also be evaluated at the national level where a transaction exhibits certain national characteristics that provide cause for concern.</w:t>
      </w:r>
      <w:r w:rsidRPr="00936DA3">
        <w:rPr>
          <w:sz w:val="20"/>
          <w:vertAlign w:val="superscript"/>
        </w:rPr>
        <w:footnoteReference w:id="35"/>
      </w:r>
      <w:r w:rsidRPr="00053890">
        <w:t xml:space="preserve">  Here, </w:t>
      </w:r>
      <w:r>
        <w:t xml:space="preserve">as proposed in the original applications, </w:t>
      </w:r>
      <w:r w:rsidRPr="00053890">
        <w:t>the Applicants are seeking Commission approval of the assignment or lease of a maximum of 135 megahertz of spectrum covering 153 counties in all or parts of thirty-eight CMAs in portions of Kentucky, Maryland, North Carolina, Ohio, Pennsylvania, Virginia, and West Virginia</w:t>
      </w:r>
      <w:r>
        <w:t xml:space="preserve">.  The proposed initial assignment covers </w:t>
      </w:r>
      <w:r w:rsidRPr="00053890">
        <w:t xml:space="preserve">approximately 5.5 million people or approximately 2 percent of the population of the United States. </w:t>
      </w:r>
      <w:r>
        <w:t xml:space="preserve"> </w:t>
      </w:r>
      <w:r w:rsidRPr="00053890">
        <w:t xml:space="preserve">Given the limited local nature of the proposed transaction, we find it unlikely that there would be any significant effects of the transaction at the national level and we therefore </w:t>
      </w:r>
      <w:r>
        <w:t xml:space="preserve">analyze the transaction at the local level, using </w:t>
      </w:r>
      <w:r w:rsidRPr="00053890">
        <w:rPr>
          <w:color w:val="010101"/>
        </w:rPr>
        <w:t>CMAs as the local geographic market</w:t>
      </w:r>
      <w:r w:rsidRPr="00053890">
        <w:t>.</w:t>
      </w:r>
      <w:r w:rsidRPr="00053890">
        <w:rPr>
          <w:rStyle w:val="FootnoteReference"/>
        </w:rPr>
        <w:footnoteReference w:id="36"/>
      </w:r>
    </w:p>
    <w:p w14:paraId="1F87FE74" w14:textId="77777777" w:rsidR="00B53330" w:rsidRPr="00053890" w:rsidRDefault="00B53330" w:rsidP="00B53330">
      <w:pPr>
        <w:pStyle w:val="ParaNum"/>
        <w:tabs>
          <w:tab w:val="num" w:pos="1440"/>
        </w:tabs>
        <w:ind w:left="0"/>
      </w:pPr>
      <w:r w:rsidRPr="00053890">
        <w:rPr>
          <w:i/>
        </w:rPr>
        <w:t>Input Market for Spectrum</w:t>
      </w:r>
      <w:r w:rsidRPr="00053890">
        <w:t>.  The Commission has determined in prior transaction orders that the following bands, or portions thereof, should be included in the input market:  cellular, broadband PCS, SMR, 700 MHz band spectrum, Advanced Wireless Services in the 1710-1755 and 2110-2155 MHz band (AWS-1, on a market-by-market basis), Broadband Radio Service spectrum (BRS, on a market-by-market basis), Wireless Communications Service (WCS) spectrum, the 600 MHz band (at the conclusion of the Incentive Auction), Advanced Wireless Services in the 2000-2020 MHz and 2180-2200 MHz spectrum bands (AWS-4), H Block, additional BRS spectrum, the majority of the EBS spectrum, and the Advanced Wireless Services-3 (AWS-3) band (on a market-by-market basis as it becomes “available”).</w:t>
      </w:r>
      <w:r w:rsidRPr="00053890">
        <w:rPr>
          <w:rStyle w:val="FootnoteReference"/>
        </w:rPr>
        <w:footnoteReference w:id="37"/>
      </w:r>
    </w:p>
    <w:p w14:paraId="3F395B3E" w14:textId="77777777" w:rsidR="00B53330" w:rsidRPr="00053890" w:rsidRDefault="00B53330" w:rsidP="00B53330">
      <w:pPr>
        <w:pStyle w:val="ParaNum"/>
        <w:tabs>
          <w:tab w:val="num" w:pos="1440"/>
        </w:tabs>
        <w:ind w:left="0"/>
      </w:pPr>
      <w:r>
        <w:rPr>
          <w:i/>
        </w:rPr>
        <w:t>Record</w:t>
      </w:r>
      <w:r w:rsidRPr="00936DA3">
        <w:t xml:space="preserve">.  </w:t>
      </w:r>
      <w:r w:rsidRPr="00053890">
        <w:t xml:space="preserve">The Applicants argue that the applicable screen in this transaction </w:t>
      </w:r>
      <w:r>
        <w:t>should be</w:t>
      </w:r>
      <w:r w:rsidRPr="00053890">
        <w:t xml:space="preserve"> 199 megahertz, given the recent availability of AWS-3 spectrum.</w:t>
      </w:r>
      <w:r w:rsidRPr="00053890">
        <w:rPr>
          <w:rStyle w:val="FootnoteReference"/>
        </w:rPr>
        <w:footnoteReference w:id="38"/>
      </w:r>
      <w:r w:rsidRPr="00053890">
        <w:t xml:space="preserve">  Specifically, the Applicants argue </w:t>
      </w:r>
      <w:r>
        <w:t xml:space="preserve">that in the </w:t>
      </w:r>
      <w:r w:rsidRPr="00BC6B80">
        <w:rPr>
          <w:i/>
        </w:rPr>
        <w:t>Mobile Spectrum Holdings Report and Order</w:t>
      </w:r>
      <w:r>
        <w:t>, “the Commission said that it will count AWS-3 spectrum in the screen in a particular market ‘once all relocating Federal incumbent systems in that market are within three years of completing relocation, according to the Transition Plans.’”</w:t>
      </w:r>
      <w:r>
        <w:rPr>
          <w:rStyle w:val="FootnoteReference"/>
        </w:rPr>
        <w:footnoteReference w:id="39"/>
      </w:r>
      <w:r>
        <w:t xml:space="preserve">  The Applicants contend </w:t>
      </w:r>
      <w:r w:rsidRPr="00053890">
        <w:t xml:space="preserve">that under the transition plans posted on the National Telecommunications </w:t>
      </w:r>
      <w:r>
        <w:t>and</w:t>
      </w:r>
      <w:r w:rsidRPr="00053890">
        <w:t xml:space="preserve"> Information Administration’s website, all federal incumbents in the 1695-1710 MHz portion of the AWS-3 band will be transitioned by April 29, 2018 (i.e., thirty-nine months from the end of the AWS-3 auction), less than three years from now.</w:t>
      </w:r>
      <w:r w:rsidRPr="00053890">
        <w:rPr>
          <w:rStyle w:val="FootnoteReference"/>
        </w:rPr>
        <w:footnoteReference w:id="40"/>
      </w:r>
      <w:r w:rsidRPr="00053890">
        <w:t xml:space="preserve">  Thus, the Applicants assert that the screen applied to this transaction should be raised by 5 megahertz (</w:t>
      </w:r>
      <w:r w:rsidRPr="00075569">
        <w:rPr>
          <w:iCs/>
        </w:rPr>
        <w:t>i.e.</w:t>
      </w:r>
      <w:r w:rsidRPr="00A765ED">
        <w:t>,</w:t>
      </w:r>
      <w:r w:rsidRPr="00053890">
        <w:t xml:space="preserve"> one-third of the 15 megahertz of AWS-3 spectrum that is within three years of being transitioned).</w:t>
      </w:r>
      <w:r w:rsidRPr="00053890">
        <w:rPr>
          <w:rStyle w:val="FootnoteReference"/>
        </w:rPr>
        <w:footnoteReference w:id="41"/>
      </w:r>
    </w:p>
    <w:p w14:paraId="166E2EB8" w14:textId="39B92299" w:rsidR="00B53330" w:rsidRDefault="00B53330" w:rsidP="00B53330">
      <w:pPr>
        <w:pStyle w:val="ParaNum"/>
        <w:tabs>
          <w:tab w:val="num" w:pos="1440"/>
        </w:tabs>
        <w:ind w:left="0"/>
      </w:pPr>
      <w:r w:rsidRPr="003F6853">
        <w:rPr>
          <w:i/>
        </w:rPr>
        <w:t>Discussion</w:t>
      </w:r>
      <w:r w:rsidRPr="00936DA3">
        <w:t xml:space="preserve">.  </w:t>
      </w:r>
      <w:r w:rsidRPr="00053890">
        <w:t xml:space="preserve">The Commission </w:t>
      </w:r>
      <w:r>
        <w:t>concluded</w:t>
      </w:r>
      <w:r w:rsidRPr="00053890">
        <w:t xml:space="preserve"> in the</w:t>
      </w:r>
      <w:r w:rsidRPr="003F6853">
        <w:rPr>
          <w:szCs w:val="22"/>
        </w:rPr>
        <w:t xml:space="preserve"> </w:t>
      </w:r>
      <w:r w:rsidRPr="003F6853">
        <w:rPr>
          <w:i/>
        </w:rPr>
        <w:t xml:space="preserve">Mobile Spectrum Holdings Report and Order </w:t>
      </w:r>
      <w:r w:rsidRPr="00053890">
        <w:t xml:space="preserve">that </w:t>
      </w:r>
      <w:r w:rsidRPr="003F6853">
        <w:rPr>
          <w:szCs w:val="22"/>
        </w:rPr>
        <w:t>the AWS-3 bands</w:t>
      </w:r>
      <w:r w:rsidRPr="00053890">
        <w:t xml:space="preserve"> would be added to the input market for spectrum as </w:t>
      </w:r>
      <w:r>
        <w:t xml:space="preserve">they </w:t>
      </w:r>
      <w:r w:rsidRPr="00053890">
        <w:t>become available.</w:t>
      </w:r>
      <w:r w:rsidRPr="00053890">
        <w:rPr>
          <w:rStyle w:val="FootnoteReference"/>
          <w:snapToGrid/>
          <w:kern w:val="0"/>
          <w:szCs w:val="22"/>
        </w:rPr>
        <w:footnoteReference w:id="42"/>
      </w:r>
      <w:r w:rsidRPr="003F6853">
        <w:rPr>
          <w:snapToGrid/>
          <w:color w:val="231F20"/>
          <w:kern w:val="0"/>
          <w:szCs w:val="22"/>
        </w:rPr>
        <w:t xml:space="preserve">  Further, the Commission stated that </w:t>
      </w:r>
      <w:r w:rsidRPr="00EF45AE">
        <w:rPr>
          <w:snapToGrid/>
          <w:color w:val="231F20"/>
          <w:kern w:val="0"/>
          <w:szCs w:val="22"/>
        </w:rPr>
        <w:t>the availability of the AWS-3 bands will depend on the nature of the Federal operations affecting each particular market.</w:t>
      </w:r>
      <w:r>
        <w:rPr>
          <w:rStyle w:val="FootnoteReference"/>
          <w:snapToGrid/>
          <w:kern w:val="0"/>
          <w:szCs w:val="22"/>
        </w:rPr>
        <w:footnoteReference w:id="43"/>
      </w:r>
      <w:r w:rsidRPr="003F6853">
        <w:rPr>
          <w:snapToGrid/>
          <w:color w:val="231F20"/>
          <w:kern w:val="0"/>
          <w:szCs w:val="22"/>
        </w:rPr>
        <w:t xml:space="preserve">  </w:t>
      </w:r>
      <w:r>
        <w:t xml:space="preserve">In addition, the Commission decided that particular bands of </w:t>
      </w:r>
      <w:r w:rsidRPr="00053890">
        <w:t xml:space="preserve">AWS-3 </w:t>
      </w:r>
      <w:r>
        <w:t>spectrum</w:t>
      </w:r>
      <w:r w:rsidRPr="00053890" w:rsidDel="00C122B4">
        <w:t xml:space="preserve"> </w:t>
      </w:r>
      <w:r w:rsidRPr="00053890">
        <w:t xml:space="preserve">would be included in the spectrum screen in a particular market once all relocating Federal incumbent systems in that market are within three years of completing relocation, according to the </w:t>
      </w:r>
      <w:r>
        <w:t xml:space="preserve">timelines to be set in </w:t>
      </w:r>
      <w:r w:rsidRPr="00053890">
        <w:t>Transition Plans</w:t>
      </w:r>
      <w:r>
        <w:t xml:space="preserve"> for different systems in different markets</w:t>
      </w:r>
      <w:r w:rsidRPr="00053890">
        <w:t>.</w:t>
      </w:r>
      <w:r w:rsidRPr="00053890">
        <w:rPr>
          <w:rStyle w:val="FootnoteReference"/>
        </w:rPr>
        <w:footnoteReference w:id="44"/>
      </w:r>
      <w:r w:rsidRPr="00053890">
        <w:t xml:space="preserve">  </w:t>
      </w:r>
      <w:r>
        <w:t xml:space="preserve">In the </w:t>
      </w:r>
      <w:r w:rsidRPr="003F6853">
        <w:rPr>
          <w:i/>
        </w:rPr>
        <w:t>AWS-3 Report and Order</w:t>
      </w:r>
      <w:r>
        <w:t xml:space="preserve">, the Commission allocated the 1695-1710 MHz band to fixed and </w:t>
      </w:r>
      <w:r w:rsidRPr="00703520">
        <w:t>mobile except aeronautical mobile service</w:t>
      </w:r>
      <w:r>
        <w:t>s</w:t>
      </w:r>
      <w:r w:rsidRPr="00703520">
        <w:t xml:space="preserve"> on a primary basis for non</w:t>
      </w:r>
      <w:r>
        <w:noBreakHyphen/>
      </w:r>
      <w:r w:rsidRPr="00703520">
        <w:t>Federal use</w:t>
      </w:r>
      <w:r>
        <w:t>.</w:t>
      </w:r>
      <w:r>
        <w:rPr>
          <w:rStyle w:val="FootnoteReference"/>
        </w:rPr>
        <w:footnoteReference w:id="45"/>
      </w:r>
      <w:r>
        <w:t xml:space="preserve">  The </w:t>
      </w:r>
      <w:r w:rsidRPr="00690106">
        <w:rPr>
          <w:color w:val="000000" w:themeColor="text1"/>
        </w:rPr>
        <w:t xml:space="preserve">Commission also established 27 “Protection Zones” in the </w:t>
      </w:r>
      <w:r w:rsidRPr="00690106">
        <w:rPr>
          <w:i/>
          <w:color w:val="000000" w:themeColor="text1"/>
        </w:rPr>
        <w:t>AWS-3 Report and Order</w:t>
      </w:r>
      <w:r w:rsidRPr="00690106">
        <w:rPr>
          <w:color w:val="000000" w:themeColor="text1"/>
        </w:rPr>
        <w:t xml:space="preserve"> within which operation by non-Federal users is subject to coordination requirements with Federal users.</w:t>
      </w:r>
      <w:r>
        <w:rPr>
          <w:rStyle w:val="FootnoteReference"/>
        </w:rPr>
        <w:footnoteReference w:id="46"/>
      </w:r>
      <w:r>
        <w:rPr>
          <w:color w:val="000000" w:themeColor="text1"/>
        </w:rPr>
        <w:t xml:space="preserve">  </w:t>
      </w:r>
      <w:r>
        <w:t>For these 27 “Protected Zones,” the formal coordination process was allowed to begin 9 months after the close of the auction,</w:t>
      </w:r>
      <w:r>
        <w:rPr>
          <w:rStyle w:val="FootnoteReference"/>
        </w:rPr>
        <w:footnoteReference w:id="47"/>
      </w:r>
      <w:r>
        <w:t xml:space="preserve"> or October 29, 2015, and indefinite sharing within the protection zones is expected to begin 39 months after the close of the auction, or April 29, 2018, assuming that coordination is successful.</w:t>
      </w:r>
      <w:r>
        <w:rPr>
          <w:rStyle w:val="FootnoteReference"/>
        </w:rPr>
        <w:footnoteReference w:id="48"/>
      </w:r>
      <w:r>
        <w:t xml:space="preserve">  </w:t>
      </w:r>
      <w:r w:rsidRPr="00053890">
        <w:t xml:space="preserve">We </w:t>
      </w:r>
      <w:r>
        <w:t xml:space="preserve">therefore find </w:t>
      </w:r>
      <w:r w:rsidRPr="00053890">
        <w:t xml:space="preserve">that the 1695-1710 band </w:t>
      </w:r>
      <w:r>
        <w:t xml:space="preserve">has satisfied the standard adopted by the Commission in the </w:t>
      </w:r>
      <w:r w:rsidRPr="003F6853">
        <w:rPr>
          <w:i/>
        </w:rPr>
        <w:t xml:space="preserve">Mobile Spectrum Holdings Report and Order </w:t>
      </w:r>
      <w:r>
        <w:t xml:space="preserve">and </w:t>
      </w:r>
      <w:r w:rsidRPr="00053890">
        <w:t xml:space="preserve">should now be considered available, as well as suitable, </w:t>
      </w:r>
      <w:r>
        <w:t xml:space="preserve">on a nationwide basis.  After </w:t>
      </w:r>
      <w:r w:rsidRPr="00053890">
        <w:t>newly includ</w:t>
      </w:r>
      <w:r>
        <w:t>ing</w:t>
      </w:r>
      <w:r w:rsidRPr="00053890">
        <w:t xml:space="preserve"> </w:t>
      </w:r>
      <w:r>
        <w:t xml:space="preserve">this </w:t>
      </w:r>
      <w:r w:rsidRPr="00053890">
        <w:t>15 megahertz of the AWS-3 spectrum in the input market</w:t>
      </w:r>
      <w:r>
        <w:t>, the total amount of spectrum suitable and available for the provision of mobile telephony/broadband services is therefore increased to 595.5 megahertz, approximately one-third of which is 199 megahertz.</w:t>
      </w:r>
    </w:p>
    <w:p w14:paraId="1C03107A" w14:textId="77777777" w:rsidR="00B53330" w:rsidRPr="00053890" w:rsidRDefault="00B53330" w:rsidP="00B53330">
      <w:pPr>
        <w:pStyle w:val="ParaNum"/>
        <w:widowControl/>
        <w:tabs>
          <w:tab w:val="num" w:pos="1440"/>
        </w:tabs>
        <w:ind w:left="0"/>
      </w:pPr>
      <w:r w:rsidRPr="00053890">
        <w:rPr>
          <w:i/>
        </w:rPr>
        <w:t>Market Participants</w:t>
      </w:r>
      <w:r w:rsidRPr="00936DA3">
        <w:t xml:space="preserve">.  </w:t>
      </w:r>
      <w:r w:rsidRPr="00053890">
        <w:t>We apply recent Commission precedent and consider facilities-based entities providing mobile telephony/broadband services using cellular, PCS, SMR, 700 MHz, AWS-1, BRS, WCS, AWS-4, H Block, EBS, and AWS-3 (1695-1710 MHz) to be market participants.</w:t>
      </w:r>
      <w:r w:rsidRPr="00936DA3">
        <w:rPr>
          <w:sz w:val="20"/>
          <w:vertAlign w:val="superscript"/>
        </w:rPr>
        <w:footnoteReference w:id="49"/>
      </w:r>
      <w:r w:rsidRPr="00053890">
        <w:t xml:space="preserve">  Further, as AWS-3 (1755-1780 MHz and 2155-2180 MHz</w:t>
      </w:r>
      <w:r>
        <w:t xml:space="preserve"> on a market-by-market basis</w:t>
      </w:r>
      <w:r w:rsidRPr="00053890">
        <w:t xml:space="preserve">) and 600 MHz spectrum become available, we will also consider facilities-based entities providing mobile telephony/broadband services </w:t>
      </w:r>
      <w:r>
        <w:t>using</w:t>
      </w:r>
      <w:r w:rsidRPr="00053890">
        <w:t xml:space="preserve"> that spectrum to be market participants.</w:t>
      </w:r>
      <w:bookmarkStart w:id="99" w:name="_Toc403981900"/>
      <w:bookmarkStart w:id="100" w:name="_Toc403998356"/>
      <w:bookmarkStart w:id="101" w:name="_Toc403998443"/>
      <w:bookmarkStart w:id="102" w:name="_Toc404003267"/>
      <w:bookmarkStart w:id="103" w:name="_Toc404003547"/>
      <w:bookmarkStart w:id="104" w:name="_Toc404152168"/>
      <w:bookmarkStart w:id="105" w:name="_Toc405185096"/>
      <w:bookmarkStart w:id="106" w:name="_Toc405799111"/>
      <w:bookmarkStart w:id="107" w:name="_Toc405799338"/>
      <w:bookmarkStart w:id="108" w:name="_Toc405801053"/>
      <w:bookmarkStart w:id="109" w:name="_Toc406492311"/>
      <w:bookmarkStart w:id="110" w:name="_Toc408387319"/>
      <w:bookmarkStart w:id="111" w:name="_Toc419201240"/>
      <w:bookmarkStart w:id="112" w:name="_Toc419201467"/>
      <w:bookmarkStart w:id="113" w:name="_Toc419206331"/>
      <w:bookmarkStart w:id="114" w:name="_Toc419206927"/>
      <w:bookmarkStart w:id="115" w:name="_Toc419207005"/>
      <w:bookmarkStart w:id="116" w:name="_Toc419287177"/>
      <w:bookmarkStart w:id="117" w:name="_Toc419447049"/>
      <w:bookmarkStart w:id="118" w:name="_Toc419815668"/>
      <w:bookmarkStart w:id="119" w:name="_Toc420400640"/>
      <w:bookmarkStart w:id="120" w:name="_Toc420499769"/>
      <w:bookmarkStart w:id="121" w:name="_Toc422839625"/>
    </w:p>
    <w:p w14:paraId="3C9BE4AC" w14:textId="77777777" w:rsidR="00B53330" w:rsidRPr="00053890" w:rsidRDefault="00B53330" w:rsidP="00B53330">
      <w:pPr>
        <w:pStyle w:val="Heading2"/>
        <w:widowControl/>
      </w:pPr>
      <w:bookmarkStart w:id="122" w:name="_Toc443663644"/>
      <w:bookmarkStart w:id="123" w:name="_Toc445827919"/>
      <w:bookmarkStart w:id="124" w:name="_Toc446399807"/>
      <w:bookmarkStart w:id="125" w:name="_Toc447192509"/>
      <w:bookmarkStart w:id="126" w:name="_Toc448303780"/>
      <w:bookmarkStart w:id="127" w:name="_Toc448473180"/>
      <w:r w:rsidRPr="00053890">
        <w:t>Competitive Effects of the Proposed Transaction</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p>
    <w:p w14:paraId="43A077D8" w14:textId="77777777" w:rsidR="00B53330" w:rsidRPr="006E29EF" w:rsidRDefault="00B53330" w:rsidP="00B53330">
      <w:pPr>
        <w:pStyle w:val="ParaNum"/>
        <w:tabs>
          <w:tab w:val="num" w:pos="1440"/>
        </w:tabs>
        <w:ind w:left="0"/>
        <w:rPr>
          <w:rStyle w:val="StyleParaNumTimesNewRoman11ptChar"/>
          <w:b/>
          <w:szCs w:val="22"/>
        </w:rPr>
      </w:pPr>
      <w:bookmarkStart w:id="128" w:name="_Toc405799112"/>
      <w:bookmarkStart w:id="129" w:name="_Toc405799339"/>
      <w:bookmarkStart w:id="130" w:name="_Toc405801054"/>
      <w:bookmarkStart w:id="131" w:name="_Toc406492312"/>
      <w:bookmarkStart w:id="132" w:name="_Toc408387320"/>
      <w:r w:rsidRPr="00053890">
        <w:rPr>
          <w:i/>
        </w:rPr>
        <w:t>Initial Review</w:t>
      </w:r>
      <w:r w:rsidRPr="00053890">
        <w:t>.  As discussed above, to help identify those local markets in which competitive concerns are more likely, initially we apply a two-part screen,</w:t>
      </w:r>
      <w:r w:rsidRPr="00053890">
        <w:rPr>
          <w:rStyle w:val="FootnoteReference"/>
        </w:rPr>
        <w:t xml:space="preserve"> </w:t>
      </w:r>
      <w:r w:rsidRPr="00053890">
        <w:t>and if the acquiring entity would increase its below-1-GHz spectrum holdings to hold approximately one-third or more of such spectrum post-transaction, we apply enhanced factor review.</w:t>
      </w:r>
      <w:r w:rsidRPr="00053890">
        <w:rPr>
          <w:rStyle w:val="FootnoteReference"/>
        </w:rPr>
        <w:footnoteReference w:id="50"/>
      </w:r>
      <w:r w:rsidRPr="00053890">
        <w:t xml:space="preserve">  The first part of the screen is based on the size of the post-transaction Herfindahl-Hirschman Index (HHI) and the change in the HHI.</w:t>
      </w:r>
      <w:r w:rsidRPr="00053890">
        <w:rPr>
          <w:rStyle w:val="FootnoteReference"/>
        </w:rPr>
        <w:footnoteReference w:id="51"/>
      </w:r>
      <w:r w:rsidRPr="00053890">
        <w:t xml:space="preserve">  Horizontal transactions raise potential competitive concerns when the merged entity has the incentive and the ability, either unilaterally or in coordination with other service providers, to raise prices, lower quality, or </w:t>
      </w:r>
      <w:r>
        <w:t>ot</w:t>
      </w:r>
      <w:r w:rsidRPr="00053890">
        <w:t>herwise harm competition in a relevant market.</w:t>
      </w:r>
      <w:r w:rsidRPr="00053890">
        <w:rPr>
          <w:rStyle w:val="FootnoteReference"/>
        </w:rPr>
        <w:footnoteReference w:id="52"/>
      </w:r>
      <w:r w:rsidRPr="00053890">
        <w:t xml:space="preserve">  The second part of the screen,</w:t>
      </w:r>
      <w:r>
        <w:rPr>
          <w:rStyle w:val="FootnoteReference"/>
        </w:rPr>
        <w:footnoteReference w:id="53"/>
      </w:r>
      <w:r w:rsidRPr="00053890">
        <w:t xml:space="preserve"> which is applied on a county-by-county basis, identifies local markets where an entity would hold approximately one-third or more of </w:t>
      </w:r>
      <w:r w:rsidRPr="00520646">
        <w:rPr>
          <w:szCs w:val="22"/>
        </w:rPr>
        <w:t>the</w:t>
      </w:r>
      <w:r w:rsidRPr="00053890">
        <w:t xml:space="preserve"> total spectrum suitable and available for the provision of mobile telephony/broadband services, post-transaction.</w:t>
      </w:r>
      <w:r w:rsidRPr="00053890">
        <w:rPr>
          <w:sz w:val="20"/>
          <w:vertAlign w:val="superscript"/>
        </w:rPr>
        <w:footnoteReference w:id="54"/>
      </w:r>
      <w:r w:rsidRPr="00053890">
        <w:t xml:space="preserve">  </w:t>
      </w:r>
    </w:p>
    <w:bookmarkEnd w:id="128"/>
    <w:bookmarkEnd w:id="129"/>
    <w:bookmarkEnd w:id="130"/>
    <w:bookmarkEnd w:id="131"/>
    <w:bookmarkEnd w:id="132"/>
    <w:p w14:paraId="7E227FBE" w14:textId="77777777" w:rsidR="00B53330" w:rsidRPr="00053890" w:rsidRDefault="00B53330" w:rsidP="00B53330">
      <w:pPr>
        <w:pStyle w:val="ParaNum"/>
        <w:widowControl/>
        <w:tabs>
          <w:tab w:val="num" w:pos="1440"/>
        </w:tabs>
        <w:ind w:left="0"/>
      </w:pPr>
      <w:r w:rsidRPr="00053890">
        <w:rPr>
          <w:szCs w:val="22"/>
        </w:rPr>
        <w:t xml:space="preserve">In our application of the two-part screen, we note first that the HHI screen is triggered in </w:t>
      </w:r>
      <w:r>
        <w:rPr>
          <w:szCs w:val="22"/>
        </w:rPr>
        <w:t>12</w:t>
      </w:r>
      <w:r w:rsidRPr="00053890">
        <w:rPr>
          <w:szCs w:val="22"/>
        </w:rPr>
        <w:t xml:space="preserve"> of the </w:t>
      </w:r>
      <w:r w:rsidRPr="00053890">
        <w:t>thirty</w:t>
      </w:r>
      <w:r w:rsidRPr="00053890">
        <w:rPr>
          <w:szCs w:val="22"/>
        </w:rPr>
        <w:t>-eight CMAs</w:t>
      </w:r>
      <w:r>
        <w:rPr>
          <w:szCs w:val="22"/>
        </w:rPr>
        <w:t>.</w:t>
      </w:r>
      <w:r w:rsidRPr="00053890">
        <w:rPr>
          <w:szCs w:val="22"/>
        </w:rPr>
        <w:t xml:space="preserve">  Applying the total spectrum screen on a county-by-county basis </w:t>
      </w:r>
      <w:r>
        <w:rPr>
          <w:szCs w:val="22"/>
        </w:rPr>
        <w:t>Sprint newly triggers</w:t>
      </w:r>
      <w:r w:rsidRPr="00053890">
        <w:rPr>
          <w:szCs w:val="22"/>
        </w:rPr>
        <w:t xml:space="preserve"> </w:t>
      </w:r>
      <w:r w:rsidRPr="00C22FB1">
        <w:rPr>
          <w:szCs w:val="22"/>
        </w:rPr>
        <w:t>29 c</w:t>
      </w:r>
      <w:r w:rsidRPr="00053890">
        <w:rPr>
          <w:szCs w:val="22"/>
        </w:rPr>
        <w:t xml:space="preserve">ounties in all or parts of </w:t>
      </w:r>
      <w:r>
        <w:rPr>
          <w:szCs w:val="22"/>
        </w:rPr>
        <w:t>9</w:t>
      </w:r>
      <w:r w:rsidRPr="00053890">
        <w:rPr>
          <w:szCs w:val="22"/>
        </w:rPr>
        <w:t xml:space="preserve"> of the thirty-eight markets.</w:t>
      </w:r>
      <w:r>
        <w:rPr>
          <w:rStyle w:val="FootnoteReference"/>
          <w:szCs w:val="22"/>
        </w:rPr>
        <w:footnoteReference w:id="55"/>
      </w:r>
      <w:r w:rsidRPr="00053890">
        <w:rPr>
          <w:szCs w:val="22"/>
        </w:rPr>
        <w:t xml:space="preserve">  </w:t>
      </w:r>
      <w:r>
        <w:t>In addition, we note that Sprint already holds 200.5 megahertz of spectrum in Perry County in CMA 594 (Ohio 10 – Perry) covering approximately 20 percent of the market’s population, and would increase its holdings further to 215.5 megahertz as a result of the transaction.  In our review below, w</w:t>
      </w:r>
      <w:r w:rsidRPr="00053890">
        <w:t xml:space="preserve">e therefore look more closely at the potential competitive effects that the proposed </w:t>
      </w:r>
      <w:r>
        <w:t xml:space="preserve">post-transaction </w:t>
      </w:r>
      <w:r w:rsidRPr="00053890">
        <w:t>spectrum holdings and increased market concentration may have.</w:t>
      </w:r>
      <w:r>
        <w:rPr>
          <w:rStyle w:val="FootnoteReference"/>
        </w:rPr>
        <w:footnoteReference w:id="56"/>
      </w:r>
    </w:p>
    <w:p w14:paraId="0C8B99E8" w14:textId="77777777" w:rsidR="00B53330" w:rsidRPr="00053890" w:rsidRDefault="00B53330" w:rsidP="00B53330">
      <w:pPr>
        <w:pStyle w:val="ParaNum"/>
        <w:tabs>
          <w:tab w:val="num" w:pos="1440"/>
        </w:tabs>
        <w:ind w:left="0"/>
      </w:pPr>
      <w:r w:rsidRPr="00053890">
        <w:rPr>
          <w:i/>
        </w:rPr>
        <w:t>Record</w:t>
      </w:r>
      <w:r w:rsidRPr="00936DA3">
        <w:t xml:space="preserve">.  </w:t>
      </w:r>
      <w:r w:rsidRPr="00053890">
        <w:t xml:space="preserve">The Applicants </w:t>
      </w:r>
      <w:r>
        <w:t>agree</w:t>
      </w:r>
      <w:r w:rsidRPr="00053890">
        <w:t xml:space="preserve"> that the proposed transaction will result in the spectrum screen being exceeded </w:t>
      </w:r>
      <w:r>
        <w:t>in 29</w:t>
      </w:r>
      <w:r w:rsidRPr="00053890">
        <w:t xml:space="preserve"> counties and </w:t>
      </w:r>
      <w:r>
        <w:t xml:space="preserve">that </w:t>
      </w:r>
      <w:r w:rsidRPr="00053890">
        <w:t xml:space="preserve">Sprint currently exceeds the screen in one additional </w:t>
      </w:r>
      <w:r w:rsidRPr="00053890">
        <w:rPr>
          <w:szCs w:val="22"/>
        </w:rPr>
        <w:t>county</w:t>
      </w:r>
      <w:r>
        <w:rPr>
          <w:szCs w:val="22"/>
        </w:rPr>
        <w:t>,</w:t>
      </w:r>
      <w:r w:rsidRPr="00053890">
        <w:rPr>
          <w:rStyle w:val="FootnoteReference"/>
        </w:rPr>
        <w:footnoteReference w:id="57"/>
      </w:r>
      <w:r w:rsidRPr="00053890">
        <w:t xml:space="preserve"> </w:t>
      </w:r>
      <w:r>
        <w:t>but argue t</w:t>
      </w:r>
      <w:r w:rsidRPr="00053890">
        <w:t>hat in twelve of these thirty counties, the screen is exceeded by 10 megahertz or less.</w:t>
      </w:r>
      <w:r w:rsidRPr="00053890">
        <w:rPr>
          <w:rStyle w:val="FootnoteReference"/>
        </w:rPr>
        <w:footnoteReference w:id="58"/>
      </w:r>
      <w:r w:rsidRPr="00053890">
        <w:t xml:space="preserve">  </w:t>
      </w:r>
      <w:r>
        <w:t>The Applicants argue</w:t>
      </w:r>
      <w:r w:rsidRPr="00053890">
        <w:t xml:space="preserve"> that </w:t>
      </w:r>
      <w:r>
        <w:t>the overages are the result of attributable EBS spectrum rights, and not spectrum below 1 GHz, and that, exc</w:t>
      </w:r>
      <w:r w:rsidRPr="00053890">
        <w:t xml:space="preserve">ept for </w:t>
      </w:r>
      <w:r>
        <w:t xml:space="preserve">those </w:t>
      </w:r>
      <w:r w:rsidRPr="00053890">
        <w:t xml:space="preserve">EBS lease rights held by Sprint, </w:t>
      </w:r>
      <w:r>
        <w:t>NTELOS</w:t>
      </w:r>
      <w:r w:rsidRPr="00053890">
        <w:t xml:space="preserve"> already leases all of Sprint’s spectrum in the areas covered by the current Sprint-</w:t>
      </w:r>
      <w:r>
        <w:t>NTELOS</w:t>
      </w:r>
      <w:r w:rsidRPr="00053890">
        <w:t xml:space="preserve"> Strategic Network Alliance agreement under long-term </w:t>
      </w:r>
      <w:r w:rsidRPr="00053890">
        <w:rPr>
          <w:i/>
          <w:iCs/>
        </w:rPr>
        <w:t xml:space="preserve">de facto </w:t>
      </w:r>
      <w:r w:rsidRPr="00053890">
        <w:t>leases approved by the Commission.</w:t>
      </w:r>
      <w:r w:rsidRPr="00053890">
        <w:rPr>
          <w:rStyle w:val="FootnoteReference"/>
        </w:rPr>
        <w:footnoteReference w:id="59"/>
      </w:r>
      <w:r w:rsidRPr="00053890">
        <w:t xml:space="preserve">  </w:t>
      </w:r>
      <w:r>
        <w:t>The Applicants argue therefore that the only additional spectrum concerns are due to the aggregation of Sprint’s EBS lease rights to the parties’ combined holdings.</w:t>
      </w:r>
      <w:r>
        <w:rPr>
          <w:rStyle w:val="FootnoteReference"/>
        </w:rPr>
        <w:footnoteReference w:id="60"/>
      </w:r>
      <w:r>
        <w:t xml:space="preserve">  </w:t>
      </w:r>
      <w:r w:rsidRPr="00053890">
        <w:t xml:space="preserve">The Applicants </w:t>
      </w:r>
      <w:r>
        <w:t>assert that</w:t>
      </w:r>
      <w:r w:rsidRPr="00053890">
        <w:t xml:space="preserve"> the proposed spectrum aggregation will not create a risk of anti-competitive foreclosure</w:t>
      </w:r>
      <w:r>
        <w:t>, arguing that t</w:t>
      </w:r>
      <w:r w:rsidRPr="00053890">
        <w:t>he transaction primarily involves mid- and high-band spectrum, the Applicants’ competitors will continue to hold extensive spectrum rights, and the Commission is making available a large amount of highly valuable spectrum through its auction process.</w:t>
      </w:r>
      <w:r w:rsidRPr="00053890">
        <w:rPr>
          <w:rStyle w:val="FootnoteReference"/>
        </w:rPr>
        <w:footnoteReference w:id="61"/>
      </w:r>
      <w:r w:rsidRPr="00053890">
        <w:t xml:space="preserve">   </w:t>
      </w:r>
    </w:p>
    <w:p w14:paraId="629C12C0" w14:textId="77777777" w:rsidR="00B53330" w:rsidRPr="00053890" w:rsidRDefault="00B53330" w:rsidP="00B53330">
      <w:pPr>
        <w:pStyle w:val="ParaNum"/>
        <w:tabs>
          <w:tab w:val="num" w:pos="1440"/>
        </w:tabs>
        <w:ind w:left="0"/>
      </w:pPr>
      <w:r w:rsidRPr="00053890">
        <w:t xml:space="preserve">The Applicants also argue that the proposed transaction will not reduce competition for wireless services in the relevant geographic markets because Sprint and </w:t>
      </w:r>
      <w:r>
        <w:t>NTELOS</w:t>
      </w:r>
      <w:r w:rsidRPr="00053890">
        <w:t xml:space="preserve"> are both dependent on the other rather than </w:t>
      </w:r>
      <w:r w:rsidRPr="00053890">
        <w:rPr>
          <w:snapToGrid/>
        </w:rPr>
        <w:t>operating</w:t>
      </w:r>
      <w:r w:rsidRPr="00053890">
        <w:t xml:space="preserve"> as truly independent competitors.</w:t>
      </w:r>
      <w:r w:rsidRPr="00053890">
        <w:rPr>
          <w:rStyle w:val="FootnoteReference"/>
        </w:rPr>
        <w:footnoteReference w:id="62"/>
      </w:r>
      <w:r w:rsidRPr="00053890">
        <w:t xml:space="preserve">  Sprint states that the company does not have its own network infrastructure in many of the areas where </w:t>
      </w:r>
      <w:r>
        <w:t>NTELOS</w:t>
      </w:r>
      <w:r w:rsidRPr="00053890">
        <w:t xml:space="preserve"> has its own network coverage and </w:t>
      </w:r>
      <w:r>
        <w:t>that NTELOS</w:t>
      </w:r>
      <w:r w:rsidRPr="00053890">
        <w:t xml:space="preserve"> is dependent on Sprint as its largest customer.</w:t>
      </w:r>
      <w:r w:rsidRPr="00053890">
        <w:rPr>
          <w:rStyle w:val="FootnoteReference"/>
        </w:rPr>
        <w:footnoteReference w:id="63"/>
      </w:r>
      <w:r w:rsidRPr="00053890">
        <w:t xml:space="preserve"> </w:t>
      </w:r>
      <w:r>
        <w:t xml:space="preserve"> The Applicants assert that the competitive challenges facing NTELOS as a smaller, regional provider, are exacerbated by the company’s dependence on Sprint for revenue, leased spectrum, and roaming outside the NTELOS footprint.</w:t>
      </w:r>
      <w:r>
        <w:rPr>
          <w:rStyle w:val="FootnoteReference"/>
        </w:rPr>
        <w:footnoteReference w:id="64"/>
      </w:r>
      <w:r w:rsidRPr="00053890">
        <w:t xml:space="preserve"> </w:t>
      </w:r>
      <w:r>
        <w:t xml:space="preserve"> </w:t>
      </w:r>
      <w:r w:rsidRPr="00053890">
        <w:t>The Applicants</w:t>
      </w:r>
      <w:r>
        <w:t xml:space="preserve"> argue</w:t>
      </w:r>
      <w:r w:rsidRPr="00053890">
        <w:t xml:space="preserve"> that Sprint is not a particularly strong competitor in the areas served by </w:t>
      </w:r>
      <w:r>
        <w:t>NTELOS</w:t>
      </w:r>
      <w:r w:rsidRPr="00053890">
        <w:t xml:space="preserve"> and that the proposed transaction will strengthen competition by </w:t>
      </w:r>
      <w:r>
        <w:t>increasing</w:t>
      </w:r>
      <w:r w:rsidRPr="00053890">
        <w:t xml:space="preserve"> network investment, which will give consumers an improved, competitive option with better service.</w:t>
      </w:r>
      <w:r w:rsidRPr="00053890">
        <w:rPr>
          <w:rStyle w:val="FootnoteReference"/>
        </w:rPr>
        <w:footnoteReference w:id="65"/>
      </w:r>
      <w:r w:rsidRPr="00053890">
        <w:t xml:space="preserve">  </w:t>
      </w:r>
      <w:r>
        <w:t>Further, the Applicants claim that the transaction would not create competitive concerns resulting from an increase in concentration.</w:t>
      </w:r>
      <w:r>
        <w:rPr>
          <w:rStyle w:val="FootnoteReference"/>
        </w:rPr>
        <w:footnoteReference w:id="66"/>
      </w:r>
      <w:r>
        <w:t xml:space="preserve">  </w:t>
      </w:r>
    </w:p>
    <w:p w14:paraId="188835CE" w14:textId="77777777" w:rsidR="00B53330" w:rsidRDefault="00B53330" w:rsidP="00B53330">
      <w:pPr>
        <w:pStyle w:val="ParaNum"/>
        <w:tabs>
          <w:tab w:val="num" w:pos="1440"/>
        </w:tabs>
        <w:ind w:left="0"/>
      </w:pPr>
      <w:r w:rsidRPr="00053890">
        <w:rPr>
          <w:i/>
        </w:rPr>
        <w:t>Market-Specific Review</w:t>
      </w:r>
      <w:r w:rsidRPr="00936DA3">
        <w:t xml:space="preserve">.  </w:t>
      </w:r>
      <w:r w:rsidRPr="00053890">
        <w:t xml:space="preserve">Generally, in undertaking our analysis, we consider various competitive variables that </w:t>
      </w:r>
      <w:r w:rsidRPr="00053890">
        <w:rPr>
          <w:snapToGrid/>
        </w:rPr>
        <w:t>help</w:t>
      </w:r>
      <w:r w:rsidRPr="00053890">
        <w:t xml:space="preserve"> to predict the likelihood of competitive harm post-transaction.  These competitive variables include, but are not limited to:  the total number of rival service providers; the number of rival firms that can offer competitive service plans; the coverage by technology of the firms’ respective networks; the rival firms’ market shares; the combined entity’s post-transaction market share and how that share changes as a result of the transaction; the amount of spectrum suitable for the provision of mobile telephony/broadband services controlled by the combined entity; and the spectrum holdings of each of the rival service providers.</w:t>
      </w:r>
      <w:r w:rsidRPr="00936DA3">
        <w:rPr>
          <w:sz w:val="20"/>
          <w:vertAlign w:val="superscript"/>
        </w:rPr>
        <w:footnoteReference w:id="67"/>
      </w:r>
      <w:r w:rsidRPr="00053890">
        <w:t xml:space="preserve"> </w:t>
      </w:r>
      <w:r>
        <w:t xml:space="preserve"> </w:t>
      </w:r>
    </w:p>
    <w:p w14:paraId="3C84E273" w14:textId="77777777" w:rsidR="00B53330" w:rsidRDefault="00B53330" w:rsidP="00B53330">
      <w:pPr>
        <w:pStyle w:val="ParaNum"/>
        <w:tabs>
          <w:tab w:val="num" w:pos="1440"/>
        </w:tabs>
        <w:ind w:left="0"/>
      </w:pPr>
      <w:r>
        <w:rPr>
          <w:i/>
        </w:rPr>
        <w:t xml:space="preserve">Competitive </w:t>
      </w:r>
      <w:r w:rsidRPr="007D63E0">
        <w:rPr>
          <w:i/>
        </w:rPr>
        <w:t>Evaluation</w:t>
      </w:r>
      <w:r>
        <w:t>.  We disagree with various of the Applicants’ general arguments that this transaction as originally proposed presents limited competitive impacts.  First, we disagree with the assertion that the instant transaction only involves the additional aggregation of Sprint’s EBS lease rights to the parties’ combined holdings.</w:t>
      </w:r>
      <w:r>
        <w:rPr>
          <w:rStyle w:val="FootnoteReference"/>
        </w:rPr>
        <w:footnoteReference w:id="68"/>
      </w:r>
      <w:r>
        <w:t xml:space="preserve">  As a result of the instant transaction, Sprint would be acquiring from NTELOS varying amounts of PCS, AWS-1, and BRS spectrum in which Sprint holds no current interest.  When added to Sprint’s currently attributable spectrum, Sprint’s holdings trigger the spectrum screen by a significant amount.  Specifically, we find that the transaction as originally proposed has some potential to harm the public interest through foreclosure or raising rivals’ costs, given Sprint’s proposed post-transaction spectrum holdings, in certain markets in Virginia, as discussed below.  Further, we disagree with the Applicants’ assertion that the proposed transaction will not reduce competition in these markets.  As a result of the proposed transaction, the seventh largest independent facilities-based service provider in the United States would be exiting the mobile wireless marketplace.</w:t>
      </w:r>
      <w:r>
        <w:rPr>
          <w:rStyle w:val="FootnoteReference"/>
        </w:rPr>
        <w:footnoteReference w:id="69"/>
      </w:r>
      <w:r>
        <w:t xml:space="preserve">  In many of the markets implicated by the proposed transaction, the number of service providers with a significant market share would be reduced, and furthermore, in certain markets, the number of service providers with a significant market share would be reduced from four to three.  This raises some potential competitive concerns with respect to increased market concentration.  We begin with our analysis of the Virginia markets, and then turn to our analysis of the West Virginia markets.  Finally, we evaluate the remaining markets subject to the instant transaction in parts of Kentucky, Maryland, North Carolina, Ohio and Pennsylvania.</w:t>
      </w:r>
    </w:p>
    <w:p w14:paraId="50F01B9C" w14:textId="77777777" w:rsidR="00B53330" w:rsidRDefault="00B53330" w:rsidP="00B53330">
      <w:pPr>
        <w:pStyle w:val="ParaNum"/>
        <w:widowControl/>
        <w:tabs>
          <w:tab w:val="num" w:pos="1440"/>
        </w:tabs>
        <w:ind w:left="0"/>
      </w:pPr>
      <w:r w:rsidRPr="00075569">
        <w:rPr>
          <w:i/>
        </w:rPr>
        <w:t>Virginia Markets</w:t>
      </w:r>
      <w:r w:rsidRPr="00497966">
        <w:t>.</w:t>
      </w:r>
      <w:r w:rsidRPr="00053890">
        <w:t xml:space="preserve">  </w:t>
      </w:r>
      <w:r>
        <w:t>We begin with our evaluation of the cluster of 15</w:t>
      </w:r>
      <w:r w:rsidRPr="00053890">
        <w:t xml:space="preserve"> markets in Virginia.</w:t>
      </w:r>
      <w:r>
        <w:rPr>
          <w:rStyle w:val="FootnoteReference"/>
        </w:rPr>
        <w:footnoteReference w:id="70"/>
      </w:r>
      <w:r w:rsidRPr="00053890">
        <w:t xml:space="preserve">  </w:t>
      </w:r>
      <w:r>
        <w:t>Of these 15 markets, six markets trigger both the HHI screen and the spectrum screen</w:t>
      </w:r>
      <w:r w:rsidRPr="00053890">
        <w:t xml:space="preserve">: </w:t>
      </w:r>
      <w:r>
        <w:t xml:space="preserve"> CMA 157 (</w:t>
      </w:r>
      <w:r w:rsidRPr="00053890">
        <w:t>Roanoke, VA</w:t>
      </w:r>
      <w:r>
        <w:t>),</w:t>
      </w:r>
      <w:r w:rsidRPr="00053890">
        <w:t xml:space="preserve"> </w:t>
      </w:r>
      <w:r>
        <w:t>CMA 203 (</w:t>
      </w:r>
      <w:r w:rsidRPr="00053890">
        <w:t>Lynchburg, VA</w:t>
      </w:r>
      <w:r>
        <w:t>),</w:t>
      </w:r>
      <w:r w:rsidRPr="006E29EF">
        <w:t xml:space="preserve"> </w:t>
      </w:r>
      <w:r>
        <w:t>CMA 256 (</w:t>
      </w:r>
      <w:r w:rsidRPr="006E29EF">
        <w:t>Charlottesville, VA</w:t>
      </w:r>
      <w:r>
        <w:t>),</w:t>
      </w:r>
      <w:r w:rsidRPr="00053890">
        <w:t xml:space="preserve"> </w:t>
      </w:r>
      <w:r>
        <w:t>CMA 684 (Virginia 4 – Bedford</w:t>
      </w:r>
      <w:r w:rsidRPr="006E29EF">
        <w:t>)</w:t>
      </w:r>
      <w:r w:rsidRPr="00053890">
        <w:t>,</w:t>
      </w:r>
      <w:r w:rsidRPr="00053890">
        <w:rPr>
          <w:rStyle w:val="FootnoteReference"/>
        </w:rPr>
        <w:t xml:space="preserve"> </w:t>
      </w:r>
      <w:r>
        <w:t>CMA 685 (</w:t>
      </w:r>
      <w:r w:rsidRPr="006E29EF">
        <w:t>Virginia 5 – Bath</w:t>
      </w:r>
      <w:r>
        <w:t>)</w:t>
      </w:r>
      <w:r w:rsidRPr="006E29EF">
        <w:t>,</w:t>
      </w:r>
      <w:r w:rsidRPr="00053890">
        <w:t xml:space="preserve"> and </w:t>
      </w:r>
      <w:r>
        <w:t>CMA 686 (</w:t>
      </w:r>
      <w:r w:rsidRPr="006E29EF">
        <w:t>Virginia 6 – Highland</w:t>
      </w:r>
      <w:r>
        <w:t>)</w:t>
      </w:r>
      <w:r w:rsidRPr="006E29EF">
        <w:t>.</w:t>
      </w:r>
      <w:r w:rsidRPr="006E29EF">
        <w:rPr>
          <w:rStyle w:val="FootnoteReference"/>
        </w:rPr>
        <w:footnoteReference w:id="71"/>
      </w:r>
      <w:r>
        <w:t xml:space="preserve">  In addition, two markets trigger the HHI screen only – CMA 262 (Danville, VA) and CMA 690 (Virginia 10 – Frederick) – and one market triggers the spectrum screen only – CMA 683 (Virginia 3 – Giles).</w:t>
      </w:r>
      <w:r w:rsidRPr="00053890">
        <w:rPr>
          <w:rStyle w:val="FootnoteReference"/>
        </w:rPr>
        <w:footnoteReference w:id="72"/>
      </w:r>
      <w:r>
        <w:t xml:space="preserve">  Based upon our evaluation of this market cluster, we find some potential for some competitive harms from increased spectrum aggregation, and we also note that consumer choice would be reduced due to the loss of an independent facilities-based service provider with significant market share.</w:t>
      </w:r>
    </w:p>
    <w:p w14:paraId="2660149A" w14:textId="77777777" w:rsidR="00B53330" w:rsidRDefault="00B53330" w:rsidP="00B53330">
      <w:pPr>
        <w:pStyle w:val="ParaNum"/>
        <w:tabs>
          <w:tab w:val="num" w:pos="1440"/>
        </w:tabs>
        <w:ind w:left="0"/>
      </w:pPr>
      <w:r w:rsidRPr="00541C52">
        <w:rPr>
          <w:szCs w:val="22"/>
          <w:u w:val="single"/>
        </w:rPr>
        <w:t>Increased Spectrum Aggregation</w:t>
      </w:r>
      <w:r>
        <w:rPr>
          <w:szCs w:val="22"/>
        </w:rPr>
        <w:t xml:space="preserve">.  </w:t>
      </w:r>
      <w:r w:rsidRPr="00BE66EB">
        <w:rPr>
          <w:szCs w:val="22"/>
        </w:rPr>
        <w:t>In</w:t>
      </w:r>
      <w:r w:rsidRPr="005B7D2F">
        <w:rPr>
          <w:szCs w:val="22"/>
        </w:rPr>
        <w:t xml:space="preserve"> the seven Virginia markets trigge</w:t>
      </w:r>
      <w:r>
        <w:rPr>
          <w:szCs w:val="22"/>
        </w:rPr>
        <w:t>re</w:t>
      </w:r>
      <w:r w:rsidRPr="005B7D2F">
        <w:rPr>
          <w:szCs w:val="22"/>
        </w:rPr>
        <w:t>d by the newly revised spectrum screen, Sprint, post-transaction, would hold a maximum of 240.5 megahertz</w:t>
      </w:r>
      <w:r>
        <w:rPr>
          <w:szCs w:val="22"/>
        </w:rPr>
        <w:t xml:space="preserve"> of spectrum in total</w:t>
      </w:r>
      <w:r w:rsidRPr="005B7D2F">
        <w:rPr>
          <w:szCs w:val="22"/>
        </w:rPr>
        <w:t xml:space="preserve">, </w:t>
      </w:r>
      <w:r>
        <w:rPr>
          <w:szCs w:val="22"/>
        </w:rPr>
        <w:t xml:space="preserve">which is </w:t>
      </w:r>
      <w:r w:rsidRPr="005B7D2F">
        <w:rPr>
          <w:szCs w:val="22"/>
        </w:rPr>
        <w:t xml:space="preserve">approximately 40 megahertz above the </w:t>
      </w:r>
      <w:r>
        <w:rPr>
          <w:szCs w:val="22"/>
        </w:rPr>
        <w:t xml:space="preserve">newly revised </w:t>
      </w:r>
      <w:r w:rsidRPr="005B7D2F">
        <w:rPr>
          <w:szCs w:val="22"/>
        </w:rPr>
        <w:t>screen</w:t>
      </w:r>
      <w:r>
        <w:rPr>
          <w:szCs w:val="22"/>
        </w:rPr>
        <w:t xml:space="preserve"> of 199 megahertz</w:t>
      </w:r>
      <w:r w:rsidRPr="005B7D2F">
        <w:rPr>
          <w:szCs w:val="22"/>
        </w:rPr>
        <w:t xml:space="preserve">.  </w:t>
      </w:r>
      <w:r>
        <w:rPr>
          <w:szCs w:val="22"/>
        </w:rPr>
        <w:t>Specifically, as</w:t>
      </w:r>
      <w:r w:rsidRPr="005B7D2F">
        <w:rPr>
          <w:szCs w:val="22"/>
        </w:rPr>
        <w:t xml:space="preserve"> a result of the instant transaction, Sprint would</w:t>
      </w:r>
      <w:r w:rsidRPr="005B7D2F">
        <w:rPr>
          <w:bCs/>
          <w:szCs w:val="22"/>
        </w:rPr>
        <w:t xml:space="preserve"> hold up to 240.5 megahertz of spectrum in all or </w:t>
      </w:r>
      <w:r w:rsidRPr="00AE595C">
        <w:rPr>
          <w:bCs/>
          <w:szCs w:val="22"/>
        </w:rPr>
        <w:t xml:space="preserve">parts of </w:t>
      </w:r>
      <w:r w:rsidRPr="0061074A">
        <w:rPr>
          <w:szCs w:val="22"/>
        </w:rPr>
        <w:t xml:space="preserve">Roanoke, Virginia 3 – Giles, Virginia 4 – Bedford, and Virginia 5 – Bath, </w:t>
      </w:r>
      <w:r w:rsidRPr="0061074A">
        <w:rPr>
          <w:bCs/>
          <w:szCs w:val="22"/>
        </w:rPr>
        <w:t>204.9 megahertz of spectrum</w:t>
      </w:r>
      <w:r w:rsidRPr="003D0A70">
        <w:rPr>
          <w:szCs w:val="22"/>
        </w:rPr>
        <w:t xml:space="preserve"> in all or parts of Lynchburg and Charlottesville, and </w:t>
      </w:r>
      <w:r w:rsidRPr="003D0A70">
        <w:rPr>
          <w:bCs/>
          <w:szCs w:val="22"/>
        </w:rPr>
        <w:t xml:space="preserve">222.7 megahertz of spectrum in parts of </w:t>
      </w:r>
      <w:r w:rsidRPr="004D0E06">
        <w:rPr>
          <w:szCs w:val="22"/>
        </w:rPr>
        <w:t>Virginia 6 – Highland</w:t>
      </w:r>
      <w:r w:rsidRPr="004D0E06">
        <w:rPr>
          <w:bCs/>
          <w:szCs w:val="22"/>
        </w:rPr>
        <w:t xml:space="preserve">.  </w:t>
      </w:r>
      <w:r w:rsidRPr="004D0E06">
        <w:rPr>
          <w:szCs w:val="22"/>
        </w:rPr>
        <w:t xml:space="preserve">The four other service providers with competitive presence in </w:t>
      </w:r>
      <w:r>
        <w:rPr>
          <w:szCs w:val="22"/>
        </w:rPr>
        <w:t xml:space="preserve">some or all of </w:t>
      </w:r>
      <w:r w:rsidRPr="004D0E06">
        <w:rPr>
          <w:szCs w:val="22"/>
        </w:rPr>
        <w:t xml:space="preserve">these markets, AT&amp;T, T-Mobile, USCC, and Verizon Wireless, have spectrum holdings ranging from </w:t>
      </w:r>
      <w:r>
        <w:rPr>
          <w:szCs w:val="22"/>
        </w:rPr>
        <w:t xml:space="preserve">just </w:t>
      </w:r>
      <w:r w:rsidRPr="004D0E06">
        <w:rPr>
          <w:szCs w:val="22"/>
        </w:rPr>
        <w:t>12 megahertz to 132 megahertz of spectrum</w:t>
      </w:r>
      <w:r w:rsidRPr="00FC6A8E">
        <w:t>.</w:t>
      </w:r>
      <w:r>
        <w:rPr>
          <w:rStyle w:val="FootnoteReference"/>
        </w:rPr>
        <w:footnoteReference w:id="73"/>
      </w:r>
      <w:r>
        <w:t xml:space="preserve">  Of note is that Sprint’s post-transaction spectrum holdings are substantially higher than its rival service providers in these seven markets – indeed at least double in certain markets such as Roanoke or Lynchburg.  We find that this level of spectrum aggregation potentially could result in competitive harms through raising rival service providers’ costs or foreclosure.  </w:t>
      </w:r>
    </w:p>
    <w:p w14:paraId="4F03251F" w14:textId="0C2128D9" w:rsidR="00B53330" w:rsidRDefault="00B53330" w:rsidP="00B53330">
      <w:pPr>
        <w:pStyle w:val="ParaNum"/>
        <w:widowControl/>
        <w:tabs>
          <w:tab w:val="num" w:pos="1440"/>
        </w:tabs>
        <w:ind w:left="0"/>
      </w:pPr>
      <w:r w:rsidRPr="00541C52">
        <w:rPr>
          <w:u w:val="single"/>
        </w:rPr>
        <w:t>Exit of a Facilities-Based Service Provider</w:t>
      </w:r>
      <w:r>
        <w:t>.  In those eight markets that trigger the HHI screen,</w:t>
      </w:r>
      <w:r>
        <w:rPr>
          <w:rStyle w:val="FootnoteReference"/>
        </w:rPr>
        <w:footnoteReference w:id="74"/>
      </w:r>
      <w:r>
        <w:t xml:space="preserve"> we begin by noting that NTELOS has a significant market share in all of the markets, with the exception of Virginia 10 – Frederick.</w:t>
      </w:r>
      <w:r>
        <w:rPr>
          <w:rStyle w:val="FootnoteReference"/>
          <w:szCs w:val="22"/>
        </w:rPr>
        <w:footnoteReference w:id="75"/>
      </w:r>
      <w:r>
        <w:t xml:space="preserve">  NTELOS’s market share pre-transaction ranges from approximately </w:t>
      </w:r>
      <w:r w:rsidRPr="0049252E">
        <w:rPr>
          <w:b/>
          <w:bCs/>
        </w:rPr>
        <w:t>[</w:t>
      </w:r>
      <w:r w:rsidR="00D87AC4">
        <w:rPr>
          <w:b/>
          <w:bCs/>
        </w:rPr>
        <w:t>REDACTED</w:t>
      </w:r>
      <w:r w:rsidRPr="00E66F20">
        <w:rPr>
          <w:b/>
          <w:bCs/>
        </w:rPr>
        <w:t xml:space="preserve">] </w:t>
      </w:r>
      <w:r w:rsidRPr="00BB5F2E">
        <w:rPr>
          <w:bCs/>
        </w:rPr>
        <w:t xml:space="preserve">percent.  </w:t>
      </w:r>
      <w:r>
        <w:t>Post-transaction,</w:t>
      </w:r>
      <w:r w:rsidRPr="0049252E">
        <w:rPr>
          <w:szCs w:val="22"/>
        </w:rPr>
        <w:t xml:space="preserve"> </w:t>
      </w:r>
      <w:r>
        <w:t xml:space="preserve">Sprint’s market share, attributing the Sprint-branded Shentel subscribers, would range from approximately </w:t>
      </w:r>
      <w:r w:rsidRPr="0049252E">
        <w:rPr>
          <w:b/>
          <w:bCs/>
        </w:rPr>
        <w:t>[</w:t>
      </w:r>
      <w:r w:rsidR="00D87AC4">
        <w:rPr>
          <w:b/>
          <w:bCs/>
        </w:rPr>
        <w:t>REDACTED</w:t>
      </w:r>
      <w:r w:rsidRPr="00E66F20">
        <w:rPr>
          <w:b/>
          <w:bCs/>
        </w:rPr>
        <w:t xml:space="preserve">] </w:t>
      </w:r>
      <w:r w:rsidRPr="00E66F20">
        <w:rPr>
          <w:szCs w:val="22"/>
        </w:rPr>
        <w:t>percent.</w:t>
      </w:r>
      <w:r w:rsidRPr="00053890">
        <w:rPr>
          <w:rStyle w:val="FootnoteReference"/>
        </w:rPr>
        <w:footnoteReference w:id="76"/>
      </w:r>
      <w:r>
        <w:t xml:space="preserve">  </w:t>
      </w:r>
      <w:r w:rsidRPr="0049252E">
        <w:rPr>
          <w:bCs/>
        </w:rPr>
        <w:t xml:space="preserve">Further, </w:t>
      </w:r>
      <w:r w:rsidRPr="00E66F20">
        <w:rPr>
          <w:bCs/>
        </w:rPr>
        <w:t xml:space="preserve">based on </w:t>
      </w:r>
      <w:r>
        <w:rPr>
          <w:bCs/>
        </w:rPr>
        <w:t>our analysis of the</w:t>
      </w:r>
      <w:r w:rsidRPr="00E66F20">
        <w:rPr>
          <w:bCs/>
        </w:rPr>
        <w:t xml:space="preserve"> porting data, in </w:t>
      </w:r>
      <w:r>
        <w:rPr>
          <w:bCs/>
        </w:rPr>
        <w:t>two</w:t>
      </w:r>
      <w:r w:rsidRPr="00E66F20">
        <w:rPr>
          <w:bCs/>
        </w:rPr>
        <w:t xml:space="preserve"> of the markets in this cluster, NTELOS and Sprint are r</w:t>
      </w:r>
      <w:r w:rsidRPr="00E64E02">
        <w:rPr>
          <w:bCs/>
        </w:rPr>
        <w:t>elatively close substitutes.</w:t>
      </w:r>
      <w:r>
        <w:rPr>
          <w:rStyle w:val="FootnoteReference"/>
          <w:bCs/>
        </w:rPr>
        <w:footnoteReference w:id="77"/>
      </w:r>
      <w:r w:rsidRPr="0049252E">
        <w:rPr>
          <w:bCs/>
        </w:rPr>
        <w:t xml:space="preserve">  </w:t>
      </w:r>
      <w:r>
        <w:t>I</w:t>
      </w:r>
      <w:r w:rsidRPr="009110DC">
        <w:t xml:space="preserve">n terms </w:t>
      </w:r>
      <w:r w:rsidRPr="0049252E">
        <w:rPr>
          <w:kern w:val="0"/>
        </w:rPr>
        <w:t>of</w:t>
      </w:r>
      <w:r w:rsidRPr="009110DC">
        <w:t xml:space="preserve"> population and land area coverage</w:t>
      </w:r>
      <w:r>
        <w:t>,</w:t>
      </w:r>
      <w:r w:rsidRPr="00951D01">
        <w:rPr>
          <w:rStyle w:val="FootnoteReference"/>
        </w:rPr>
        <w:footnoteReference w:id="78"/>
      </w:r>
      <w:r>
        <w:t xml:space="preserve"> we note that based on Mosaik, NTELOS has significant 3G population coverage in all these eight markets, with the exception of Virginia 3 – Giles.</w:t>
      </w:r>
      <w:r>
        <w:rPr>
          <w:rStyle w:val="FootnoteReference"/>
        </w:rPr>
        <w:footnoteReference w:id="79"/>
      </w:r>
      <w:r>
        <w:t xml:space="preserve">  In addition, NTELOS has also built out an LTE network that covers at least 70 percent of the population in Roanoke, Charlottesville, and Virginia 6 – Highland, while in the other markets in the cluster, it covers at least approximately 40 percent of the population with LTE.</w:t>
      </w:r>
      <w:r>
        <w:rPr>
          <w:rStyle w:val="FootnoteReference"/>
        </w:rPr>
        <w:footnoteReference w:id="80"/>
      </w:r>
      <w:r>
        <w:t xml:space="preserve">  Two service providers, AT&amp;T and Verizon Wireless, have significant 3G population and land area coverage in these Virginia markets.</w:t>
      </w:r>
      <w:r>
        <w:rPr>
          <w:rStyle w:val="FootnoteReference"/>
        </w:rPr>
        <w:footnoteReference w:id="81"/>
      </w:r>
      <w:r>
        <w:t xml:space="preserve"> </w:t>
      </w:r>
      <w:r w:rsidRPr="00053890">
        <w:t xml:space="preserve"> </w:t>
      </w:r>
      <w:r>
        <w:t>Furthermore, these same two service providers have significant LTE population and land area coverage in most of these markets.</w:t>
      </w:r>
      <w:r>
        <w:rPr>
          <w:rStyle w:val="FootnoteReference"/>
        </w:rPr>
        <w:footnoteReference w:id="82"/>
      </w:r>
      <w:r>
        <w:t xml:space="preserve">  In the markets in which USCC has a significant market share, with the exception of Virginia 5 – Bath, it also has significant 3G population and land area coverage, and some quite extensive LTE coverage</w:t>
      </w:r>
      <w:r w:rsidRPr="00D05C52">
        <w:t>.</w:t>
      </w:r>
      <w:r>
        <w:rPr>
          <w:rStyle w:val="FootnoteReference"/>
        </w:rPr>
        <w:footnoteReference w:id="83"/>
      </w:r>
      <w:r>
        <w:t xml:space="preserve">  In the markets in which T-Mobile has at least some market presence, it covers at least half the population with 3G, and with the exception of Virginia 4 – Bedford, it covers close to 70 percent of the population with LTE.</w:t>
      </w:r>
      <w:r>
        <w:rPr>
          <w:rStyle w:val="FootnoteReference"/>
        </w:rPr>
        <w:footnoteReference w:id="84"/>
      </w:r>
    </w:p>
    <w:p w14:paraId="46B3F38C" w14:textId="77777777" w:rsidR="00B53330" w:rsidRPr="00053890" w:rsidRDefault="00B53330" w:rsidP="00B53330">
      <w:pPr>
        <w:pStyle w:val="ParaNum"/>
        <w:tabs>
          <w:tab w:val="num" w:pos="1440"/>
        </w:tabs>
        <w:ind w:left="0"/>
      </w:pPr>
      <w:r>
        <w:rPr>
          <w:i/>
        </w:rPr>
        <w:t>Evaluation</w:t>
      </w:r>
      <w:r w:rsidRPr="00936DA3">
        <w:t xml:space="preserve">.  </w:t>
      </w:r>
      <w:r>
        <w:t>Based on our review of the underlying characteristics in this market cluster, we find that the transaction as proposed in the original applications potentially could foreclose rivals’ entry or expansion or raise their costs due to Sprint’s increased spectrum aggregation of up to 40 megahertz above the screen.  As noted above, Sprint’s spectrum holdings in these markets are substantially higher, indeed more than double in some markets, than the spectrum holdings of the other significant market participants.  Further, given our review of the pleadings, data, and documents, we also have some concerns as to whether the Applicants would use all of the spectrum they propose to acquire from NTELOS to provide the public interest benefits as set out in Section IV.</w:t>
      </w:r>
      <w:r>
        <w:rPr>
          <w:rStyle w:val="FootnoteReference"/>
        </w:rPr>
        <w:footnoteReference w:id="85"/>
      </w:r>
      <w:r>
        <w:t xml:space="preserve">  In addition, we note the reduction in the competitive service offerings that would be available in these markets post-transaction as a result of the exit of NTELOS.  We conclude that the proposed spectrum divestitures in Virginia, as discussed below, help ameliorate the potential competitive harms associated with Sprint’s post-transaction spectrum holdings.  Further, we note that the Applicants’ commitments with respect to the expansion and densification of the current NTELOS network will help ensure that the public interest benefits in these markets will be fully realized on a timely basis.</w:t>
      </w:r>
    </w:p>
    <w:p w14:paraId="0093212C" w14:textId="77777777" w:rsidR="00B53330" w:rsidRDefault="00B53330" w:rsidP="00B53330">
      <w:pPr>
        <w:pStyle w:val="ParaNum"/>
        <w:widowControl/>
        <w:tabs>
          <w:tab w:val="num" w:pos="1440"/>
        </w:tabs>
        <w:ind w:left="0"/>
      </w:pPr>
      <w:r w:rsidRPr="00075569">
        <w:rPr>
          <w:i/>
        </w:rPr>
        <w:t>West Virginia Markets</w:t>
      </w:r>
      <w:r w:rsidRPr="00936DA3">
        <w:t>.</w:t>
      </w:r>
      <w:r w:rsidRPr="0065010D">
        <w:t xml:space="preserve">  </w:t>
      </w:r>
      <w:r w:rsidRPr="00EC217B">
        <w:t>We turn next to our review of the West Virginia markets at issue in the proposed</w:t>
      </w:r>
      <w:r w:rsidRPr="0039464B">
        <w:t xml:space="preserve"> transaction.</w:t>
      </w:r>
      <w:r>
        <w:t xml:space="preserve">  We note that four local markets in this cluster of 12 markets trigger the HHI screen:  CMA 110 (Huntington-Ashland, WV-KY-OH), </w:t>
      </w:r>
      <w:r w:rsidRPr="00974EC1">
        <w:rPr>
          <w:rStyle w:val="FootnoteReference"/>
        </w:rPr>
        <w:t xml:space="preserve"> </w:t>
      </w:r>
      <w:r>
        <w:t>CMA 140 (Charleston, WV),</w:t>
      </w:r>
      <w:r w:rsidRPr="00053890">
        <w:t xml:space="preserve"> </w:t>
      </w:r>
      <w:r>
        <w:t>CMA 703 (West Virginia 3 – Monongalia),</w:t>
      </w:r>
      <w:r w:rsidRPr="00974EC1">
        <w:rPr>
          <w:rStyle w:val="FootnoteReference"/>
        </w:rPr>
        <w:t xml:space="preserve"> </w:t>
      </w:r>
      <w:r>
        <w:t>and CMA 707 (West Virginia 7 – Raleigh).</w:t>
      </w:r>
      <w:r>
        <w:rPr>
          <w:rStyle w:val="FootnoteReference"/>
        </w:rPr>
        <w:footnoteReference w:id="86"/>
      </w:r>
      <w:r>
        <w:t xml:space="preserve">  </w:t>
      </w:r>
    </w:p>
    <w:p w14:paraId="276C4A43" w14:textId="77777777" w:rsidR="00B53330" w:rsidRPr="00BB5F2E" w:rsidRDefault="00B53330" w:rsidP="00CE15CB">
      <w:pPr>
        <w:pStyle w:val="ParaNum"/>
        <w:widowControl/>
        <w:tabs>
          <w:tab w:val="num" w:pos="1440"/>
        </w:tabs>
        <w:ind w:left="0"/>
      </w:pPr>
      <w:r w:rsidRPr="00541C52">
        <w:rPr>
          <w:u w:val="single"/>
        </w:rPr>
        <w:t>Increased Spectrum Aggregation</w:t>
      </w:r>
      <w:r w:rsidRPr="00BB5F2E">
        <w:t xml:space="preserve">. </w:t>
      </w:r>
      <w:r w:rsidRPr="00936DA3">
        <w:t xml:space="preserve"> </w:t>
      </w:r>
      <w:r>
        <w:t>No markets in this cluster trigger the spectrum screen.</w:t>
      </w:r>
      <w:r>
        <w:rPr>
          <w:rStyle w:val="FootnoteReference"/>
        </w:rPr>
        <w:footnoteReference w:id="87"/>
      </w:r>
      <w:r>
        <w:t xml:space="preserve">  In terms of spectrum holdings, Sprint’s spectrum holdings would range from 64 megahertz to 186.5 megahertz as the result of the transaction as proposed in the original applications.  The other t</w:t>
      </w:r>
      <w:r w:rsidRPr="00AF3D44">
        <w:t xml:space="preserve">hree nationwide providers’ spectrum holdings range from </w:t>
      </w:r>
      <w:r>
        <w:t>20</w:t>
      </w:r>
      <w:r w:rsidRPr="00FC6A8E">
        <w:t xml:space="preserve"> </w:t>
      </w:r>
      <w:r>
        <w:t xml:space="preserve">megahertz </w:t>
      </w:r>
      <w:r w:rsidRPr="00FC6A8E">
        <w:t xml:space="preserve">to </w:t>
      </w:r>
      <w:r>
        <w:t>143</w:t>
      </w:r>
      <w:r w:rsidRPr="00FC6A8E">
        <w:t xml:space="preserve"> megahertz of spectrum across </w:t>
      </w:r>
      <w:r>
        <w:t>these</w:t>
      </w:r>
      <w:r w:rsidRPr="00FC6A8E">
        <w:t xml:space="preserve"> </w:t>
      </w:r>
      <w:r>
        <w:t xml:space="preserve">four </w:t>
      </w:r>
      <w:r w:rsidRPr="00FC6A8E">
        <w:t>markets.</w:t>
      </w:r>
      <w:r>
        <w:rPr>
          <w:rStyle w:val="FootnoteReference"/>
        </w:rPr>
        <w:footnoteReference w:id="88"/>
      </w:r>
      <w:r>
        <w:t xml:space="preserve">  In addition, USCC holds 12 megahertz to 59 megahertz of spectrum across the four markets.</w:t>
      </w:r>
    </w:p>
    <w:p w14:paraId="0069A571" w14:textId="33E4CF8E" w:rsidR="00B53330" w:rsidRDefault="00B53330" w:rsidP="00B53330">
      <w:pPr>
        <w:pStyle w:val="ParaNum"/>
        <w:tabs>
          <w:tab w:val="num" w:pos="1440"/>
        </w:tabs>
        <w:ind w:left="0"/>
      </w:pPr>
      <w:r w:rsidRPr="00541C52">
        <w:rPr>
          <w:u w:val="single"/>
        </w:rPr>
        <w:t>Exit of a Facilities-Based Service Provider</w:t>
      </w:r>
      <w:r>
        <w:t>.  In those four markets that trigger the HHI screen,</w:t>
      </w:r>
      <w:r w:rsidRPr="00053890">
        <w:rPr>
          <w:rStyle w:val="FootnoteReference"/>
        </w:rPr>
        <w:footnoteReference w:id="89"/>
      </w:r>
      <w:r>
        <w:t xml:space="preserve"> we begin by noting NTELOS has a significant market share in all four.  NTELOS’s market share pre-transaction ranges from approximately </w:t>
      </w:r>
      <w:r w:rsidRPr="001E06B3">
        <w:rPr>
          <w:b/>
          <w:bCs/>
        </w:rPr>
        <w:t>[</w:t>
      </w:r>
      <w:r w:rsidR="00D87AC4">
        <w:rPr>
          <w:b/>
          <w:bCs/>
        </w:rPr>
        <w:t>REDACTED</w:t>
      </w:r>
      <w:r w:rsidRPr="001E06B3">
        <w:rPr>
          <w:b/>
          <w:bCs/>
        </w:rPr>
        <w:t xml:space="preserve">] </w:t>
      </w:r>
      <w:r w:rsidRPr="001E06B3">
        <w:rPr>
          <w:bCs/>
        </w:rPr>
        <w:t xml:space="preserve">percent across the four markets.  </w:t>
      </w:r>
      <w:r>
        <w:t>Post-transaction,</w:t>
      </w:r>
      <w:r w:rsidRPr="001E06B3">
        <w:rPr>
          <w:szCs w:val="22"/>
        </w:rPr>
        <w:t xml:space="preserve"> </w:t>
      </w:r>
      <w:r>
        <w:t xml:space="preserve">Sprint’s market share, attributing the Sprint-branded Shentel subscribers, would range from approximately </w:t>
      </w:r>
      <w:r w:rsidRPr="001E06B3">
        <w:rPr>
          <w:b/>
          <w:bCs/>
        </w:rPr>
        <w:t>[</w:t>
      </w:r>
      <w:r w:rsidR="00D87AC4">
        <w:rPr>
          <w:b/>
          <w:bCs/>
        </w:rPr>
        <w:t>REDACTED</w:t>
      </w:r>
      <w:r w:rsidRPr="001E06B3">
        <w:rPr>
          <w:b/>
          <w:bCs/>
        </w:rPr>
        <w:t xml:space="preserve">] </w:t>
      </w:r>
      <w:r w:rsidRPr="001E06B3">
        <w:rPr>
          <w:szCs w:val="22"/>
        </w:rPr>
        <w:t>percent.</w:t>
      </w:r>
      <w:r w:rsidRPr="00053890">
        <w:rPr>
          <w:rStyle w:val="FootnoteReference"/>
        </w:rPr>
        <w:footnoteReference w:id="90"/>
      </w:r>
      <w:r w:rsidRPr="001E06B3">
        <w:rPr>
          <w:szCs w:val="22"/>
        </w:rPr>
        <w:t xml:space="preserve">  </w:t>
      </w:r>
      <w:r>
        <w:t>The number of service providers with a significant market share would be reduced from four to three in Huntington-Ashland and Charleston, raising greater concern than in West Virginia 3 – Monongalia and West Virginia 7 – Raleigh, where the number would be reduced from five to four.</w:t>
      </w:r>
      <w:r>
        <w:rPr>
          <w:rStyle w:val="FootnoteReference"/>
        </w:rPr>
        <w:footnoteReference w:id="91"/>
      </w:r>
      <w:r>
        <w:t xml:space="preserve">  </w:t>
      </w:r>
      <w:r w:rsidRPr="009110DC">
        <w:t xml:space="preserve">In terms </w:t>
      </w:r>
      <w:r w:rsidRPr="001E06B3">
        <w:rPr>
          <w:kern w:val="0"/>
        </w:rPr>
        <w:t>of</w:t>
      </w:r>
      <w:r w:rsidRPr="009110DC">
        <w:t xml:space="preserve"> population and land area coverage</w:t>
      </w:r>
      <w:r>
        <w:t>, we note that based on Mosaik, NTELOS has significant 3G population coverage in Charleston, West Virginia 3 – Monongalia, and West Virginia 7 – Raleigh, and close to significant 3G population coverage in Huntington-Ashland.</w:t>
      </w:r>
      <w:r>
        <w:rPr>
          <w:rStyle w:val="FootnoteReference"/>
        </w:rPr>
        <w:footnoteReference w:id="92"/>
      </w:r>
      <w:r>
        <w:t xml:space="preserve">  In addition, NTELOS has also built out an LTE network that covers at least approximately 57 percent of the population across these four markets.</w:t>
      </w:r>
      <w:r>
        <w:rPr>
          <w:rStyle w:val="FootnoteReference"/>
        </w:rPr>
        <w:footnoteReference w:id="93"/>
      </w:r>
      <w:r>
        <w:t xml:space="preserve">  AT&amp;T has significant 3G and LTE coverage in all four markets, while Verizon Wireless has significant LTE coverage in all four markets, but does not have significant 3G coverage in West Virginia 3 – Monongalia, and West Virginia 7 – Raleigh.</w:t>
      </w:r>
      <w:r>
        <w:rPr>
          <w:rStyle w:val="FootnoteReference"/>
        </w:rPr>
        <w:footnoteReference w:id="94"/>
      </w:r>
      <w:r>
        <w:t xml:space="preserve">  In addition, USCC has significant 3G and LTE population and land area coverage in West Virginia 3 – Monongalia, and West Virginia 7 – Raleigh.</w:t>
      </w:r>
      <w:r>
        <w:rPr>
          <w:rStyle w:val="FootnoteReference"/>
        </w:rPr>
        <w:footnoteReference w:id="95"/>
      </w:r>
      <w:r>
        <w:t xml:space="preserve">  No other service provider has significant 3G or LTE population and land area coverage in the four markets at issue.  </w:t>
      </w:r>
    </w:p>
    <w:p w14:paraId="6FFC8866" w14:textId="77777777" w:rsidR="00B53330" w:rsidRPr="00DB0999" w:rsidRDefault="00B53330" w:rsidP="00B53330">
      <w:pPr>
        <w:pStyle w:val="ParaNum"/>
        <w:tabs>
          <w:tab w:val="num" w:pos="1440"/>
        </w:tabs>
        <w:ind w:left="0"/>
      </w:pPr>
      <w:r w:rsidRPr="00BE0110">
        <w:rPr>
          <w:i/>
        </w:rPr>
        <w:t>Evaluation</w:t>
      </w:r>
      <w:r w:rsidRPr="00936DA3">
        <w:t xml:space="preserve">.  </w:t>
      </w:r>
      <w:r>
        <w:t>Based on our review of the underlying characteristics in this market cluster, we note first that we do not find that spectrum divestitures are necessary in West Virginia to address any potential competitive concerns.  We note however that the number of service providers with a significant market share would be reduced from four to three in two of the four markets we evaluated, namely Huntington-Ashland and Charleston.  Further, NTELOS has a significant market share in all four markets, and as also discussed above, there would be a reduction in the competitive service offerings that would be available in these markets post-transaction as a result of the exit of NTELOS.  In addition, NTELOS has significant, or close to significant, 3G population coverage in these markets.  To the extent that we have potential competitive concerns arising from increased market concentration, we note that the Applicants’ commitments with respect to the expansion and densification of the current NTELOS network will help ensure that the public interest benefits in these markets will be fully realized on a timely basis.</w:t>
      </w:r>
    </w:p>
    <w:p w14:paraId="460996EC" w14:textId="77777777" w:rsidR="00B53330" w:rsidRDefault="00B53330" w:rsidP="00B53330">
      <w:pPr>
        <w:pStyle w:val="ParaNum"/>
        <w:tabs>
          <w:tab w:val="num" w:pos="1440"/>
        </w:tabs>
        <w:ind w:left="0"/>
      </w:pPr>
      <w:r w:rsidRPr="00075569">
        <w:rPr>
          <w:i/>
        </w:rPr>
        <w:t>Kentucky, Maryland, North Carolina, Ohio</w:t>
      </w:r>
      <w:r w:rsidRPr="0038222F">
        <w:rPr>
          <w:i/>
        </w:rPr>
        <w:t>,</w:t>
      </w:r>
      <w:r w:rsidRPr="00075569">
        <w:rPr>
          <w:i/>
        </w:rPr>
        <w:t xml:space="preserve"> and Pennsylvania Markets</w:t>
      </w:r>
      <w:r w:rsidRPr="0038222F">
        <w:rPr>
          <w:i/>
        </w:rPr>
        <w:t>.</w:t>
      </w:r>
      <w:r w:rsidRPr="00053890">
        <w:t xml:space="preserve"> </w:t>
      </w:r>
      <w:r>
        <w:t xml:space="preserve"> Finally, we evaluate the remaining 11 markets, where we find, for the reasons set out below, that the likelihood of competitive harm is low.  We note first that no markets in Kentucky, Maryland, or North Carolina trigger our two-part screen.</w:t>
      </w:r>
      <w:r>
        <w:rPr>
          <w:rStyle w:val="FootnoteReference"/>
        </w:rPr>
        <w:footnoteReference w:id="96"/>
      </w:r>
      <w:r>
        <w:t xml:space="preserve">  In Ohio, Sprint would increase its spectrum holdings in Perry County in CMA 594 (Ohio 10 – Perry), which includes only approximately 20 percent of the market’s population, from 200.5 megahertz to 215.5 megahertz as a result of the instant transaction.</w:t>
      </w:r>
      <w:r>
        <w:rPr>
          <w:rStyle w:val="FootnoteReference"/>
        </w:rPr>
        <w:footnoteReference w:id="97"/>
      </w:r>
      <w:r>
        <w:t xml:space="preserve">  Given rival service providers’ market shares, spectrum holdings, and current 3G and LTE coverage by rival service providers across the entire market, we find that the incremental competitive effect of Sprint acquiring an additional 15 megahertz of PCS spectrum in Perry County is unlikely to lead to competitive harm in the market as a whole.</w:t>
      </w:r>
    </w:p>
    <w:p w14:paraId="78EFAE87" w14:textId="0E71253F" w:rsidR="00B53330" w:rsidRDefault="00B53330" w:rsidP="00B53330">
      <w:pPr>
        <w:pStyle w:val="ParaNum"/>
        <w:widowControl/>
        <w:tabs>
          <w:tab w:val="num" w:pos="1440"/>
        </w:tabs>
        <w:ind w:left="0"/>
      </w:pPr>
      <w:r>
        <w:t>Two CMAs in Pennsylvania, CMA 225 (Altoona, PA) and CMA 622 (Pennsylvania 11 – Huntingdon), each trigger the spectrum screen.</w:t>
      </w:r>
      <w:r>
        <w:rPr>
          <w:rStyle w:val="FootnoteReference"/>
        </w:rPr>
        <w:footnoteReference w:id="98"/>
      </w:r>
      <w:r>
        <w:t xml:space="preserve">  As a result of the instant transaction, Sprint</w:t>
      </w:r>
      <w:r w:rsidRPr="00DB0999">
        <w:t xml:space="preserve"> </w:t>
      </w:r>
      <w:r>
        <w:t>would hold 212.7 megahertz of spectrum in Altoona and in Huntingdon County, which includes approximately 39 percent of the population of Pennsylvania 11 – Huntingdon.  The other t</w:t>
      </w:r>
      <w:r w:rsidRPr="00AF3D44">
        <w:t xml:space="preserve">hree nationwide providers’ spectrum holdings range from </w:t>
      </w:r>
      <w:r>
        <w:t>7</w:t>
      </w:r>
      <w:r w:rsidRPr="00FC6A8E">
        <w:t xml:space="preserve">0 </w:t>
      </w:r>
      <w:r>
        <w:t xml:space="preserve">megahertz </w:t>
      </w:r>
      <w:r w:rsidRPr="00FC6A8E">
        <w:t xml:space="preserve">to </w:t>
      </w:r>
      <w:r>
        <w:t>125</w:t>
      </w:r>
      <w:r w:rsidRPr="00FC6A8E">
        <w:t xml:space="preserve"> megahertz of spectrum across the </w:t>
      </w:r>
      <w:r>
        <w:t>two</w:t>
      </w:r>
      <w:r w:rsidRPr="00FC6A8E">
        <w:t xml:space="preserve"> markets.</w:t>
      </w:r>
      <w:r>
        <w:rPr>
          <w:rStyle w:val="FootnoteReference"/>
        </w:rPr>
        <w:footnoteReference w:id="99"/>
      </w:r>
      <w:r w:rsidRPr="00FC6A8E">
        <w:t xml:space="preserve">  </w:t>
      </w:r>
      <w:r>
        <w:t>In each of the CMAs, the two leading nationwide service providers, AT&amp;T and Verizon Wireless, have significant market shares.</w:t>
      </w:r>
      <w:r>
        <w:rPr>
          <w:rStyle w:val="FootnoteReference"/>
        </w:rPr>
        <w:footnoteReference w:id="100"/>
      </w:r>
      <w:r>
        <w:t xml:space="preserve">  In addition, Sprint has a significant market share in Altoona, while T-Mobile has some market presence there.  Sprint also has some market presence in Pennsylvania 11 – Huntingdon.</w:t>
      </w:r>
      <w:r>
        <w:rPr>
          <w:rStyle w:val="FootnoteReference"/>
        </w:rPr>
        <w:footnoteReference w:id="101"/>
      </w:r>
      <w:r>
        <w:t xml:space="preserve">  </w:t>
      </w:r>
      <w:r w:rsidRPr="009110DC">
        <w:t xml:space="preserve">In terms </w:t>
      </w:r>
      <w:r w:rsidRPr="003066F8">
        <w:rPr>
          <w:kern w:val="0"/>
        </w:rPr>
        <w:t>of</w:t>
      </w:r>
      <w:r w:rsidRPr="009110DC">
        <w:t xml:space="preserve"> population and land area coverage</w:t>
      </w:r>
      <w:r>
        <w:t>, the two leading nationwide service providers, AT&amp;T and Verizon Wireless, have significant 3G and LTE coverage.</w:t>
      </w:r>
      <w:r>
        <w:rPr>
          <w:rStyle w:val="FootnoteReference"/>
          <w:szCs w:val="22"/>
        </w:rPr>
        <w:footnoteReference w:id="102"/>
      </w:r>
      <w:r>
        <w:t xml:space="preserve">  In addition, Sprint has significant 3G and LTE coverage in Altoona, and covers over 40 percent of the population with both in Pennsylvania 11 – Huntingdon.</w:t>
      </w:r>
      <w:r>
        <w:rPr>
          <w:rStyle w:val="FootnoteReference"/>
        </w:rPr>
        <w:footnoteReference w:id="103"/>
      </w:r>
      <w:r>
        <w:t xml:space="preserve">  We note that NTELOS has no market presence or market coverage in either of these two markets and that accordingly, the instant transaction would not reduce the current number of significant service providers.  </w:t>
      </w:r>
    </w:p>
    <w:p w14:paraId="1E07663C" w14:textId="77777777" w:rsidR="00B53330" w:rsidRDefault="00B53330" w:rsidP="00B53330">
      <w:pPr>
        <w:pStyle w:val="ParaNum"/>
        <w:widowControl/>
        <w:tabs>
          <w:tab w:val="num" w:pos="1440"/>
        </w:tabs>
        <w:ind w:left="0"/>
      </w:pPr>
      <w:r>
        <w:rPr>
          <w:i/>
        </w:rPr>
        <w:t>Evaluation</w:t>
      </w:r>
      <w:r w:rsidRPr="00936DA3">
        <w:t xml:space="preserve">.  </w:t>
      </w:r>
      <w:r>
        <w:t>Based on our review of the underlying market characteristics, including rival service providers’ market shares, spectrum holdings, and current 3G and LTE coverage by rival service providers across these markets, w</w:t>
      </w:r>
      <w:r w:rsidRPr="003B0AE1">
        <w:t xml:space="preserve">e find </w:t>
      </w:r>
      <w:r>
        <w:t xml:space="preserve">overall </w:t>
      </w:r>
      <w:r w:rsidRPr="003B0AE1">
        <w:t xml:space="preserve">that the acquisition of </w:t>
      </w:r>
      <w:r>
        <w:t>the NTELOS</w:t>
      </w:r>
      <w:r w:rsidRPr="003B0AE1">
        <w:t xml:space="preserve"> spectrum by </w:t>
      </w:r>
      <w:r>
        <w:t>Sprint, although increasing its spectrum holdings to a maximum of 212.7 megahertz in Altoona and part of Pennsylvania 11 – Huntingdon,</w:t>
      </w:r>
      <w:r w:rsidRPr="003B0AE1">
        <w:t xml:space="preserve"> is unlikely to foreclose rival service providers from entering or expanding in these </w:t>
      </w:r>
      <w:r>
        <w:t xml:space="preserve">two local </w:t>
      </w:r>
      <w:r w:rsidRPr="003B0AE1">
        <w:t>markets, and is unlikely to raise rivals’ costs.</w:t>
      </w:r>
      <w:r w:rsidRPr="00936DA3">
        <w:rPr>
          <w:sz w:val="20"/>
          <w:vertAlign w:val="superscript"/>
        </w:rPr>
        <w:footnoteReference w:id="104"/>
      </w:r>
      <w:r w:rsidRPr="003B0AE1">
        <w:t xml:space="preserve">  We find therefore that the proposed transaction is unlikely to materially lessen the ability of rival service providers to respond to any anticompetitive behavior on the part of </w:t>
      </w:r>
      <w:r>
        <w:t xml:space="preserve">Sprint/Shentel, and the likelihood of competitive harm is low in these two local markets. </w:t>
      </w:r>
    </w:p>
    <w:p w14:paraId="1CE9C292" w14:textId="77777777" w:rsidR="00B53330" w:rsidRPr="00053890" w:rsidRDefault="00B53330" w:rsidP="00B53330">
      <w:pPr>
        <w:pStyle w:val="Heading1"/>
        <w:widowControl/>
        <w:tabs>
          <w:tab w:val="left" w:pos="720"/>
        </w:tabs>
        <w:spacing w:line="276" w:lineRule="auto"/>
        <w:rPr>
          <w:rFonts w:ascii="Times New Roman" w:hAnsi="Times New Roman"/>
          <w:snapToGrid/>
        </w:rPr>
      </w:pPr>
      <w:bookmarkStart w:id="133" w:name="_Toc419201243"/>
      <w:bookmarkStart w:id="134" w:name="_Toc419201470"/>
      <w:bookmarkStart w:id="135" w:name="_Toc419206332"/>
      <w:bookmarkStart w:id="136" w:name="_Toc419206928"/>
      <w:bookmarkStart w:id="137" w:name="_Toc419207006"/>
      <w:bookmarkStart w:id="138" w:name="_Toc419287178"/>
      <w:bookmarkStart w:id="139" w:name="_Toc419447050"/>
      <w:bookmarkStart w:id="140" w:name="_Toc419815669"/>
      <w:bookmarkStart w:id="141" w:name="_Toc420400641"/>
      <w:bookmarkStart w:id="142" w:name="_Toc420499770"/>
      <w:bookmarkStart w:id="143" w:name="_Toc443663645"/>
      <w:bookmarkStart w:id="144" w:name="_Toc445827920"/>
      <w:bookmarkStart w:id="145" w:name="_Toc446399808"/>
      <w:bookmarkStart w:id="146" w:name="_Toc447192510"/>
      <w:bookmarkStart w:id="147" w:name="_Toc448303781"/>
      <w:bookmarkStart w:id="148" w:name="_Toc448473181"/>
      <w:bookmarkStart w:id="149" w:name="_Toc426371654"/>
      <w:bookmarkStart w:id="150" w:name="_Toc431369390"/>
      <w:bookmarkStart w:id="151" w:name="_Toc432079509"/>
      <w:bookmarkStart w:id="152" w:name="_Toc433031350"/>
      <w:bookmarkStart w:id="153" w:name="_Toc433613270"/>
      <w:bookmarkStart w:id="154" w:name="_Toc433631090"/>
      <w:bookmarkStart w:id="155" w:name="_Toc433631153"/>
      <w:bookmarkStart w:id="156" w:name="_Toc433631218"/>
      <w:bookmarkStart w:id="157" w:name="_Toc433631272"/>
      <w:bookmarkStart w:id="158" w:name="_Toc433631616"/>
      <w:bookmarkStart w:id="159" w:name="_Toc434313062"/>
      <w:r w:rsidRPr="00053890">
        <w:rPr>
          <w:rFonts w:ascii="Times New Roman" w:hAnsi="Times New Roman"/>
          <w:snapToGrid/>
        </w:rPr>
        <w:t>potential public interest benefits</w:t>
      </w:r>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p>
    <w:p w14:paraId="4EDA2C69" w14:textId="77777777" w:rsidR="00B53330" w:rsidRPr="00BE360A" w:rsidRDefault="00B53330" w:rsidP="00B53330">
      <w:pPr>
        <w:pStyle w:val="ParaNum"/>
        <w:widowControl/>
        <w:tabs>
          <w:tab w:val="num" w:pos="1440"/>
        </w:tabs>
        <w:ind w:left="0"/>
        <w:rPr>
          <w:snapToGrid/>
          <w:szCs w:val="22"/>
        </w:rPr>
      </w:pPr>
      <w:bookmarkStart w:id="160" w:name="_Toc405185105"/>
      <w:bookmarkStart w:id="161" w:name="_Toc413413920"/>
      <w:bookmarkStart w:id="162" w:name="_Toc413661531"/>
      <w:bookmarkStart w:id="163" w:name="_Toc418763701"/>
      <w:bookmarkStart w:id="164" w:name="_Toc418780426"/>
      <w:bookmarkStart w:id="165" w:name="_Toc418781220"/>
      <w:bookmarkStart w:id="166" w:name="_Toc419201474"/>
      <w:bookmarkStart w:id="167" w:name="_Toc419206335"/>
      <w:bookmarkStart w:id="168" w:name="_Toc419206931"/>
      <w:bookmarkStart w:id="169" w:name="_Toc419207009"/>
      <w:bookmarkStart w:id="170" w:name="_Toc419287181"/>
      <w:bookmarkStart w:id="171" w:name="_Toc419447053"/>
      <w:bookmarkStart w:id="172" w:name="_Toc419815672"/>
      <w:bookmarkStart w:id="173" w:name="_Toc420400643"/>
      <w:bookmarkStart w:id="174" w:name="_Toc420499771"/>
      <w:bookmarkStart w:id="175" w:name="_Toc422839627"/>
      <w:bookmarkStart w:id="176" w:name="_Toc403981911"/>
      <w:bookmarkStart w:id="177" w:name="_Toc403998367"/>
      <w:bookmarkStart w:id="178" w:name="_Toc403998454"/>
      <w:bookmarkStart w:id="179" w:name="_Toc404003278"/>
      <w:bookmarkStart w:id="180" w:name="_Toc404003558"/>
      <w:bookmarkStart w:id="181" w:name="_Toc404152179"/>
      <w:bookmarkStart w:id="182" w:name="_Toc405185106"/>
      <w:bookmarkStart w:id="183" w:name="_Toc405799119"/>
      <w:bookmarkStart w:id="184" w:name="_Toc405799346"/>
      <w:bookmarkStart w:id="185" w:name="_Toc405801061"/>
      <w:bookmarkStart w:id="186" w:name="_Toc406492319"/>
      <w:bookmarkStart w:id="187" w:name="_Toc408387327"/>
      <w:bookmarkStart w:id="188" w:name="_Toc419201248"/>
      <w:bookmarkEnd w:id="149"/>
      <w:bookmarkEnd w:id="150"/>
      <w:bookmarkEnd w:id="151"/>
      <w:bookmarkEnd w:id="152"/>
      <w:bookmarkEnd w:id="153"/>
      <w:bookmarkEnd w:id="154"/>
      <w:bookmarkEnd w:id="155"/>
      <w:bookmarkEnd w:id="156"/>
      <w:bookmarkEnd w:id="157"/>
      <w:bookmarkEnd w:id="158"/>
      <w:bookmarkEnd w:id="159"/>
      <w:bookmarkEnd w:id="160"/>
      <w:r w:rsidRPr="00CF3B02">
        <w:rPr>
          <w:snapToGrid/>
        </w:rPr>
        <w:t xml:space="preserve">We next consider whether the proposed transaction </w:t>
      </w:r>
      <w:r w:rsidRPr="00053890">
        <w:t>is likely to generate verifiable, transaction-specific public interest benefits</w:t>
      </w:r>
      <w:r w:rsidRPr="00CF3B02">
        <w:rPr>
          <w:snapToGrid/>
        </w:rPr>
        <w:t>.</w:t>
      </w:r>
      <w:r w:rsidRPr="00053890">
        <w:rPr>
          <w:rStyle w:val="FootnoteReference"/>
          <w:snapToGrid/>
          <w:szCs w:val="22"/>
        </w:rPr>
        <w:footnoteReference w:id="105"/>
      </w:r>
      <w:r w:rsidRPr="00CF3B02">
        <w:rPr>
          <w:snapToGrid/>
        </w:rPr>
        <w:t xml:space="preserve">  </w:t>
      </w:r>
      <w:r w:rsidRPr="005211DB">
        <w:t xml:space="preserve">Under Commission precedent, the Applicants bear the burden of demonstrating </w:t>
      </w:r>
      <w:r>
        <w:t xml:space="preserve">the </w:t>
      </w:r>
      <w:r w:rsidRPr="005211DB">
        <w:t xml:space="preserve">potential public interest benefits of </w:t>
      </w:r>
      <w:r>
        <w:t>a</w:t>
      </w:r>
      <w:r w:rsidRPr="005211DB">
        <w:t xml:space="preserve"> proposed transaction.</w:t>
      </w:r>
      <w:r w:rsidRPr="00936DA3">
        <w:rPr>
          <w:sz w:val="20"/>
          <w:vertAlign w:val="superscript"/>
        </w:rPr>
        <w:footnoteReference w:id="106"/>
      </w:r>
      <w:r>
        <w:t xml:space="preserve">  </w:t>
      </w:r>
      <w:r w:rsidRPr="00CF3B02">
        <w:rPr>
          <w:szCs w:val="22"/>
        </w:rPr>
        <w:t xml:space="preserve">The Commission applies several criteria in deciding whether a claimed benefit </w:t>
      </w:r>
      <w:r>
        <w:rPr>
          <w:szCs w:val="22"/>
        </w:rPr>
        <w:t>is cognizable.</w:t>
      </w:r>
      <w:r w:rsidRPr="00CF3B02">
        <w:rPr>
          <w:szCs w:val="22"/>
        </w:rPr>
        <w:t xml:space="preserve"> </w:t>
      </w:r>
      <w:r>
        <w:rPr>
          <w:szCs w:val="22"/>
        </w:rPr>
        <w:t xml:space="preserve"> </w:t>
      </w:r>
      <w:r w:rsidRPr="00613D7C">
        <w:t xml:space="preserve">First, </w:t>
      </w:r>
      <w:r>
        <w:t>each</w:t>
      </w:r>
      <w:r w:rsidRPr="00613D7C">
        <w:t xml:space="preserve"> claimed benefit must be transaction specific.</w:t>
      </w:r>
      <w:r>
        <w:rPr>
          <w:rStyle w:val="FootnoteReference"/>
        </w:rPr>
        <w:footnoteReference w:id="107"/>
      </w:r>
      <w:r w:rsidRPr="00613D7C">
        <w:t xml:space="preserve">  That is, the claimed benefit must be likely to occur as a result of the transaction </w:t>
      </w:r>
      <w:r>
        <w:t>and</w:t>
      </w:r>
      <w:r w:rsidRPr="00613D7C">
        <w:t xml:space="preserve"> unlikely to be realized </w:t>
      </w:r>
      <w:r>
        <w:t xml:space="preserve">without the transaction or </w:t>
      </w:r>
      <w:r w:rsidRPr="00613D7C">
        <w:t xml:space="preserve">by </w:t>
      </w:r>
      <w:r>
        <w:t>a practical alternative that would raise fewer competitive concerns than the proposed transaction</w:t>
      </w:r>
      <w:r w:rsidRPr="00613D7C">
        <w:t>.</w:t>
      </w:r>
      <w:r w:rsidRPr="00613D7C">
        <w:rPr>
          <w:rStyle w:val="FootnoteReference"/>
        </w:rPr>
        <w:footnoteReference w:id="108"/>
      </w:r>
      <w:r>
        <w:t xml:space="preserve">  </w:t>
      </w:r>
      <w:r w:rsidRPr="00613D7C">
        <w:t xml:space="preserve">Second, </w:t>
      </w:r>
      <w:r>
        <w:t>each</w:t>
      </w:r>
      <w:r w:rsidRPr="00613D7C">
        <w:t xml:space="preserve"> claimed benefit must be verifiable.</w:t>
      </w:r>
      <w:r w:rsidRPr="00613D7C">
        <w:rPr>
          <w:rStyle w:val="FootnoteReference"/>
        </w:rPr>
        <w:footnoteReference w:id="109"/>
      </w:r>
      <w:r w:rsidRPr="00613D7C">
        <w:t xml:space="preserve">  Because much of the information relating to the potential benefits of a transaction is in the sole possession of the Applicants, they have the burden of providing sufficient evidence to support each claimed benefit to enable </w:t>
      </w:r>
      <w:r>
        <w:t>us</w:t>
      </w:r>
      <w:r w:rsidRPr="00613D7C">
        <w:t xml:space="preserve"> to verify its likelihood and magnitude.</w:t>
      </w:r>
      <w:r w:rsidRPr="00613D7C">
        <w:rPr>
          <w:rStyle w:val="FootnoteReference"/>
        </w:rPr>
        <w:footnoteReference w:id="110"/>
      </w:r>
      <w:r w:rsidRPr="00613D7C">
        <w:t xml:space="preserve">  </w:t>
      </w:r>
      <w:r>
        <w:t>We</w:t>
      </w:r>
      <w:r w:rsidRPr="00613D7C">
        <w:t xml:space="preserve"> will discount or dismiss speculative benefits that </w:t>
      </w:r>
      <w:r>
        <w:t>we</w:t>
      </w:r>
      <w:r w:rsidRPr="00613D7C">
        <w:t xml:space="preserve"> cannot verify.  </w:t>
      </w:r>
      <w:r>
        <w:rPr>
          <w:szCs w:val="22"/>
        </w:rPr>
        <w:t>Further, b</w:t>
      </w:r>
      <w:r w:rsidRPr="004B093E">
        <w:t>enefits expected to occur only in the distant future may be discounted or dismissed because, among other things, predictions about the distant future are inherently more speculative than predictions that are expected to occur closer to the present.</w:t>
      </w:r>
      <w:r w:rsidRPr="00936DA3">
        <w:rPr>
          <w:sz w:val="20"/>
          <w:vertAlign w:val="superscript"/>
        </w:rPr>
        <w:footnoteReference w:id="111"/>
      </w:r>
      <w:r w:rsidRPr="004B093E">
        <w:t xml:space="preserve">  </w:t>
      </w:r>
      <w:bookmarkStart w:id="189" w:name="_Ref419970965"/>
      <w:r w:rsidRPr="00613D7C">
        <w:t xml:space="preserve">Third, </w:t>
      </w:r>
      <w:r>
        <w:t>we calculate</w:t>
      </w:r>
      <w:r w:rsidRPr="00613D7C">
        <w:t xml:space="preserve"> the magnitude of</w:t>
      </w:r>
      <w:r w:rsidRPr="00613D7C">
        <w:rPr>
          <w:b/>
        </w:rPr>
        <w:t xml:space="preserve"> </w:t>
      </w:r>
      <w:r w:rsidRPr="00613D7C">
        <w:t>benefits net of the cost of achieving them</w:t>
      </w:r>
      <w:r>
        <w:t xml:space="preserve"> and </w:t>
      </w:r>
      <w:r w:rsidRPr="00613D7C">
        <w:t>benefits must flow through to consumers, and not inure solely to the benefit of the company.</w:t>
      </w:r>
      <w:r>
        <w:t xml:space="preserve">  </w:t>
      </w:r>
      <w:r w:rsidRPr="00613D7C">
        <w:t xml:space="preserve">For example, </w:t>
      </w:r>
      <w:r>
        <w:t>we</w:t>
      </w:r>
      <w:r w:rsidRPr="00613D7C">
        <w:t xml:space="preserve"> will more likely find marginal cost reductions to be cognizable than reductions in fixed cost because reductions in marginal cost are more likely to result in lower prices for consumers.</w:t>
      </w:r>
      <w:bookmarkStart w:id="190" w:name="_Ref419970984"/>
      <w:r w:rsidRPr="00613D7C">
        <w:rPr>
          <w:rStyle w:val="FootnoteCharacters"/>
          <w:sz w:val="20"/>
        </w:rPr>
        <w:footnoteReference w:id="112"/>
      </w:r>
      <w:bookmarkEnd w:id="189"/>
      <w:bookmarkEnd w:id="190"/>
    </w:p>
    <w:p w14:paraId="22E69C07" w14:textId="77777777" w:rsidR="00B53330" w:rsidRPr="00BC6B80" w:rsidRDefault="00B53330" w:rsidP="00B53330">
      <w:pPr>
        <w:pStyle w:val="ParaNum"/>
        <w:widowControl/>
        <w:tabs>
          <w:tab w:val="num" w:pos="1440"/>
        </w:tabs>
        <w:ind w:left="0"/>
        <w:rPr>
          <w:snapToGrid/>
          <w:szCs w:val="22"/>
        </w:rPr>
      </w:pPr>
      <w:r>
        <w:t xml:space="preserve">The Commission </w:t>
      </w:r>
      <w:r w:rsidRPr="00CF3B02">
        <w:rPr>
          <w:szCs w:val="22"/>
        </w:rPr>
        <w:t xml:space="preserve">applies a “sliding scale </w:t>
      </w:r>
      <w:r w:rsidRPr="00454023">
        <w:t>approach</w:t>
      </w:r>
      <w:r w:rsidRPr="00CF3B02">
        <w:rPr>
          <w:szCs w:val="22"/>
        </w:rPr>
        <w:t>” to evaluating benefit claims</w:t>
      </w:r>
      <w:r>
        <w:rPr>
          <w:szCs w:val="22"/>
        </w:rPr>
        <w:t>:  U</w:t>
      </w:r>
      <w:r w:rsidRPr="00CF3B02">
        <w:rPr>
          <w:szCs w:val="22"/>
        </w:rPr>
        <w:t>nder this approach, where potential harms appear “both substantial and likely, a demonstration of claimed benefits also must reveal a higher degree of magnitude and likelihood than we would otherwise demand.”</w:t>
      </w:r>
      <w:r w:rsidRPr="00053890">
        <w:rPr>
          <w:sz w:val="20"/>
          <w:vertAlign w:val="superscript"/>
        </w:rPr>
        <w:footnoteReference w:id="113"/>
      </w:r>
      <w:r w:rsidRPr="00CF3B02">
        <w:rPr>
          <w:szCs w:val="22"/>
        </w:rPr>
        <w:t xml:space="preserve">  </w:t>
      </w:r>
      <w:r w:rsidRPr="00053890">
        <w:t>Conversely, where potential harms appear less likely and less substantial, we will accept a lesser showing to approve the proposed transaction.</w:t>
      </w:r>
      <w:r w:rsidRPr="00053890">
        <w:rPr>
          <w:rStyle w:val="FootnoteReference"/>
          <w:szCs w:val="22"/>
        </w:rPr>
        <w:footnoteReference w:id="114"/>
      </w:r>
      <w:r>
        <w:t xml:space="preserve">  </w:t>
      </w:r>
    </w:p>
    <w:p w14:paraId="03FC70E5" w14:textId="77777777" w:rsidR="00B53330" w:rsidRPr="00CF3B02" w:rsidRDefault="00B53330" w:rsidP="00B53330">
      <w:pPr>
        <w:pStyle w:val="ParaNum"/>
        <w:widowControl/>
        <w:tabs>
          <w:tab w:val="num" w:pos="1440"/>
        </w:tabs>
        <w:ind w:left="0"/>
        <w:rPr>
          <w:snapToGrid/>
          <w:szCs w:val="22"/>
        </w:rPr>
      </w:pPr>
      <w:r w:rsidRPr="00974357">
        <w:rPr>
          <w:snapToGrid/>
          <w:color w:val="000000" w:themeColor="text1"/>
          <w:szCs w:val="22"/>
        </w:rPr>
        <w:t xml:space="preserve">The Applicants </w:t>
      </w:r>
      <w:r>
        <w:rPr>
          <w:snapToGrid/>
          <w:color w:val="000000" w:themeColor="text1"/>
          <w:szCs w:val="22"/>
        </w:rPr>
        <w:t xml:space="preserve">claim </w:t>
      </w:r>
      <w:r w:rsidRPr="00974357">
        <w:rPr>
          <w:snapToGrid/>
          <w:color w:val="000000" w:themeColor="text1"/>
          <w:szCs w:val="22"/>
        </w:rPr>
        <w:t>that the prop</w:t>
      </w:r>
      <w:r>
        <w:rPr>
          <w:snapToGrid/>
          <w:color w:val="000000" w:themeColor="text1"/>
          <w:szCs w:val="22"/>
        </w:rPr>
        <w:t>o</w:t>
      </w:r>
      <w:r w:rsidRPr="00974357">
        <w:rPr>
          <w:snapToGrid/>
          <w:color w:val="000000" w:themeColor="text1"/>
          <w:szCs w:val="22"/>
        </w:rPr>
        <w:t xml:space="preserve">sed transaction </w:t>
      </w:r>
      <w:r>
        <w:rPr>
          <w:snapToGrid/>
          <w:color w:val="000000" w:themeColor="text1"/>
          <w:szCs w:val="22"/>
        </w:rPr>
        <w:t>would result in a number of verifi</w:t>
      </w:r>
      <w:r w:rsidRPr="00974357">
        <w:rPr>
          <w:snapToGrid/>
          <w:color w:val="000000" w:themeColor="text1"/>
          <w:szCs w:val="22"/>
        </w:rPr>
        <w:t xml:space="preserve">able, transaction-specific public interest benefits, and </w:t>
      </w:r>
      <w:r>
        <w:rPr>
          <w:snapToGrid/>
          <w:color w:val="000000" w:themeColor="text1"/>
          <w:szCs w:val="22"/>
        </w:rPr>
        <w:t>we find, a</w:t>
      </w:r>
      <w:r>
        <w:t xml:space="preserve">s discussed below, that the record generally supports the Applicants’ claims.  However, given our competitive concerns as explained in Section III., and notwithstanding the Applicants’ commitments with respect to certain spectrum divestitures, we also impose the Applicants’ deployment commitments as conditions to help ensure that the claimed public interest benefits are achieved.  </w:t>
      </w:r>
      <w:r>
        <w:rPr>
          <w:snapToGrid/>
          <w:color w:val="000000" w:themeColor="text1"/>
          <w:szCs w:val="22"/>
        </w:rPr>
        <w:t>U</w:t>
      </w:r>
      <w:r w:rsidRPr="00974357">
        <w:rPr>
          <w:snapToGrid/>
          <w:color w:val="000000" w:themeColor="text1"/>
          <w:szCs w:val="22"/>
        </w:rPr>
        <w:t xml:space="preserve">nder our sliding scale approach, </w:t>
      </w:r>
      <w:r>
        <w:rPr>
          <w:snapToGrid/>
          <w:color w:val="000000" w:themeColor="text1"/>
          <w:szCs w:val="22"/>
        </w:rPr>
        <w:t xml:space="preserve">the proposed transaction raises some questions as to whether </w:t>
      </w:r>
      <w:r w:rsidRPr="00974357">
        <w:rPr>
          <w:snapToGrid/>
          <w:color w:val="000000" w:themeColor="text1"/>
          <w:szCs w:val="22"/>
        </w:rPr>
        <w:t xml:space="preserve">the Applicants </w:t>
      </w:r>
      <w:r>
        <w:rPr>
          <w:snapToGrid/>
          <w:color w:val="000000" w:themeColor="text1"/>
          <w:szCs w:val="22"/>
        </w:rPr>
        <w:t xml:space="preserve">have met </w:t>
      </w:r>
      <w:r w:rsidRPr="00974357">
        <w:rPr>
          <w:snapToGrid/>
          <w:color w:val="000000" w:themeColor="text1"/>
          <w:szCs w:val="22"/>
        </w:rPr>
        <w:t xml:space="preserve">their burden of demonstrating that the </w:t>
      </w:r>
      <w:r>
        <w:rPr>
          <w:snapToGrid/>
          <w:color w:val="000000" w:themeColor="text1"/>
          <w:szCs w:val="22"/>
        </w:rPr>
        <w:t xml:space="preserve">potential </w:t>
      </w:r>
      <w:r w:rsidRPr="00974357">
        <w:rPr>
          <w:snapToGrid/>
          <w:color w:val="000000" w:themeColor="text1"/>
          <w:szCs w:val="22"/>
        </w:rPr>
        <w:t xml:space="preserve">public interest benefits outweigh </w:t>
      </w:r>
      <w:r>
        <w:rPr>
          <w:snapToGrid/>
          <w:color w:val="000000" w:themeColor="text1"/>
          <w:szCs w:val="22"/>
        </w:rPr>
        <w:t>the potential public interest</w:t>
      </w:r>
      <w:r w:rsidRPr="00974357">
        <w:rPr>
          <w:snapToGrid/>
          <w:color w:val="000000" w:themeColor="text1"/>
          <w:szCs w:val="22"/>
        </w:rPr>
        <w:t xml:space="preserve"> harms</w:t>
      </w:r>
      <w:r>
        <w:rPr>
          <w:snapToGrid/>
          <w:color w:val="000000" w:themeColor="text1"/>
          <w:szCs w:val="22"/>
        </w:rPr>
        <w:t xml:space="preserve">.  We conclude that the commitments of Sprint and </w:t>
      </w:r>
      <w:r w:rsidRPr="00663061">
        <w:rPr>
          <w:snapToGrid/>
          <w:color w:val="000000" w:themeColor="text1"/>
          <w:szCs w:val="22"/>
        </w:rPr>
        <w:t xml:space="preserve">Shentel </w:t>
      </w:r>
      <w:r w:rsidRPr="00BC6B80">
        <w:rPr>
          <w:snapToGrid/>
          <w:color w:val="000000" w:themeColor="text1"/>
          <w:szCs w:val="22"/>
        </w:rPr>
        <w:t>mitigate</w:t>
      </w:r>
      <w:r w:rsidRPr="00663061">
        <w:rPr>
          <w:snapToGrid/>
          <w:color w:val="000000" w:themeColor="text1"/>
          <w:szCs w:val="22"/>
        </w:rPr>
        <w:t xml:space="preserve"> these</w:t>
      </w:r>
      <w:r w:rsidRPr="00974357">
        <w:rPr>
          <w:snapToGrid/>
          <w:color w:val="000000" w:themeColor="text1"/>
          <w:szCs w:val="22"/>
        </w:rPr>
        <w:t xml:space="preserve"> potential </w:t>
      </w:r>
      <w:r>
        <w:rPr>
          <w:snapToGrid/>
          <w:color w:val="000000" w:themeColor="text1"/>
          <w:szCs w:val="22"/>
        </w:rPr>
        <w:t xml:space="preserve">public interest </w:t>
      </w:r>
      <w:r w:rsidRPr="00974357">
        <w:rPr>
          <w:snapToGrid/>
          <w:color w:val="000000" w:themeColor="text1"/>
          <w:szCs w:val="22"/>
        </w:rPr>
        <w:t>harms</w:t>
      </w:r>
      <w:r>
        <w:rPr>
          <w:snapToGrid/>
          <w:color w:val="000000" w:themeColor="text1"/>
          <w:szCs w:val="22"/>
        </w:rPr>
        <w:t xml:space="preserve"> and will help facilitate the realization of the asserted public interest benefits.  We therefore determine that these commitments permit</w:t>
      </w:r>
      <w:r w:rsidRPr="00974357">
        <w:rPr>
          <w:snapToGrid/>
          <w:color w:val="000000" w:themeColor="text1"/>
          <w:szCs w:val="22"/>
        </w:rPr>
        <w:t xml:space="preserve"> the Applicants to meet their burden</w:t>
      </w:r>
      <w:r>
        <w:rPr>
          <w:snapToGrid/>
          <w:color w:val="000000" w:themeColor="text1"/>
          <w:szCs w:val="22"/>
        </w:rPr>
        <w:t>, and under our sliding scale approach</w:t>
      </w:r>
      <w:r>
        <w:t>, this will allow us to find that overall, the proposed transaction is in the public interest.</w:t>
      </w:r>
    </w:p>
    <w:p w14:paraId="0683A516" w14:textId="77777777" w:rsidR="00B53330" w:rsidRDefault="00B53330" w:rsidP="00B53330">
      <w:pPr>
        <w:pStyle w:val="ParaNum"/>
        <w:widowControl/>
        <w:tabs>
          <w:tab w:val="num" w:pos="1440"/>
        </w:tabs>
        <w:ind w:left="0"/>
        <w:rPr>
          <w:snapToGrid/>
          <w:szCs w:val="22"/>
        </w:rPr>
      </w:pPr>
      <w:r w:rsidRPr="00E568C3">
        <w:rPr>
          <w:szCs w:val="22"/>
        </w:rPr>
        <w:t>The Applicants assert that the proposed transaction would improve wireless service for customers and promote wireless competition</w:t>
      </w:r>
      <w:r w:rsidRPr="00E568C3">
        <w:rPr>
          <w:snapToGrid/>
          <w:szCs w:val="22"/>
        </w:rPr>
        <w:t>.</w:t>
      </w:r>
      <w:r w:rsidRPr="00053890">
        <w:rPr>
          <w:rStyle w:val="FootnoteReference"/>
          <w:snapToGrid/>
          <w:szCs w:val="22"/>
        </w:rPr>
        <w:footnoteReference w:id="115"/>
      </w:r>
      <w:r w:rsidRPr="00E568C3">
        <w:rPr>
          <w:snapToGrid/>
          <w:szCs w:val="22"/>
        </w:rPr>
        <w:t xml:space="preserve">  According to the Applicants, </w:t>
      </w:r>
      <w:r w:rsidRPr="00E568C3">
        <w:rPr>
          <w:szCs w:val="22"/>
        </w:rPr>
        <w:t>the</w:t>
      </w:r>
      <w:r w:rsidRPr="00E568C3">
        <w:rPr>
          <w:snapToGrid/>
          <w:szCs w:val="22"/>
        </w:rPr>
        <w:t xml:space="preserve"> proposed transaction would benefit NTELOS’s existing customers, as planned infrastructure investments would result in enhanced wireless coverage, improved service quality, and expanded service to new areas.</w:t>
      </w:r>
      <w:r w:rsidRPr="00053890">
        <w:rPr>
          <w:rStyle w:val="FootnoteReference"/>
          <w:snapToGrid/>
          <w:szCs w:val="22"/>
        </w:rPr>
        <w:footnoteReference w:id="116"/>
      </w:r>
      <w:r w:rsidRPr="00E568C3">
        <w:rPr>
          <w:snapToGrid/>
          <w:szCs w:val="22"/>
        </w:rPr>
        <w:t xml:space="preserve">  The Applicants assert that Sprint and Shentel have long had a successful, pro-competitive partnership in providing Sprint-branded wireless service to customers in primarily rural areas, and that the proposed transaction would extend such arrangements to the current NTELOS service area to the ultimate benefit of NTELOS customers.</w:t>
      </w:r>
      <w:r w:rsidRPr="00E25DF0">
        <w:rPr>
          <w:rStyle w:val="FootnoteReference"/>
          <w:snapToGrid/>
          <w:szCs w:val="22"/>
        </w:rPr>
        <w:footnoteReference w:id="117"/>
      </w:r>
      <w:r>
        <w:rPr>
          <w:snapToGrid/>
          <w:szCs w:val="22"/>
        </w:rPr>
        <w:t xml:space="preserve"> </w:t>
      </w:r>
    </w:p>
    <w:p w14:paraId="0360F0B2" w14:textId="21F161A5" w:rsidR="00B53330" w:rsidRPr="00E568C3" w:rsidRDefault="00B53330" w:rsidP="00B53330">
      <w:pPr>
        <w:pStyle w:val="ParaNum"/>
        <w:widowControl/>
        <w:tabs>
          <w:tab w:val="num" w:pos="1440"/>
        </w:tabs>
        <w:ind w:left="0"/>
        <w:rPr>
          <w:snapToGrid/>
          <w:szCs w:val="22"/>
        </w:rPr>
      </w:pPr>
      <w:r w:rsidRPr="00E568C3">
        <w:rPr>
          <w:i/>
          <w:szCs w:val="22"/>
        </w:rPr>
        <w:t>Network Expansion and Densification</w:t>
      </w:r>
      <w:r w:rsidRPr="00936DA3">
        <w:rPr>
          <w:szCs w:val="22"/>
        </w:rPr>
        <w:t>.</w:t>
      </w:r>
      <w:r w:rsidRPr="008C16FF">
        <w:rPr>
          <w:snapToGrid/>
          <w:szCs w:val="22"/>
        </w:rPr>
        <w:t xml:space="preserve">  </w:t>
      </w:r>
      <w:r>
        <w:rPr>
          <w:snapToGrid/>
          <w:szCs w:val="22"/>
        </w:rPr>
        <w:t>According to t</w:t>
      </w:r>
      <w:r w:rsidRPr="00E568C3">
        <w:rPr>
          <w:snapToGrid/>
        </w:rPr>
        <w:t>he Applicants</w:t>
      </w:r>
      <w:r>
        <w:rPr>
          <w:snapToGrid/>
        </w:rPr>
        <w:t xml:space="preserve">, </w:t>
      </w:r>
      <w:r w:rsidRPr="00E568C3">
        <w:rPr>
          <w:snapToGrid/>
        </w:rPr>
        <w:t>a</w:t>
      </w:r>
      <w:r w:rsidRPr="00213260">
        <w:t xml:space="preserve">bsent the </w:t>
      </w:r>
      <w:r>
        <w:t>p</w:t>
      </w:r>
      <w:r w:rsidRPr="00213260">
        <w:t xml:space="preserve">roposed </w:t>
      </w:r>
      <w:r>
        <w:t>t</w:t>
      </w:r>
      <w:r w:rsidRPr="00213260">
        <w:t xml:space="preserve">ransaction, Shentel would </w:t>
      </w:r>
      <w:r>
        <w:t xml:space="preserve">not </w:t>
      </w:r>
      <w:r w:rsidRPr="00D87AC4">
        <w:rPr>
          <w:b/>
        </w:rPr>
        <w:t>[</w:t>
      </w:r>
      <w:r w:rsidR="00D87AC4">
        <w:rPr>
          <w:b/>
          <w:bCs/>
        </w:rPr>
        <w:t>REDACTED</w:t>
      </w:r>
      <w:r w:rsidRPr="00E568C3">
        <w:rPr>
          <w:b/>
        </w:rPr>
        <w:t>]</w:t>
      </w:r>
      <w:r w:rsidRPr="00E568C3">
        <w:rPr>
          <w:snapToGrid/>
        </w:rPr>
        <w:t>.</w:t>
      </w:r>
      <w:r>
        <w:rPr>
          <w:rStyle w:val="FootnoteReference"/>
          <w:snapToGrid/>
          <w:szCs w:val="22"/>
        </w:rPr>
        <w:footnoteReference w:id="118"/>
      </w:r>
      <w:r w:rsidRPr="00E568C3">
        <w:rPr>
          <w:snapToGrid/>
        </w:rPr>
        <w:t xml:space="preserve">  The Applicants assert </w:t>
      </w:r>
      <w:r>
        <w:rPr>
          <w:snapToGrid/>
        </w:rPr>
        <w:t xml:space="preserve">that during </w:t>
      </w:r>
      <w:r w:rsidRPr="00E568C3">
        <w:rPr>
          <w:snapToGrid/>
        </w:rPr>
        <w:t xml:space="preserve">the five years </w:t>
      </w:r>
      <w:r>
        <w:rPr>
          <w:snapToGrid/>
        </w:rPr>
        <w:t xml:space="preserve">immediately following </w:t>
      </w:r>
      <w:r w:rsidRPr="00E568C3">
        <w:rPr>
          <w:snapToGrid/>
        </w:rPr>
        <w:t>the transaction clos</w:t>
      </w:r>
      <w:r>
        <w:rPr>
          <w:snapToGrid/>
        </w:rPr>
        <w:t>ing</w:t>
      </w:r>
      <w:r w:rsidRPr="00E568C3">
        <w:rPr>
          <w:snapToGrid/>
        </w:rPr>
        <w:t xml:space="preserve">, Shentel would invest approximately $350 million in network-related capital improvements to reduce coverage gaps in the current NTELOS service area and to accelerate the on-going 4G </w:t>
      </w:r>
      <w:r w:rsidRPr="00E568C3">
        <w:rPr>
          <w:snapToGrid/>
          <w:szCs w:val="22"/>
        </w:rPr>
        <w:t>LTE</w:t>
      </w:r>
      <w:r w:rsidRPr="00E568C3">
        <w:rPr>
          <w:snapToGrid/>
        </w:rPr>
        <w:t xml:space="preserve"> upgrade and expansion of the existing NTELOS network.</w:t>
      </w:r>
      <w:r w:rsidRPr="00053890">
        <w:rPr>
          <w:rStyle w:val="FootnoteReference"/>
          <w:szCs w:val="22"/>
        </w:rPr>
        <w:footnoteReference w:id="119"/>
      </w:r>
      <w:r w:rsidRPr="00E568C3">
        <w:rPr>
          <w:snapToGrid/>
        </w:rPr>
        <w:t xml:space="preserve"> </w:t>
      </w:r>
      <w:r>
        <w:rPr>
          <w:snapToGrid/>
        </w:rPr>
        <w:t xml:space="preserve"> </w:t>
      </w:r>
      <w:r w:rsidRPr="00E568C3">
        <w:rPr>
          <w:snapToGrid/>
        </w:rPr>
        <w:t xml:space="preserve">The Applicants state that the current NTELOS network is adjacent to the existing Shentel network and </w:t>
      </w:r>
      <w:r>
        <w:rPr>
          <w:snapToGrid/>
        </w:rPr>
        <w:t xml:space="preserve">that </w:t>
      </w:r>
      <w:r w:rsidRPr="00E568C3">
        <w:rPr>
          <w:snapToGrid/>
        </w:rPr>
        <w:t>the upgrade of the current NTELOS network w</w:t>
      </w:r>
      <w:r>
        <w:rPr>
          <w:snapToGrid/>
        </w:rPr>
        <w:t>ould</w:t>
      </w:r>
      <w:r w:rsidRPr="00E568C3">
        <w:rPr>
          <w:snapToGrid/>
        </w:rPr>
        <w:t xml:space="preserve"> be very similar to the network-wide 4G LTE upgrades that Shentel recently completed on its own network.</w:t>
      </w:r>
      <w:r>
        <w:rPr>
          <w:rStyle w:val="FootnoteReference"/>
          <w:snapToGrid/>
        </w:rPr>
        <w:footnoteReference w:id="120"/>
      </w:r>
      <w:r w:rsidRPr="00E568C3">
        <w:rPr>
          <w:snapToGrid/>
        </w:rPr>
        <w:t xml:space="preserve">   </w:t>
      </w:r>
    </w:p>
    <w:p w14:paraId="38FE9CE1" w14:textId="77777777" w:rsidR="00B53330" w:rsidRPr="003237A9" w:rsidRDefault="00B53330" w:rsidP="00B53330">
      <w:pPr>
        <w:pStyle w:val="ParaNum"/>
        <w:widowControl/>
        <w:tabs>
          <w:tab w:val="num" w:pos="1440"/>
        </w:tabs>
        <w:ind w:left="0"/>
        <w:rPr>
          <w:snapToGrid/>
          <w:szCs w:val="22"/>
        </w:rPr>
      </w:pPr>
      <w:r w:rsidRPr="00213260">
        <w:rPr>
          <w:snapToGrid/>
        </w:rPr>
        <w:t xml:space="preserve">The Applicants </w:t>
      </w:r>
      <w:r>
        <w:rPr>
          <w:snapToGrid/>
        </w:rPr>
        <w:t xml:space="preserve">further maintain </w:t>
      </w:r>
      <w:r w:rsidRPr="00213260">
        <w:rPr>
          <w:snapToGrid/>
        </w:rPr>
        <w:t xml:space="preserve">that </w:t>
      </w:r>
      <w:r>
        <w:rPr>
          <w:snapToGrid/>
        </w:rPr>
        <w:t xml:space="preserve">within 36 months after the transaction closes, </w:t>
      </w:r>
      <w:r w:rsidRPr="00213260">
        <w:rPr>
          <w:snapToGrid/>
        </w:rPr>
        <w:t xml:space="preserve">Shentel </w:t>
      </w:r>
      <w:r>
        <w:rPr>
          <w:snapToGrid/>
        </w:rPr>
        <w:t xml:space="preserve">would </w:t>
      </w:r>
      <w:r w:rsidRPr="00213260">
        <w:rPr>
          <w:snapToGrid/>
        </w:rPr>
        <w:t xml:space="preserve">add </w:t>
      </w:r>
      <w:r w:rsidRPr="00053890">
        <w:rPr>
          <w:snapToGrid/>
          <w:szCs w:val="22"/>
        </w:rPr>
        <w:t xml:space="preserve">approximately 150 new cell sites in the </w:t>
      </w:r>
      <w:r>
        <w:rPr>
          <w:snapToGrid/>
          <w:szCs w:val="22"/>
        </w:rPr>
        <w:t>NTELOS</w:t>
      </w:r>
      <w:r w:rsidRPr="00053890">
        <w:rPr>
          <w:snapToGrid/>
          <w:szCs w:val="22"/>
        </w:rPr>
        <w:t xml:space="preserve"> service territory</w:t>
      </w:r>
      <w:r>
        <w:rPr>
          <w:snapToGrid/>
          <w:szCs w:val="22"/>
        </w:rPr>
        <w:t xml:space="preserve">, which would result </w:t>
      </w:r>
      <w:r w:rsidRPr="00053890">
        <w:rPr>
          <w:snapToGrid/>
          <w:szCs w:val="22"/>
        </w:rPr>
        <w:t>in a higher cell site density level</w:t>
      </w:r>
      <w:r>
        <w:rPr>
          <w:snapToGrid/>
          <w:szCs w:val="22"/>
        </w:rPr>
        <w:t xml:space="preserve"> and improve the customer experience.</w:t>
      </w:r>
      <w:r w:rsidRPr="00053890">
        <w:rPr>
          <w:rStyle w:val="FootnoteReference"/>
          <w:snapToGrid/>
          <w:szCs w:val="22"/>
        </w:rPr>
        <w:footnoteReference w:id="121"/>
      </w:r>
      <w:r w:rsidRPr="00053890">
        <w:rPr>
          <w:snapToGrid/>
          <w:szCs w:val="22"/>
        </w:rPr>
        <w:t xml:space="preserve">  </w:t>
      </w:r>
      <w:r w:rsidRPr="003237A9">
        <w:rPr>
          <w:snapToGrid/>
          <w:szCs w:val="22"/>
        </w:rPr>
        <w:t xml:space="preserve">Shentel contends that, as a result of these investments, </w:t>
      </w:r>
      <w:r>
        <w:rPr>
          <w:snapToGrid/>
          <w:szCs w:val="22"/>
        </w:rPr>
        <w:t>NTELOS</w:t>
      </w:r>
      <w:r w:rsidRPr="003237A9">
        <w:rPr>
          <w:snapToGrid/>
          <w:szCs w:val="22"/>
        </w:rPr>
        <w:t xml:space="preserve"> customers would benefit from improved voice coverage and significantly improved wireless data speeds and coverage.</w:t>
      </w:r>
      <w:r w:rsidRPr="00936DA3">
        <w:rPr>
          <w:snapToGrid/>
          <w:sz w:val="20"/>
          <w:vertAlign w:val="superscript"/>
        </w:rPr>
        <w:footnoteReference w:id="122"/>
      </w:r>
      <w:r w:rsidRPr="003237A9">
        <w:rPr>
          <w:snapToGrid/>
          <w:szCs w:val="22"/>
        </w:rPr>
        <w:t xml:space="preserve">  Shentel also claims that it plans to deploy 4G LTE service in those </w:t>
      </w:r>
      <w:r>
        <w:rPr>
          <w:snapToGrid/>
          <w:szCs w:val="22"/>
        </w:rPr>
        <w:t>NTELOS</w:t>
      </w:r>
      <w:r w:rsidRPr="003237A9">
        <w:rPr>
          <w:snapToGrid/>
          <w:szCs w:val="22"/>
        </w:rPr>
        <w:t xml:space="preserve"> service areas having “a greater population density.”</w:t>
      </w:r>
      <w:r w:rsidRPr="003237A9">
        <w:rPr>
          <w:snapToGrid/>
          <w:szCs w:val="22"/>
          <w:vertAlign w:val="superscript"/>
        </w:rPr>
        <w:footnoteReference w:id="123"/>
      </w:r>
      <w:r w:rsidRPr="003237A9">
        <w:rPr>
          <w:snapToGrid/>
          <w:szCs w:val="22"/>
        </w:rPr>
        <w:t xml:space="preserve">  Shentel further </w:t>
      </w:r>
      <w:r>
        <w:rPr>
          <w:snapToGrid/>
          <w:szCs w:val="22"/>
        </w:rPr>
        <w:t>claims that t</w:t>
      </w:r>
      <w:r w:rsidRPr="003237A9">
        <w:rPr>
          <w:snapToGrid/>
          <w:szCs w:val="22"/>
        </w:rPr>
        <w:t xml:space="preserve">o increase wireless broadband capacity throughout the </w:t>
      </w:r>
      <w:r>
        <w:rPr>
          <w:snapToGrid/>
          <w:szCs w:val="22"/>
        </w:rPr>
        <w:t>NTELOS</w:t>
      </w:r>
      <w:r w:rsidRPr="003237A9">
        <w:rPr>
          <w:snapToGrid/>
          <w:szCs w:val="22"/>
        </w:rPr>
        <w:t xml:space="preserve"> service area, it plans to deploy additional 4G LTE capacity at existing sites, additional cell sites, and in-building systems.</w:t>
      </w:r>
      <w:r w:rsidRPr="00936DA3">
        <w:rPr>
          <w:snapToGrid/>
          <w:sz w:val="20"/>
          <w:vertAlign w:val="superscript"/>
        </w:rPr>
        <w:footnoteReference w:id="124"/>
      </w:r>
    </w:p>
    <w:p w14:paraId="1AD530C4" w14:textId="77777777" w:rsidR="00B53330" w:rsidRDefault="00B53330" w:rsidP="00B53330">
      <w:pPr>
        <w:pStyle w:val="ParaNum"/>
        <w:widowControl/>
        <w:tabs>
          <w:tab w:val="num" w:pos="1440"/>
        </w:tabs>
        <w:ind w:left="0"/>
        <w:rPr>
          <w:snapToGrid/>
          <w:szCs w:val="22"/>
        </w:rPr>
      </w:pPr>
      <w:r w:rsidRPr="00075569">
        <w:rPr>
          <w:i/>
          <w:snapToGrid/>
          <w:szCs w:val="22"/>
        </w:rPr>
        <w:t>Benefits to Consumers</w:t>
      </w:r>
      <w:r>
        <w:rPr>
          <w:i/>
          <w:snapToGrid/>
          <w:szCs w:val="22"/>
        </w:rPr>
        <w:t xml:space="preserve"> and </w:t>
      </w:r>
      <w:r w:rsidRPr="00040F71">
        <w:rPr>
          <w:i/>
          <w:snapToGrid/>
          <w:kern w:val="0"/>
          <w:szCs w:val="22"/>
        </w:rPr>
        <w:t>Customer Transitio</w:t>
      </w:r>
      <w:r>
        <w:rPr>
          <w:i/>
          <w:snapToGrid/>
          <w:kern w:val="0"/>
          <w:szCs w:val="22"/>
        </w:rPr>
        <w:t>n</w:t>
      </w:r>
      <w:r>
        <w:rPr>
          <w:snapToGrid/>
          <w:szCs w:val="22"/>
        </w:rPr>
        <w:t>.  As part of our public interest review, we</w:t>
      </w:r>
      <w:r>
        <w:t xml:space="preserve"> also consider the impact of the proposed transaction on NTELOS’s customers.  </w:t>
      </w:r>
      <w:r w:rsidRPr="00053890">
        <w:rPr>
          <w:snapToGrid/>
          <w:szCs w:val="22"/>
        </w:rPr>
        <w:t xml:space="preserve">The Applicants assert that </w:t>
      </w:r>
      <w:r>
        <w:rPr>
          <w:snapToGrid/>
          <w:szCs w:val="22"/>
        </w:rPr>
        <w:t>NTELOS’s</w:t>
      </w:r>
      <w:r w:rsidRPr="00053890">
        <w:rPr>
          <w:snapToGrid/>
          <w:szCs w:val="22"/>
        </w:rPr>
        <w:t xml:space="preserve"> customers would gain access to the range of services available on Sprint’s nationwide 4G LTE network, which they cannot access today.</w:t>
      </w:r>
      <w:r w:rsidRPr="00053890">
        <w:rPr>
          <w:rStyle w:val="FootnoteReference"/>
          <w:snapToGrid/>
          <w:szCs w:val="22"/>
        </w:rPr>
        <w:footnoteReference w:id="125"/>
      </w:r>
      <w:r w:rsidRPr="00053890">
        <w:rPr>
          <w:snapToGrid/>
          <w:szCs w:val="22"/>
        </w:rPr>
        <w:t xml:space="preserve">  These customers also would have access to a broader array of handsets </w:t>
      </w:r>
      <w:r w:rsidRPr="000F4D3E">
        <w:rPr>
          <w:snapToGrid/>
          <w:szCs w:val="22"/>
        </w:rPr>
        <w:t>including “cutting-edge” handsets</w:t>
      </w:r>
      <w:r>
        <w:rPr>
          <w:rStyle w:val="FootnoteReference"/>
          <w:snapToGrid/>
          <w:szCs w:val="22"/>
        </w:rPr>
        <w:footnoteReference w:id="126"/>
      </w:r>
      <w:r w:rsidRPr="000F4D3E">
        <w:rPr>
          <w:snapToGrid/>
          <w:szCs w:val="22"/>
        </w:rPr>
        <w:t xml:space="preserve"> </w:t>
      </w:r>
      <w:r>
        <w:rPr>
          <w:snapToGrid/>
          <w:szCs w:val="22"/>
        </w:rPr>
        <w:t xml:space="preserve">to which </w:t>
      </w:r>
      <w:r w:rsidRPr="000F4D3E">
        <w:rPr>
          <w:snapToGrid/>
          <w:szCs w:val="22"/>
        </w:rPr>
        <w:t xml:space="preserve">Sprint claims it has greater access than smaller, regional </w:t>
      </w:r>
      <w:r>
        <w:rPr>
          <w:snapToGrid/>
          <w:szCs w:val="22"/>
        </w:rPr>
        <w:t>providers</w:t>
      </w:r>
      <w:r w:rsidRPr="000F4D3E">
        <w:rPr>
          <w:snapToGrid/>
          <w:szCs w:val="22"/>
        </w:rPr>
        <w:t xml:space="preserve"> such as </w:t>
      </w:r>
      <w:r>
        <w:rPr>
          <w:snapToGrid/>
          <w:szCs w:val="22"/>
        </w:rPr>
        <w:t>NTELOS</w:t>
      </w:r>
      <w:r w:rsidRPr="000F4D3E">
        <w:rPr>
          <w:snapToGrid/>
          <w:szCs w:val="22"/>
        </w:rPr>
        <w:t>.</w:t>
      </w:r>
      <w:r w:rsidRPr="00E25DF0">
        <w:rPr>
          <w:rStyle w:val="FootnoteReference"/>
          <w:snapToGrid/>
          <w:szCs w:val="22"/>
        </w:rPr>
        <w:footnoteReference w:id="127"/>
      </w:r>
      <w:r w:rsidRPr="000F4D3E">
        <w:rPr>
          <w:snapToGrid/>
          <w:szCs w:val="22"/>
        </w:rPr>
        <w:t xml:space="preserve">  In addition, the Applicants contend that </w:t>
      </w:r>
      <w:r>
        <w:rPr>
          <w:snapToGrid/>
          <w:szCs w:val="22"/>
        </w:rPr>
        <w:t>NTELOS</w:t>
      </w:r>
      <w:r w:rsidRPr="000F4D3E">
        <w:rPr>
          <w:snapToGrid/>
          <w:szCs w:val="22"/>
        </w:rPr>
        <w:t xml:space="preserve"> customers will have access</w:t>
      </w:r>
      <w:r>
        <w:rPr>
          <w:snapToGrid/>
          <w:szCs w:val="22"/>
        </w:rPr>
        <w:t>, as a result of the proposed transaction,</w:t>
      </w:r>
      <w:r w:rsidRPr="000F4D3E">
        <w:rPr>
          <w:snapToGrid/>
          <w:szCs w:val="22"/>
        </w:rPr>
        <w:t xml:space="preserve"> to a range of highly competitive, pro-consumer Sprint service plans.</w:t>
      </w:r>
      <w:r w:rsidRPr="00E25DF0">
        <w:rPr>
          <w:rStyle w:val="FootnoteReference"/>
          <w:snapToGrid/>
          <w:szCs w:val="22"/>
        </w:rPr>
        <w:footnoteReference w:id="128"/>
      </w:r>
      <w:r w:rsidRPr="000F4D3E">
        <w:rPr>
          <w:snapToGrid/>
          <w:szCs w:val="22"/>
        </w:rPr>
        <w:t xml:space="preserve">  </w:t>
      </w:r>
      <w:r>
        <w:rPr>
          <w:snapToGrid/>
          <w:szCs w:val="22"/>
        </w:rPr>
        <w:t>T</w:t>
      </w:r>
      <w:r w:rsidRPr="00053890">
        <w:rPr>
          <w:snapToGrid/>
          <w:szCs w:val="22"/>
        </w:rPr>
        <w:t xml:space="preserve">he Applicants </w:t>
      </w:r>
      <w:r>
        <w:rPr>
          <w:snapToGrid/>
          <w:szCs w:val="22"/>
        </w:rPr>
        <w:t xml:space="preserve">further </w:t>
      </w:r>
      <w:r w:rsidRPr="00053890">
        <w:rPr>
          <w:snapToGrid/>
          <w:szCs w:val="22"/>
        </w:rPr>
        <w:t xml:space="preserve">claim that </w:t>
      </w:r>
      <w:r>
        <w:rPr>
          <w:snapToGrid/>
          <w:szCs w:val="22"/>
        </w:rPr>
        <w:t>NTELOS</w:t>
      </w:r>
      <w:r w:rsidRPr="00053890">
        <w:rPr>
          <w:snapToGrid/>
          <w:szCs w:val="22"/>
        </w:rPr>
        <w:t xml:space="preserve"> customers traveling outside of the </w:t>
      </w:r>
      <w:r>
        <w:rPr>
          <w:snapToGrid/>
          <w:szCs w:val="22"/>
        </w:rPr>
        <w:t>NTELOS</w:t>
      </w:r>
      <w:r w:rsidRPr="00053890">
        <w:rPr>
          <w:snapToGrid/>
          <w:szCs w:val="22"/>
        </w:rPr>
        <w:t xml:space="preserve"> service area would have improved and more economical roaming because </w:t>
      </w:r>
      <w:r w:rsidRPr="006E29EF">
        <w:rPr>
          <w:szCs w:val="22"/>
        </w:rPr>
        <w:t>Sprint</w:t>
      </w:r>
      <w:r w:rsidRPr="00053890">
        <w:rPr>
          <w:snapToGrid/>
          <w:szCs w:val="22"/>
        </w:rPr>
        <w:t xml:space="preserve"> has existing roaming agreements that allow it to provide roaming coverage more efficiently.</w:t>
      </w:r>
      <w:r w:rsidRPr="00053890">
        <w:rPr>
          <w:rStyle w:val="FootnoteReference"/>
          <w:snapToGrid/>
          <w:szCs w:val="22"/>
        </w:rPr>
        <w:footnoteReference w:id="129"/>
      </w:r>
      <w:r w:rsidRPr="00053890">
        <w:rPr>
          <w:snapToGrid/>
          <w:szCs w:val="22"/>
        </w:rPr>
        <w:t xml:space="preserve">  </w:t>
      </w:r>
    </w:p>
    <w:p w14:paraId="7FBC9E8C" w14:textId="77777777" w:rsidR="00B53330" w:rsidRDefault="00B53330" w:rsidP="00B53330">
      <w:pPr>
        <w:pStyle w:val="ParaNum"/>
        <w:widowControl/>
        <w:tabs>
          <w:tab w:val="num" w:pos="1620"/>
        </w:tabs>
        <w:ind w:left="0"/>
      </w:pPr>
      <w:r>
        <w:t>The Applicants also have stated that they will ensure a smooth transition for NTELOS customers, and that no subscribers will lose service as a result of this proposed transaction.</w:t>
      </w:r>
      <w:r>
        <w:rPr>
          <w:rStyle w:val="FootnoteReference"/>
        </w:rPr>
        <w:footnoteReference w:id="130"/>
      </w:r>
      <w:r>
        <w:t xml:space="preserve">  In a letter filed with the Commission, Sprint and Shentel have </w:t>
      </w:r>
      <w:r w:rsidRPr="00104F98">
        <w:t xml:space="preserve">made a number of </w:t>
      </w:r>
      <w:r>
        <w:t xml:space="preserve">voluntary </w:t>
      </w:r>
      <w:r w:rsidRPr="00104F98">
        <w:t xml:space="preserve">commitments with respect to </w:t>
      </w:r>
      <w:r>
        <w:t>their</w:t>
      </w:r>
      <w:r w:rsidRPr="00104F98">
        <w:t xml:space="preserve"> plans for transition of the existing </w:t>
      </w:r>
      <w:r>
        <w:t>NTELOS</w:t>
      </w:r>
      <w:r w:rsidRPr="00104F98">
        <w:t xml:space="preserve"> customers.  </w:t>
      </w:r>
      <w:r>
        <w:t>Specifically, postpaid NTELOS customers with Apple operating system (OS)-powered handsets, Apple models 5c and later, will receive a new SIM card at no cost, but will otherwise be permitted to continue to use such handsets or upgrade to other handsets once transitioned.</w:t>
      </w:r>
      <w:r>
        <w:rPr>
          <w:rStyle w:val="FootnoteReference"/>
        </w:rPr>
        <w:footnoteReference w:id="131"/>
      </w:r>
      <w:r>
        <w:t xml:space="preserve">  Further, these customers will have the option to select any new Sprint service plan available at the time they transition, or they will be transitioned to a service plan that is equal to, or more favorable than, their existing NTELOS service plan.</w:t>
      </w:r>
      <w:r>
        <w:rPr>
          <w:rStyle w:val="FootnoteReference"/>
        </w:rPr>
        <w:footnoteReference w:id="132"/>
      </w:r>
      <w:r>
        <w:t xml:space="preserve">  Postpaid customers with Android OS-powered handsets and customers with </w:t>
      </w:r>
      <w:r w:rsidRPr="00B15774">
        <w:t>Apple iOS models prior to the Apple 5c</w:t>
      </w:r>
      <w:r>
        <w:t xml:space="preserve"> will receive a like-for-like replacement handset that is compatible with the expanded capabilities of the Sprint network.</w:t>
      </w:r>
      <w:r>
        <w:rPr>
          <w:rStyle w:val="FootnoteReference"/>
        </w:rPr>
        <w:footnoteReference w:id="133"/>
      </w:r>
      <w:r>
        <w:t xml:space="preserve"> The Applicants state that there will be no additional costs to the customer for these like-for-like replacement handsets.</w:t>
      </w:r>
      <w:r>
        <w:rPr>
          <w:rStyle w:val="FootnoteReference"/>
        </w:rPr>
        <w:footnoteReference w:id="134"/>
      </w:r>
      <w:r>
        <w:t xml:space="preserve">  For prepaid customers, Sprint and Shentel commit that prepaid customers will be served off of the existing NTELOS billing and customer care platform for a period of approximately 150 days, but no later than August 31, 2016.</w:t>
      </w:r>
      <w:r>
        <w:rPr>
          <w:rStyle w:val="FootnoteReference"/>
        </w:rPr>
        <w:footnoteReference w:id="135"/>
      </w:r>
      <w:r>
        <w:t xml:space="preserve">  </w:t>
      </w:r>
    </w:p>
    <w:p w14:paraId="021B6EC7" w14:textId="77777777" w:rsidR="00B53330" w:rsidRPr="00CE59CE" w:rsidRDefault="00B53330" w:rsidP="00B53330">
      <w:pPr>
        <w:pStyle w:val="ParaNum"/>
        <w:widowControl/>
        <w:tabs>
          <w:tab w:val="num" w:pos="1440"/>
        </w:tabs>
        <w:ind w:left="0"/>
        <w:rPr>
          <w:snapToGrid/>
          <w:szCs w:val="22"/>
        </w:rPr>
      </w:pPr>
      <w:r>
        <w:rPr>
          <w:i/>
          <w:snapToGrid/>
          <w:szCs w:val="22"/>
        </w:rPr>
        <w:t>Increased Competition</w:t>
      </w:r>
      <w:r w:rsidRPr="00936DA3">
        <w:rPr>
          <w:snapToGrid/>
          <w:szCs w:val="22"/>
        </w:rPr>
        <w:t xml:space="preserve">.  </w:t>
      </w:r>
      <w:r w:rsidRPr="00053890">
        <w:rPr>
          <w:snapToGrid/>
          <w:szCs w:val="22"/>
        </w:rPr>
        <w:t xml:space="preserve">The Applicants further argue that the proposed </w:t>
      </w:r>
      <w:r>
        <w:rPr>
          <w:snapToGrid/>
          <w:szCs w:val="22"/>
        </w:rPr>
        <w:t>transaction</w:t>
      </w:r>
      <w:r w:rsidRPr="00053890">
        <w:rPr>
          <w:snapToGrid/>
          <w:szCs w:val="22"/>
        </w:rPr>
        <w:t xml:space="preserve"> would </w:t>
      </w:r>
      <w:r>
        <w:rPr>
          <w:snapToGrid/>
          <w:szCs w:val="22"/>
        </w:rPr>
        <w:t xml:space="preserve">benefit customers through </w:t>
      </w:r>
      <w:r w:rsidRPr="00053890">
        <w:rPr>
          <w:snapToGrid/>
          <w:szCs w:val="22"/>
        </w:rPr>
        <w:t>increase</w:t>
      </w:r>
      <w:r>
        <w:rPr>
          <w:snapToGrid/>
          <w:szCs w:val="22"/>
        </w:rPr>
        <w:t>d</w:t>
      </w:r>
      <w:r w:rsidRPr="00053890">
        <w:rPr>
          <w:snapToGrid/>
          <w:szCs w:val="22"/>
        </w:rPr>
        <w:t xml:space="preserve"> competition</w:t>
      </w:r>
      <w:r>
        <w:rPr>
          <w:snapToGrid/>
          <w:szCs w:val="22"/>
        </w:rPr>
        <w:t>.</w:t>
      </w:r>
      <w:r w:rsidRPr="00E25DF0">
        <w:rPr>
          <w:rStyle w:val="FootnoteReference"/>
          <w:snapToGrid/>
          <w:szCs w:val="22"/>
        </w:rPr>
        <w:footnoteReference w:id="136"/>
      </w:r>
      <w:r w:rsidRPr="00053890">
        <w:rPr>
          <w:snapToGrid/>
          <w:szCs w:val="22"/>
        </w:rPr>
        <w:t xml:space="preserve"> </w:t>
      </w:r>
      <w:r>
        <w:rPr>
          <w:snapToGrid/>
          <w:szCs w:val="22"/>
        </w:rPr>
        <w:t xml:space="preserve"> </w:t>
      </w:r>
      <w:r w:rsidRPr="000F4D3E">
        <w:rPr>
          <w:snapToGrid/>
          <w:szCs w:val="22"/>
        </w:rPr>
        <w:t xml:space="preserve">The Applicants maintain that the </w:t>
      </w:r>
      <w:r>
        <w:rPr>
          <w:snapToGrid/>
          <w:szCs w:val="22"/>
        </w:rPr>
        <w:t xml:space="preserve">planned </w:t>
      </w:r>
      <w:r w:rsidRPr="000F4D3E">
        <w:rPr>
          <w:snapToGrid/>
          <w:szCs w:val="22"/>
        </w:rPr>
        <w:t xml:space="preserve">investments in the </w:t>
      </w:r>
      <w:r>
        <w:rPr>
          <w:snapToGrid/>
          <w:szCs w:val="22"/>
        </w:rPr>
        <w:t>NTELOS</w:t>
      </w:r>
      <w:r w:rsidRPr="000F4D3E">
        <w:rPr>
          <w:snapToGrid/>
          <w:szCs w:val="22"/>
        </w:rPr>
        <w:t xml:space="preserve"> network and service area would </w:t>
      </w:r>
      <w:r>
        <w:rPr>
          <w:snapToGrid/>
          <w:szCs w:val="22"/>
        </w:rPr>
        <w:t>give</w:t>
      </w:r>
      <w:r w:rsidRPr="00053890">
        <w:rPr>
          <w:snapToGrid/>
          <w:szCs w:val="22"/>
        </w:rPr>
        <w:t xml:space="preserve"> customers better wireless service and improved </w:t>
      </w:r>
      <w:r>
        <w:rPr>
          <w:snapToGrid/>
          <w:szCs w:val="22"/>
        </w:rPr>
        <w:t xml:space="preserve">service </w:t>
      </w:r>
      <w:r w:rsidRPr="00053890">
        <w:rPr>
          <w:snapToGrid/>
          <w:szCs w:val="22"/>
        </w:rPr>
        <w:t>provider options.</w:t>
      </w:r>
      <w:r w:rsidRPr="00053890">
        <w:rPr>
          <w:rStyle w:val="FootnoteReference"/>
          <w:snapToGrid/>
          <w:szCs w:val="22"/>
        </w:rPr>
        <w:footnoteReference w:id="137"/>
      </w:r>
      <w:r w:rsidRPr="00053890">
        <w:rPr>
          <w:snapToGrid/>
          <w:szCs w:val="22"/>
        </w:rPr>
        <w:t xml:space="preserve">  </w:t>
      </w:r>
      <w:r>
        <w:rPr>
          <w:snapToGrid/>
          <w:szCs w:val="22"/>
        </w:rPr>
        <w:t>T</w:t>
      </w:r>
      <w:r w:rsidRPr="00053890">
        <w:rPr>
          <w:snapToGrid/>
          <w:szCs w:val="22"/>
        </w:rPr>
        <w:t xml:space="preserve">he Applicants contend that Sprint presently is not a strong competitor in the relevant markets </w:t>
      </w:r>
      <w:r w:rsidRPr="00137705">
        <w:rPr>
          <w:snapToGrid/>
          <w:szCs w:val="22"/>
        </w:rPr>
        <w:t xml:space="preserve">where Sprint is a wholesale customer of </w:t>
      </w:r>
      <w:r>
        <w:rPr>
          <w:snapToGrid/>
          <w:szCs w:val="22"/>
        </w:rPr>
        <w:t>NTELOS</w:t>
      </w:r>
      <w:r w:rsidRPr="00137705">
        <w:rPr>
          <w:snapToGrid/>
          <w:szCs w:val="22"/>
        </w:rPr>
        <w:t xml:space="preserve"> </w:t>
      </w:r>
      <w:r>
        <w:rPr>
          <w:snapToGrid/>
          <w:szCs w:val="22"/>
        </w:rPr>
        <w:t>and</w:t>
      </w:r>
      <w:r w:rsidRPr="00137705">
        <w:rPr>
          <w:snapToGrid/>
          <w:szCs w:val="22"/>
        </w:rPr>
        <w:t xml:space="preserve"> assert that the proposed transaction would allow Sprint to move away from a wholesale purchasing model in these areas and into its affiliate model with Shentel.</w:t>
      </w:r>
      <w:r w:rsidRPr="00936DA3">
        <w:rPr>
          <w:snapToGrid/>
          <w:sz w:val="20"/>
          <w:vertAlign w:val="superscript"/>
        </w:rPr>
        <w:footnoteReference w:id="138"/>
      </w:r>
      <w:r>
        <w:rPr>
          <w:snapToGrid/>
          <w:szCs w:val="22"/>
        </w:rPr>
        <w:t xml:space="preserve">  </w:t>
      </w:r>
      <w:r>
        <w:t xml:space="preserve">The Applicants argue that </w:t>
      </w:r>
      <w:r w:rsidRPr="009F2D59">
        <w:t>the affiliate model and planned</w:t>
      </w:r>
      <w:r>
        <w:t xml:space="preserve"> </w:t>
      </w:r>
      <w:r w:rsidRPr="009F2D59">
        <w:t>network infrastructure upgrades and improvements provide Sprint and Shentel with greater</w:t>
      </w:r>
      <w:r>
        <w:t xml:space="preserve"> </w:t>
      </w:r>
      <w:r w:rsidRPr="009F2D59">
        <w:t xml:space="preserve">incentives to compete for new subscribers, and </w:t>
      </w:r>
      <w:r>
        <w:t>would</w:t>
      </w:r>
      <w:r w:rsidRPr="009F2D59">
        <w:t xml:space="preserve"> allow Sprint and Shentel to offer a better</w:t>
      </w:r>
      <w:r>
        <w:t xml:space="preserve"> </w:t>
      </w:r>
      <w:r w:rsidRPr="009F2D59">
        <w:t xml:space="preserve">service than what </w:t>
      </w:r>
      <w:r>
        <w:t>NTELOS</w:t>
      </w:r>
      <w:r w:rsidRPr="009F2D59">
        <w:t xml:space="preserve"> is able to offer today</w:t>
      </w:r>
      <w:r>
        <w:t xml:space="preserve"> </w:t>
      </w:r>
      <w:r w:rsidRPr="009F2D59">
        <w:t>independently.</w:t>
      </w:r>
      <w:r>
        <w:rPr>
          <w:rStyle w:val="FootnoteReference"/>
        </w:rPr>
        <w:footnoteReference w:id="139"/>
      </w:r>
      <w:r w:rsidRPr="009F2D59">
        <w:t xml:space="preserve"> </w:t>
      </w:r>
      <w:r>
        <w:t xml:space="preserve"> </w:t>
      </w:r>
      <w:r w:rsidRPr="009F2D59">
        <w:t xml:space="preserve">Further, </w:t>
      </w:r>
      <w:r>
        <w:t xml:space="preserve">the Applicants assert that </w:t>
      </w:r>
      <w:r w:rsidRPr="009F2D59">
        <w:t xml:space="preserve">the acquisition of </w:t>
      </w:r>
      <w:r>
        <w:t>NTELOS</w:t>
      </w:r>
      <w:r w:rsidRPr="009F2D59">
        <w:t>’s retail stores w</w:t>
      </w:r>
      <w:r>
        <w:t>ould</w:t>
      </w:r>
      <w:r w:rsidRPr="009F2D59">
        <w:t xml:space="preserve"> provide Sprint and</w:t>
      </w:r>
      <w:r>
        <w:t xml:space="preserve"> </w:t>
      </w:r>
      <w:r w:rsidRPr="009F2D59">
        <w:t xml:space="preserve">Shentel with a greater capability to compete with </w:t>
      </w:r>
      <w:r>
        <w:t xml:space="preserve">AT&amp;T and Verizon Wireless </w:t>
      </w:r>
      <w:r w:rsidRPr="009F2D59">
        <w:t>in the relevant geographic</w:t>
      </w:r>
      <w:r>
        <w:t xml:space="preserve"> </w:t>
      </w:r>
      <w:r w:rsidRPr="009F2D59">
        <w:rPr>
          <w:snapToGrid/>
        </w:rPr>
        <w:t>areas.</w:t>
      </w:r>
      <w:r>
        <w:rPr>
          <w:rStyle w:val="FootnoteReference"/>
          <w:snapToGrid/>
        </w:rPr>
        <w:footnoteReference w:id="140"/>
      </w:r>
    </w:p>
    <w:p w14:paraId="71757CF7" w14:textId="77777777" w:rsidR="00B53330" w:rsidRPr="00674C80" w:rsidRDefault="00B53330" w:rsidP="00B53330">
      <w:pPr>
        <w:pStyle w:val="ParaNum"/>
        <w:tabs>
          <w:tab w:val="num" w:pos="1440"/>
        </w:tabs>
        <w:ind w:left="0"/>
        <w:rPr>
          <w:bCs/>
          <w:snapToGrid/>
          <w:szCs w:val="22"/>
        </w:rPr>
      </w:pPr>
      <w:r w:rsidRPr="00053890">
        <w:rPr>
          <w:i/>
          <w:snapToGrid/>
          <w:color w:val="000000" w:themeColor="text1"/>
          <w:szCs w:val="22"/>
        </w:rPr>
        <w:t>Evaluation</w:t>
      </w:r>
      <w:r w:rsidRPr="00053890">
        <w:rPr>
          <w:snapToGrid/>
          <w:color w:val="000000" w:themeColor="text1"/>
          <w:szCs w:val="22"/>
        </w:rPr>
        <w:t xml:space="preserve">.  We have reviewed the Applicants’ asserted benefits, as well as their responses to our requests </w:t>
      </w:r>
      <w:r w:rsidRPr="006E29EF">
        <w:rPr>
          <w:snapToGrid/>
          <w:szCs w:val="22"/>
        </w:rPr>
        <w:t>for</w:t>
      </w:r>
      <w:r w:rsidRPr="00053890">
        <w:rPr>
          <w:snapToGrid/>
          <w:color w:val="000000" w:themeColor="text1"/>
          <w:szCs w:val="22"/>
        </w:rPr>
        <w:t xml:space="preserve"> additional </w:t>
      </w:r>
      <w:r w:rsidRPr="00053890">
        <w:rPr>
          <w:snapToGrid/>
          <w:color w:val="000000" w:themeColor="text1"/>
          <w:kern w:val="0"/>
          <w:szCs w:val="22"/>
        </w:rPr>
        <w:t>information and documents</w:t>
      </w:r>
      <w:r>
        <w:rPr>
          <w:snapToGrid/>
          <w:color w:val="000000" w:themeColor="text1"/>
          <w:kern w:val="0"/>
          <w:szCs w:val="22"/>
        </w:rPr>
        <w:t xml:space="preserve">.  We conclude that </w:t>
      </w:r>
      <w:r w:rsidRPr="00053890">
        <w:rPr>
          <w:snapToGrid/>
          <w:color w:val="000000" w:themeColor="text1"/>
          <w:kern w:val="0"/>
          <w:szCs w:val="22"/>
        </w:rPr>
        <w:t>t</w:t>
      </w:r>
      <w:r w:rsidRPr="00053890">
        <w:t>he record</w:t>
      </w:r>
      <w:r>
        <w:t>, as supplemented by their commitments,</w:t>
      </w:r>
      <w:r w:rsidRPr="00053890">
        <w:t xml:space="preserve"> provides support for the Applicants’ contentions that the proposed transaction would result in some verifiable, transaction-specific public interest benefits.  W</w:t>
      </w:r>
      <w:r w:rsidRPr="00053890">
        <w:rPr>
          <w:color w:val="000000" w:themeColor="text1"/>
          <w:szCs w:val="22"/>
        </w:rPr>
        <w:t>e anticipate that Sprint and Shentel, through the spectrum acquisition and infrastructure improvement, could deploy a more competitive LTE network</w:t>
      </w:r>
      <w:r>
        <w:rPr>
          <w:color w:val="000000" w:themeColor="text1"/>
          <w:szCs w:val="22"/>
        </w:rPr>
        <w:t>, and there would be benefits to its customers resulting from an expanded and denser LTE network</w:t>
      </w:r>
      <w:r w:rsidRPr="00053890">
        <w:rPr>
          <w:color w:val="000000" w:themeColor="text1"/>
          <w:szCs w:val="22"/>
        </w:rPr>
        <w:t xml:space="preserve">.  </w:t>
      </w:r>
      <w:r w:rsidRPr="00053890">
        <w:t xml:space="preserve">To the extent that the proposed transaction would facilitate more rapid 4G LTE deployment in these markets, it likely would lead to discernible benefits to those </w:t>
      </w:r>
      <w:r>
        <w:t>NTELOS</w:t>
      </w:r>
      <w:r w:rsidRPr="00053890">
        <w:t xml:space="preserve"> customers </w:t>
      </w:r>
      <w:r>
        <w:t>that</w:t>
      </w:r>
      <w:r w:rsidRPr="00053890">
        <w:t xml:space="preserve"> transition to </w:t>
      </w:r>
      <w:r>
        <w:t>the higher quality</w:t>
      </w:r>
      <w:r w:rsidRPr="00053890">
        <w:t xml:space="preserve"> network.</w:t>
      </w:r>
      <w:r w:rsidRPr="00053890">
        <w:rPr>
          <w:rStyle w:val="FootnoteReference"/>
        </w:rPr>
        <w:footnoteReference w:id="141"/>
      </w:r>
      <w:r>
        <w:t xml:space="preserve">  We note that we cannot fully credit this claimed public interest benefit given the timeframes as articulated by the Applicants as the timeframes are inherently more speculative than predictions that are closer to the present.  However, the network deployment commitment adopted as a condition to our consent, as discussed below, allows us to recognize these claimed public interest benefits of the proposed transaction.</w:t>
      </w:r>
    </w:p>
    <w:p w14:paraId="4348042C" w14:textId="77777777" w:rsidR="00B53330" w:rsidRPr="00674C80" w:rsidRDefault="00B53330" w:rsidP="00B53330">
      <w:pPr>
        <w:pStyle w:val="ParaNum"/>
        <w:tabs>
          <w:tab w:val="num" w:pos="1440"/>
        </w:tabs>
        <w:ind w:left="0"/>
        <w:rPr>
          <w:bCs/>
          <w:snapToGrid/>
          <w:szCs w:val="22"/>
        </w:rPr>
      </w:pPr>
      <w:r w:rsidRPr="00674C80">
        <w:rPr>
          <w:bCs/>
          <w:szCs w:val="22"/>
        </w:rPr>
        <w:t>We further find that the proposed transaction could allow Sprint/Shentel to provide a better user experience to NTELOS’s customers more rapidly than otherwise</w:t>
      </w:r>
      <w:r w:rsidRPr="00053890">
        <w:t xml:space="preserve">.  We acknowledge the Applicants’ </w:t>
      </w:r>
      <w:r>
        <w:t xml:space="preserve">claimed </w:t>
      </w:r>
      <w:r w:rsidRPr="00053890">
        <w:t xml:space="preserve">benefits to </w:t>
      </w:r>
      <w:r>
        <w:t>NTELOS</w:t>
      </w:r>
      <w:r w:rsidRPr="00053890">
        <w:t xml:space="preserve"> customers, including </w:t>
      </w:r>
      <w:r>
        <w:t xml:space="preserve">broader </w:t>
      </w:r>
      <w:r w:rsidRPr="00053890">
        <w:t>access to 4G LTE technology</w:t>
      </w:r>
      <w:r>
        <w:t xml:space="preserve"> and the </w:t>
      </w:r>
      <w:r w:rsidRPr="00053890">
        <w:t>expanded choice of handsets</w:t>
      </w:r>
      <w:r>
        <w:t>, as well as the steps that Sprint/Shentel have committed to take to ensure a smooth transition for NTELOS customers</w:t>
      </w:r>
      <w:r w:rsidRPr="00053890">
        <w:t xml:space="preserve">.  Also, we find that the proposed transaction would lead to certain roaming cost </w:t>
      </w:r>
      <w:r>
        <w:t>efficiencies</w:t>
      </w:r>
      <w:r w:rsidRPr="00053890">
        <w:t xml:space="preserve">, which likely would result in some public interest benefits to the extent </w:t>
      </w:r>
      <w:r>
        <w:t xml:space="preserve">that </w:t>
      </w:r>
      <w:r w:rsidRPr="00053890">
        <w:t>these are passed on to the customer.</w:t>
      </w:r>
      <w:r w:rsidRPr="00053890">
        <w:rPr>
          <w:rStyle w:val="FootnoteReference"/>
        </w:rPr>
        <w:footnoteReference w:id="142"/>
      </w:r>
      <w:r w:rsidRPr="00053890">
        <w:t xml:space="preserve">  </w:t>
      </w:r>
    </w:p>
    <w:p w14:paraId="3CD4E0E1" w14:textId="77777777" w:rsidR="00B53330" w:rsidRPr="00224B69" w:rsidRDefault="00B53330" w:rsidP="00B53330">
      <w:pPr>
        <w:pStyle w:val="Heading1"/>
        <w:rPr>
          <w:rFonts w:ascii="Times New Roman" w:hAnsi="Times New Roman"/>
        </w:rPr>
      </w:pPr>
      <w:bookmarkStart w:id="191" w:name="_Toc445827921"/>
      <w:bookmarkStart w:id="192" w:name="_Toc446399809"/>
      <w:bookmarkStart w:id="193" w:name="_Toc447192511"/>
      <w:bookmarkStart w:id="194" w:name="_Toc448303782"/>
      <w:bookmarkStart w:id="195" w:name="_Toc448473182"/>
      <w:bookmarkStart w:id="196" w:name="_Toc381198761"/>
      <w:bookmarkStart w:id="197" w:name="_Toc381200362"/>
      <w:bookmarkStart w:id="198" w:name="_Toc381292418"/>
      <w:bookmarkStart w:id="199" w:name="_Toc381376015"/>
      <w:bookmarkStart w:id="200" w:name="_Toc381606986"/>
      <w:bookmarkStart w:id="201" w:name="_Toc381630510"/>
      <w:bookmarkStart w:id="202" w:name="_Toc381714931"/>
      <w:bookmarkStart w:id="203" w:name="_Toc381716617"/>
      <w:bookmarkStart w:id="204" w:name="_Toc381894557"/>
      <w:bookmarkStart w:id="205" w:name="_Toc381968005"/>
      <w:bookmarkStart w:id="206" w:name="_Toc382304424"/>
      <w:bookmarkStart w:id="207" w:name="_Toc382327948"/>
      <w:bookmarkStart w:id="208" w:name="_Toc382423171"/>
      <w:bookmarkStart w:id="209" w:name="_Toc382475669"/>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r>
        <w:rPr>
          <w:rFonts w:ascii="Times New Roman" w:hAnsi="Times New Roman"/>
        </w:rPr>
        <w:t>commitments and remedies</w:t>
      </w:r>
      <w:bookmarkEnd w:id="191"/>
      <w:bookmarkEnd w:id="192"/>
      <w:bookmarkEnd w:id="193"/>
      <w:bookmarkEnd w:id="194"/>
      <w:bookmarkEnd w:id="195"/>
    </w:p>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p w14:paraId="4DC3E9DC" w14:textId="77777777" w:rsidR="00B53330" w:rsidRPr="00A27BB0" w:rsidRDefault="00B53330" w:rsidP="00B53330">
      <w:pPr>
        <w:pStyle w:val="ParaNum"/>
        <w:tabs>
          <w:tab w:val="num" w:pos="1620"/>
        </w:tabs>
        <w:ind w:left="0"/>
      </w:pPr>
      <w:r w:rsidRPr="00FF23B3">
        <w:t>The review of a proposed transaction entails a thorough examination of the potential public interest harms and any verifiable, transaction-specific benefits, including any commitments made by the Applicants to further the public interest.</w:t>
      </w:r>
      <w:r>
        <w:rPr>
          <w:rStyle w:val="FootnoteReference"/>
        </w:rPr>
        <w:footnoteReference w:id="143"/>
      </w:r>
      <w:r w:rsidRPr="00FF23B3">
        <w:t xml:space="preserve">  As part of this process, </w:t>
      </w:r>
      <w:r>
        <w:t>we</w:t>
      </w:r>
      <w:r w:rsidRPr="00FF23B3">
        <w:t xml:space="preserve"> may impose additional remedial conditions to address potential harms likely to result from the proposed transaction or to help ensure the realization of any promised potential benefits.</w:t>
      </w:r>
      <w:r>
        <w:rPr>
          <w:rStyle w:val="FootnoteReference"/>
        </w:rPr>
        <w:footnoteReference w:id="144"/>
      </w:r>
    </w:p>
    <w:p w14:paraId="6FEF79C1" w14:textId="77777777" w:rsidR="00B53330" w:rsidRDefault="00B53330" w:rsidP="00B53330">
      <w:pPr>
        <w:pStyle w:val="ParaNum"/>
        <w:tabs>
          <w:tab w:val="num" w:pos="1620"/>
        </w:tabs>
        <w:ind w:left="0"/>
      </w:pPr>
      <w:r w:rsidRPr="00B23E7C">
        <w:t xml:space="preserve">In recent filings supplementing the record on some key issues, </w:t>
      </w:r>
      <w:r>
        <w:t>Sprint and Shentel have</w:t>
      </w:r>
      <w:r w:rsidRPr="00B23E7C">
        <w:t xml:space="preserve"> made several voluntary commitments</w:t>
      </w:r>
      <w:r>
        <w:t xml:space="preserve"> that, as explained below, </w:t>
      </w:r>
      <w:r w:rsidRPr="00B23E7C">
        <w:t>allow us to find that the proposed transaction overall would be in the public interest.</w:t>
      </w:r>
      <w:r w:rsidRPr="00B23E7C">
        <w:rPr>
          <w:rStyle w:val="FootnoteReference"/>
        </w:rPr>
        <w:footnoteReference w:id="145"/>
      </w:r>
      <w:r w:rsidRPr="00B23E7C">
        <w:t xml:space="preserve">  </w:t>
      </w:r>
      <w:r w:rsidRPr="0005708E">
        <w:rPr>
          <w:rFonts w:eastAsiaTheme="minorHAnsi"/>
          <w:snapToGrid/>
          <w:color w:val="010101"/>
          <w:kern w:val="0"/>
          <w:szCs w:val="22"/>
        </w:rPr>
        <w:t>Th</w:t>
      </w:r>
      <w:r>
        <w:rPr>
          <w:rFonts w:eastAsiaTheme="minorHAnsi"/>
          <w:snapToGrid/>
          <w:color w:val="010101"/>
          <w:kern w:val="0"/>
          <w:szCs w:val="22"/>
        </w:rPr>
        <w:t>e</w:t>
      </w:r>
      <w:r w:rsidRPr="0005708E">
        <w:rPr>
          <w:rFonts w:eastAsiaTheme="minorHAnsi"/>
          <w:snapToGrid/>
          <w:color w:val="010101"/>
          <w:kern w:val="0"/>
          <w:szCs w:val="22"/>
        </w:rPr>
        <w:t>se commitments include</w:t>
      </w:r>
      <w:r>
        <w:rPr>
          <w:rFonts w:eastAsiaTheme="minorHAnsi"/>
          <w:snapToGrid/>
          <w:color w:val="010101"/>
          <w:kern w:val="0"/>
          <w:szCs w:val="22"/>
        </w:rPr>
        <w:t>, in addition to the customer transition matters discussed in Section IV. above,</w:t>
      </w:r>
      <w:r w:rsidRPr="0005708E">
        <w:rPr>
          <w:rFonts w:eastAsiaTheme="minorHAnsi"/>
          <w:snapToGrid/>
          <w:color w:val="010101"/>
          <w:kern w:val="0"/>
          <w:szCs w:val="22"/>
        </w:rPr>
        <w:t xml:space="preserve"> spectrum </w:t>
      </w:r>
      <w:r>
        <w:rPr>
          <w:rFonts w:eastAsiaTheme="minorHAnsi"/>
          <w:snapToGrid/>
          <w:color w:val="010101"/>
          <w:kern w:val="0"/>
          <w:szCs w:val="22"/>
        </w:rPr>
        <w:t>divestitures in certain markets</w:t>
      </w:r>
      <w:r w:rsidRPr="0005708E">
        <w:rPr>
          <w:rFonts w:eastAsiaTheme="minorHAnsi"/>
          <w:snapToGrid/>
          <w:color w:val="010101"/>
          <w:kern w:val="0"/>
          <w:szCs w:val="22"/>
        </w:rPr>
        <w:t xml:space="preserve"> where we have found the potential for spectrum ag</w:t>
      </w:r>
      <w:r w:rsidRPr="00A91C60">
        <w:rPr>
          <w:rFonts w:eastAsiaTheme="minorHAnsi"/>
          <w:snapToGrid/>
          <w:color w:val="010101"/>
          <w:kern w:val="0"/>
          <w:szCs w:val="22"/>
        </w:rPr>
        <w:t>gregation to lead to competitive harm</w:t>
      </w:r>
      <w:r>
        <w:rPr>
          <w:rFonts w:eastAsiaTheme="minorHAnsi"/>
          <w:snapToGrid/>
          <w:color w:val="010101"/>
          <w:kern w:val="0"/>
          <w:szCs w:val="22"/>
        </w:rPr>
        <w:t>, and expanded and densified LTE network deployment</w:t>
      </w:r>
      <w:r w:rsidRPr="00A91C60">
        <w:rPr>
          <w:rFonts w:eastAsiaTheme="minorHAnsi"/>
          <w:snapToGrid/>
          <w:color w:val="010101"/>
          <w:kern w:val="0"/>
          <w:szCs w:val="22"/>
        </w:rPr>
        <w:t>.</w:t>
      </w:r>
      <w:r>
        <w:rPr>
          <w:rFonts w:eastAsiaTheme="minorHAnsi"/>
          <w:snapToGrid/>
          <w:color w:val="010101"/>
          <w:kern w:val="0"/>
          <w:szCs w:val="22"/>
        </w:rPr>
        <w:t xml:space="preserve">  </w:t>
      </w:r>
      <w:r>
        <w:t>Sprint and Shentel have committed to file quarterly reports detailing their progress in complying with these commitments.</w:t>
      </w:r>
      <w:r>
        <w:rPr>
          <w:rStyle w:val="FootnoteReference"/>
        </w:rPr>
        <w:footnoteReference w:id="146"/>
      </w:r>
    </w:p>
    <w:p w14:paraId="511EE357" w14:textId="77777777" w:rsidR="00B53330" w:rsidRDefault="00B53330" w:rsidP="00B53330">
      <w:pPr>
        <w:pStyle w:val="ParaNum"/>
        <w:widowControl/>
        <w:tabs>
          <w:tab w:val="num" w:pos="1620"/>
        </w:tabs>
        <w:ind w:left="0"/>
      </w:pPr>
      <w:r w:rsidRPr="004A54BE">
        <w:rPr>
          <w:i/>
          <w:snapToGrid/>
        </w:rPr>
        <w:t>Network Deployment</w:t>
      </w:r>
      <w:r w:rsidRPr="004A54BE">
        <w:rPr>
          <w:snapToGrid/>
        </w:rPr>
        <w:t>.</w:t>
      </w:r>
      <w:r>
        <w:rPr>
          <w:snapToGrid/>
        </w:rPr>
        <w:t xml:space="preserve">  </w:t>
      </w:r>
      <w:r w:rsidRPr="002D303E">
        <w:rPr>
          <w:rFonts w:eastAsiaTheme="minorHAnsi"/>
          <w:snapToGrid/>
          <w:color w:val="010101"/>
          <w:kern w:val="0"/>
          <w:szCs w:val="22"/>
        </w:rPr>
        <w:t xml:space="preserve">Sprint and Shentel are committing to deploy LTE service </w:t>
      </w:r>
      <w:r>
        <w:rPr>
          <w:rFonts w:eastAsiaTheme="minorHAnsi"/>
          <w:snapToGrid/>
          <w:color w:val="010101"/>
          <w:kern w:val="0"/>
          <w:szCs w:val="22"/>
        </w:rPr>
        <w:t xml:space="preserve">so that </w:t>
      </w:r>
      <w:r w:rsidRPr="0005708E">
        <w:rPr>
          <w:rFonts w:eastAsiaTheme="minorHAnsi"/>
          <w:snapToGrid/>
          <w:color w:val="010101"/>
          <w:kern w:val="0"/>
          <w:szCs w:val="22"/>
        </w:rPr>
        <w:t xml:space="preserve">NTELOS customers will </w:t>
      </w:r>
      <w:r>
        <w:rPr>
          <w:rFonts w:eastAsiaTheme="minorHAnsi"/>
          <w:snapToGrid/>
          <w:color w:val="010101"/>
          <w:kern w:val="0"/>
          <w:szCs w:val="22"/>
        </w:rPr>
        <w:t>have</w:t>
      </w:r>
      <w:r w:rsidRPr="0005708E">
        <w:rPr>
          <w:rFonts w:eastAsiaTheme="minorHAnsi"/>
          <w:snapToGrid/>
          <w:color w:val="010101"/>
          <w:kern w:val="0"/>
          <w:szCs w:val="22"/>
        </w:rPr>
        <w:t xml:space="preserve"> access to a network that will be upgraded to LTE network </w:t>
      </w:r>
      <w:r>
        <w:rPr>
          <w:rFonts w:eastAsiaTheme="minorHAnsi"/>
          <w:snapToGrid/>
          <w:color w:val="010101"/>
          <w:kern w:val="0"/>
          <w:szCs w:val="22"/>
        </w:rPr>
        <w:t>c</w:t>
      </w:r>
      <w:r w:rsidRPr="0005708E">
        <w:rPr>
          <w:rFonts w:eastAsiaTheme="minorHAnsi"/>
          <w:snapToGrid/>
          <w:color w:val="010101"/>
          <w:kern w:val="0"/>
          <w:szCs w:val="22"/>
        </w:rPr>
        <w:t>apabilities, with increased network capacity, expanded coverage, expanded frequencies to improve in-building coverage</w:t>
      </w:r>
      <w:r>
        <w:rPr>
          <w:rFonts w:eastAsiaTheme="minorHAnsi"/>
          <w:snapToGrid/>
          <w:color w:val="010101"/>
          <w:kern w:val="0"/>
          <w:szCs w:val="22"/>
        </w:rPr>
        <w:t>,</w:t>
      </w:r>
      <w:r w:rsidRPr="0005708E">
        <w:rPr>
          <w:rFonts w:eastAsiaTheme="minorHAnsi"/>
          <w:snapToGrid/>
          <w:color w:val="010101"/>
          <w:kern w:val="0"/>
          <w:szCs w:val="22"/>
        </w:rPr>
        <w:t xml:space="preserve"> and higher </w:t>
      </w:r>
      <w:r w:rsidRPr="004A54BE">
        <w:t>data</w:t>
      </w:r>
      <w:r>
        <w:rPr>
          <w:rFonts w:eastAsiaTheme="minorHAnsi"/>
          <w:snapToGrid/>
          <w:color w:val="010101"/>
          <w:kern w:val="0"/>
          <w:szCs w:val="22"/>
        </w:rPr>
        <w:t xml:space="preserve"> </w:t>
      </w:r>
      <w:r w:rsidRPr="0005708E">
        <w:rPr>
          <w:rFonts w:eastAsiaTheme="minorHAnsi"/>
          <w:snapToGrid/>
          <w:color w:val="010101"/>
          <w:kern w:val="0"/>
          <w:szCs w:val="22"/>
        </w:rPr>
        <w:t>speeds.</w:t>
      </w:r>
      <w:r>
        <w:rPr>
          <w:rStyle w:val="FootnoteReference"/>
          <w:rFonts w:eastAsiaTheme="minorHAnsi"/>
          <w:kern w:val="0"/>
          <w:szCs w:val="22"/>
        </w:rPr>
        <w:footnoteReference w:id="147"/>
      </w:r>
      <w:r>
        <w:rPr>
          <w:rFonts w:eastAsiaTheme="minorHAnsi"/>
          <w:snapToGrid/>
          <w:color w:val="010101"/>
          <w:kern w:val="0"/>
          <w:szCs w:val="22"/>
        </w:rPr>
        <w:t xml:space="preserve">  </w:t>
      </w:r>
      <w:r w:rsidRPr="0005708E">
        <w:rPr>
          <w:rFonts w:eastAsiaTheme="minorHAnsi"/>
          <w:snapToGrid/>
          <w:color w:val="010101"/>
          <w:kern w:val="0"/>
          <w:szCs w:val="22"/>
        </w:rPr>
        <w:t xml:space="preserve">Shentel has committed to invest up to $350 million in network infrastructure </w:t>
      </w:r>
      <w:r w:rsidRPr="00960948">
        <w:t>improvements</w:t>
      </w:r>
      <w:r w:rsidRPr="0005708E">
        <w:rPr>
          <w:rFonts w:eastAsiaTheme="minorHAnsi"/>
          <w:snapToGrid/>
          <w:color w:val="010101"/>
          <w:kern w:val="0"/>
          <w:szCs w:val="22"/>
        </w:rPr>
        <w:t xml:space="preserve"> within the current NTELOS service area to effectuate significant network upgrades and network expansion within five years of close of the transaction.</w:t>
      </w:r>
      <w:r>
        <w:rPr>
          <w:rStyle w:val="FootnoteReference"/>
          <w:rFonts w:eastAsiaTheme="minorHAnsi"/>
          <w:snapToGrid/>
          <w:kern w:val="0"/>
          <w:szCs w:val="22"/>
        </w:rPr>
        <w:footnoteReference w:id="148"/>
      </w:r>
      <w:r w:rsidRPr="0005708E">
        <w:rPr>
          <w:rFonts w:eastAsiaTheme="minorHAnsi"/>
          <w:snapToGrid/>
          <w:color w:val="010101"/>
          <w:kern w:val="0"/>
          <w:szCs w:val="22"/>
        </w:rPr>
        <w:t xml:space="preserve">  </w:t>
      </w:r>
      <w:r>
        <w:t>Specifically, Shentel commits to complete a network-wide deployment of 4G LTE service in Band Class 25 (1900 MHz), as well as commits to complete a network-wide deployment of 4G LTE and voice services in Band Class 26 (800 MHz) in the current NTELOS service area.</w:t>
      </w:r>
      <w:r>
        <w:rPr>
          <w:rStyle w:val="FootnoteReference"/>
        </w:rPr>
        <w:footnoteReference w:id="149"/>
      </w:r>
      <w:r>
        <w:t xml:space="preserve">  Shentel also will deploy 4G LTE service in Band Class 41 (2.5 GHz) in current NTELOS service areas with greater population density.</w:t>
      </w:r>
      <w:r>
        <w:rPr>
          <w:rStyle w:val="FootnoteReference"/>
        </w:rPr>
        <w:footnoteReference w:id="150"/>
      </w:r>
      <w:r>
        <w:t xml:space="preserve">  Shentel also commits to deploy 4G LTE service to improve wireless data speeds and capacity in NTELOS service areas that require additional 4G LTE capacity due to their greater population density, such as Charlottesville and Roanoke in Virginia, and Charleston and Morgantown in West Virginia.</w:t>
      </w:r>
      <w:r>
        <w:rPr>
          <w:rStyle w:val="FootnoteReference"/>
        </w:rPr>
        <w:footnoteReference w:id="151"/>
      </w:r>
      <w:r>
        <w:t xml:space="preserve"> </w:t>
      </w:r>
    </w:p>
    <w:p w14:paraId="29044EC2" w14:textId="77777777" w:rsidR="00B53330" w:rsidRDefault="00B53330" w:rsidP="00B53330">
      <w:pPr>
        <w:pStyle w:val="ParaNum"/>
        <w:tabs>
          <w:tab w:val="num" w:pos="1620"/>
        </w:tabs>
        <w:ind w:left="0"/>
      </w:pPr>
      <w:r>
        <w:t>Shentel further commits to upgrade the 857 existing NTELOS cell sites that were active as of December 31, 2015.</w:t>
      </w:r>
      <w:r>
        <w:rPr>
          <w:rStyle w:val="FootnoteReference"/>
        </w:rPr>
        <w:footnoteReference w:id="152"/>
      </w:r>
      <w:r>
        <w:t xml:space="preserve">  Shentel commits to substantially complete the 4G LTE upgrades for the 857 existing cell sites within twenty-four months after the transaction closes.</w:t>
      </w:r>
      <w:r>
        <w:rPr>
          <w:rStyle w:val="FootnoteReference"/>
        </w:rPr>
        <w:footnoteReference w:id="153"/>
      </w:r>
      <w:r>
        <w:t xml:space="preserve">  In addition, Shentel commits to deploy 150 new cell sites to expand wireless voice and 4G LTE data to rural areas in certain markets and regions of southern Virginia and West Virginia.</w:t>
      </w:r>
      <w:r>
        <w:rPr>
          <w:rStyle w:val="FootnoteReference"/>
        </w:rPr>
        <w:footnoteReference w:id="154"/>
      </w:r>
      <w:r>
        <w:t xml:space="preserve">  Further, Shentel commits to substantially complete the deployment and network expansion of 150 new cell sites within thirty-six months after the close of the transaction.</w:t>
      </w:r>
      <w:r>
        <w:rPr>
          <w:rStyle w:val="FootnoteReference"/>
        </w:rPr>
        <w:footnoteReference w:id="155"/>
      </w:r>
    </w:p>
    <w:p w14:paraId="254E2D43" w14:textId="77777777" w:rsidR="00B53330" w:rsidRPr="00075569" w:rsidRDefault="00B53330" w:rsidP="00B53330">
      <w:pPr>
        <w:pStyle w:val="ParaNum"/>
        <w:widowControl/>
        <w:tabs>
          <w:tab w:val="num" w:pos="1620"/>
        </w:tabs>
        <w:ind w:left="0"/>
        <w:rPr>
          <w:b/>
          <w:caps/>
          <w:snapToGrid/>
          <w:kern w:val="0"/>
          <w:szCs w:val="22"/>
        </w:rPr>
      </w:pPr>
      <w:r w:rsidRPr="00075569">
        <w:rPr>
          <w:i/>
          <w:snapToGrid/>
          <w:kern w:val="0"/>
          <w:szCs w:val="22"/>
        </w:rPr>
        <w:t>Spectrum</w:t>
      </w:r>
      <w:r w:rsidRPr="00075569">
        <w:rPr>
          <w:i/>
        </w:rPr>
        <w:t xml:space="preserve"> </w:t>
      </w:r>
      <w:r w:rsidRPr="0012064F">
        <w:rPr>
          <w:i/>
        </w:rPr>
        <w:t>Divestiture</w:t>
      </w:r>
      <w:r w:rsidRPr="00075569">
        <w:rPr>
          <w:i/>
        </w:rPr>
        <w:t xml:space="preserve">.  </w:t>
      </w:r>
      <w:r w:rsidRPr="002326D8">
        <w:t xml:space="preserve">Sprint has made a commitment that, within six months of the transaction closing, Sprint will file applications with the Commission to assign or transfer control of the amounts </w:t>
      </w:r>
      <w:r w:rsidRPr="009C05C5">
        <w:t>of spectrum (</w:t>
      </w:r>
      <w:r w:rsidRPr="00751DE1">
        <w:t>Divestiture Assets</w:t>
      </w:r>
      <w:r w:rsidRPr="00113F55">
        <w:t xml:space="preserve">) in the geographic areas identified in Appendix </w:t>
      </w:r>
      <w:r>
        <w:t>1</w:t>
      </w:r>
      <w:r w:rsidRPr="00113F55">
        <w:t>.</w:t>
      </w:r>
      <w:r>
        <w:rPr>
          <w:rStyle w:val="FootnoteReference"/>
        </w:rPr>
        <w:footnoteReference w:id="156"/>
      </w:r>
      <w:r w:rsidRPr="00113F55">
        <w:t xml:space="preserve"> </w:t>
      </w:r>
      <w:r>
        <w:t xml:space="preserve">  In its divestiture commitment, </w:t>
      </w:r>
      <w:r w:rsidRPr="00113F55">
        <w:t>Sprint reserves the right, upon notice to the Bureau, to change the specific type of spectrum to be divested in any geographic area based on further analysis performed af</w:t>
      </w:r>
      <w:r w:rsidRPr="00D85DF2">
        <w:t>ter the transaction</w:t>
      </w:r>
      <w:r w:rsidRPr="00D85DF2">
        <w:rPr>
          <w:rFonts w:hint="eastAsia"/>
        </w:rPr>
        <w:t>’</w:t>
      </w:r>
      <w:r w:rsidRPr="00D85DF2">
        <w:t>s close.</w:t>
      </w:r>
      <w:r>
        <w:rPr>
          <w:rStyle w:val="FootnoteReference"/>
        </w:rPr>
        <w:footnoteReference w:id="157"/>
      </w:r>
      <w:r w:rsidRPr="00D85DF2">
        <w:t xml:space="preserve">  In lieu of an assignment to a third-party, Sprint may modify existing spectrum lease authorizations to relinquish access to spectrum in the listed markets in Appendix </w:t>
      </w:r>
      <w:r>
        <w:t>1</w:t>
      </w:r>
      <w:r w:rsidRPr="00D85DF2">
        <w:t>.</w:t>
      </w:r>
      <w:r>
        <w:rPr>
          <w:rStyle w:val="FootnoteReference"/>
        </w:rPr>
        <w:footnoteReference w:id="158"/>
      </w:r>
      <w:r w:rsidRPr="00D85DF2">
        <w:t xml:space="preserve">  </w:t>
      </w:r>
    </w:p>
    <w:p w14:paraId="432B3370" w14:textId="77777777" w:rsidR="00B53330" w:rsidRDefault="00B53330" w:rsidP="00B53330">
      <w:pPr>
        <w:pStyle w:val="Heading1"/>
        <w:rPr>
          <w:rFonts w:ascii="Times New Roman" w:hAnsi="Times New Roman"/>
        </w:rPr>
      </w:pPr>
      <w:bookmarkStart w:id="210" w:name="_Toc443663647"/>
      <w:bookmarkStart w:id="211" w:name="_Toc445827922"/>
      <w:bookmarkStart w:id="212" w:name="_Toc446399810"/>
      <w:bookmarkStart w:id="213" w:name="_Toc447192512"/>
      <w:bookmarkStart w:id="214" w:name="_Toc448303783"/>
      <w:bookmarkStart w:id="215" w:name="_Toc448473183"/>
      <w:bookmarkStart w:id="216" w:name="_Toc419201475"/>
      <w:bookmarkStart w:id="217" w:name="_Toc419206336"/>
      <w:bookmarkStart w:id="218" w:name="_Toc419206932"/>
      <w:bookmarkStart w:id="219" w:name="_Toc419207010"/>
      <w:bookmarkStart w:id="220" w:name="_Toc419287182"/>
      <w:bookmarkStart w:id="221" w:name="_Toc419447054"/>
      <w:bookmarkStart w:id="222" w:name="_Toc419815673"/>
      <w:bookmarkStart w:id="223" w:name="_Toc420400644"/>
      <w:bookmarkStart w:id="224" w:name="_Toc420499772"/>
      <w:bookmarkStart w:id="225" w:name="_Toc422839628"/>
      <w:r w:rsidRPr="002054A9">
        <w:rPr>
          <w:rFonts w:ascii="Times New Roman" w:hAnsi="Times New Roman"/>
        </w:rPr>
        <w:t>bal</w:t>
      </w:r>
      <w:r>
        <w:rPr>
          <w:rFonts w:ascii="Times New Roman" w:hAnsi="Times New Roman"/>
        </w:rPr>
        <w:t>ancing the potential benefits and the potential harms</w:t>
      </w:r>
      <w:bookmarkEnd w:id="210"/>
      <w:bookmarkEnd w:id="211"/>
      <w:bookmarkEnd w:id="212"/>
      <w:bookmarkEnd w:id="213"/>
      <w:bookmarkEnd w:id="214"/>
      <w:bookmarkEnd w:id="215"/>
    </w:p>
    <w:p w14:paraId="6B613031" w14:textId="52F389FB" w:rsidR="00B53330" w:rsidRPr="00863064" w:rsidRDefault="00B53330" w:rsidP="00B53330">
      <w:pPr>
        <w:pStyle w:val="ParaNum"/>
        <w:widowControl/>
        <w:tabs>
          <w:tab w:val="num" w:pos="1620"/>
        </w:tabs>
        <w:ind w:left="0"/>
      </w:pPr>
      <w:r w:rsidRPr="00053890">
        <w:t xml:space="preserve">The Applicants bear the burden of </w:t>
      </w:r>
      <w:r w:rsidRPr="005211DB">
        <w:t xml:space="preserve">demonstrating that </w:t>
      </w:r>
      <w:r>
        <w:t xml:space="preserve">the </w:t>
      </w:r>
      <w:r w:rsidRPr="005211DB">
        <w:t>potential public interest benefits of the proposed transaction outweigh the potential public interest harms</w:t>
      </w:r>
      <w:r w:rsidRPr="00053890">
        <w:t>.</w:t>
      </w:r>
      <w:r>
        <w:t xml:space="preserve">  </w:t>
      </w:r>
      <w:r w:rsidRPr="00053890">
        <w:t xml:space="preserve">We have reviewed the Applicants’ initial </w:t>
      </w:r>
      <w:r>
        <w:t>public interest statement</w:t>
      </w:r>
      <w:r w:rsidRPr="00053890">
        <w:t>, as well as their responses to our requests for additional information and documents</w:t>
      </w:r>
      <w:r>
        <w:t xml:space="preserve"> and their letters offering voluntary commitments</w:t>
      </w:r>
      <w:r w:rsidRPr="00053890">
        <w:t xml:space="preserve">.  </w:t>
      </w:r>
      <w:r>
        <w:t xml:space="preserve">After our evaluation, </w:t>
      </w:r>
      <w:r w:rsidRPr="00AA3705">
        <w:t xml:space="preserve">we find that the transaction as </w:t>
      </w:r>
      <w:r>
        <w:t xml:space="preserve">originally </w:t>
      </w:r>
      <w:r w:rsidRPr="00AA3705">
        <w:t>proposed has the potential to cause some public interest</w:t>
      </w:r>
      <w:r>
        <w:t xml:space="preserve"> harms in several local markets through Sprint’s post-transaction spectrum holdings</w:t>
      </w:r>
      <w:r w:rsidRPr="00AA3705">
        <w:t xml:space="preserve">.  Moreover, </w:t>
      </w:r>
      <w:r>
        <w:t>we recognize the loss of an independent facilities-based service provider in certain of the markets implicated by the instant transaction.  A</w:t>
      </w:r>
      <w:r w:rsidRPr="00AA3705">
        <w:t xml:space="preserve">lthough we find some potential public interest benefits </w:t>
      </w:r>
      <w:r>
        <w:t xml:space="preserve">are </w:t>
      </w:r>
      <w:r w:rsidRPr="00AA3705">
        <w:t>likely to arise from the transaction</w:t>
      </w:r>
      <w:r>
        <w:t xml:space="preserve">, the timeframe in which it is claimed that these benefits would be realized gives us some concerns.  </w:t>
      </w:r>
      <w:r w:rsidRPr="00AA3705">
        <w:rPr>
          <w:color w:val="000000"/>
          <w:szCs w:val="22"/>
        </w:rPr>
        <w:t xml:space="preserve">However, </w:t>
      </w:r>
      <w:r>
        <w:rPr>
          <w:color w:val="000000"/>
          <w:szCs w:val="22"/>
        </w:rPr>
        <w:t>given</w:t>
      </w:r>
      <w:r w:rsidRPr="00AA3705">
        <w:rPr>
          <w:color w:val="000000"/>
          <w:szCs w:val="22"/>
        </w:rPr>
        <w:t xml:space="preserve"> </w:t>
      </w:r>
      <w:r>
        <w:rPr>
          <w:color w:val="000000"/>
          <w:szCs w:val="22"/>
        </w:rPr>
        <w:t>the Applicant</w:t>
      </w:r>
      <w:r w:rsidRPr="00AA3705">
        <w:rPr>
          <w:color w:val="000000"/>
          <w:szCs w:val="22"/>
        </w:rPr>
        <w:t>s</w:t>
      </w:r>
      <w:r>
        <w:rPr>
          <w:color w:val="000000"/>
          <w:szCs w:val="22"/>
        </w:rPr>
        <w:t>’</w:t>
      </w:r>
      <w:r w:rsidRPr="00AA3705">
        <w:rPr>
          <w:color w:val="000000"/>
          <w:szCs w:val="22"/>
        </w:rPr>
        <w:t xml:space="preserve"> commitments</w:t>
      </w:r>
      <w:r>
        <w:rPr>
          <w:color w:val="000000"/>
          <w:szCs w:val="22"/>
        </w:rPr>
        <w:t xml:space="preserve"> with respect to </w:t>
      </w:r>
      <w:r w:rsidRPr="00AA3705">
        <w:rPr>
          <w:color w:val="000000"/>
          <w:szCs w:val="22"/>
        </w:rPr>
        <w:t>spectrum divestitures</w:t>
      </w:r>
      <w:r>
        <w:rPr>
          <w:color w:val="000000"/>
          <w:szCs w:val="22"/>
        </w:rPr>
        <w:t xml:space="preserve"> and </w:t>
      </w:r>
      <w:r w:rsidRPr="00AA3705">
        <w:rPr>
          <w:color w:val="000000"/>
          <w:szCs w:val="22"/>
        </w:rPr>
        <w:t xml:space="preserve">LTE network </w:t>
      </w:r>
      <w:r>
        <w:rPr>
          <w:color w:val="000000"/>
          <w:szCs w:val="22"/>
        </w:rPr>
        <w:t>expansion and densification</w:t>
      </w:r>
      <w:r w:rsidRPr="00AA3705">
        <w:rPr>
          <w:color w:val="000000"/>
          <w:szCs w:val="22"/>
        </w:rPr>
        <w:t xml:space="preserve">, which we impose as conditions to our </w:t>
      </w:r>
      <w:r>
        <w:rPr>
          <w:color w:val="000000"/>
          <w:szCs w:val="22"/>
        </w:rPr>
        <w:t>consent</w:t>
      </w:r>
      <w:r w:rsidRPr="00AA3705">
        <w:rPr>
          <w:color w:val="000000"/>
          <w:szCs w:val="22"/>
        </w:rPr>
        <w:t xml:space="preserve">, in conjunction with the public interest benefits, there is sufficient evidence on this record for us to conclude that Applicants have met their burden of demonstrating that the likely public interest benefits outweigh the likely public interest harms, such that we are able to </w:t>
      </w:r>
      <w:r>
        <w:rPr>
          <w:color w:val="000000"/>
          <w:szCs w:val="22"/>
        </w:rPr>
        <w:t>consent to</w:t>
      </w:r>
      <w:r w:rsidRPr="00AA3705">
        <w:rPr>
          <w:color w:val="000000"/>
          <w:szCs w:val="22"/>
        </w:rPr>
        <w:t xml:space="preserve"> the proposed transaction.</w:t>
      </w:r>
      <w:r>
        <w:rPr>
          <w:color w:val="000000"/>
          <w:szCs w:val="22"/>
        </w:rPr>
        <w:t xml:space="preserve">  We also condition this approval upon the filing of quarterly reports describing the voluntary commitments included in their letter.</w:t>
      </w:r>
    </w:p>
    <w:p w14:paraId="0A82C635" w14:textId="77777777" w:rsidR="00B53330" w:rsidRPr="00224B69" w:rsidRDefault="00B53330" w:rsidP="00B53330">
      <w:pPr>
        <w:pStyle w:val="Heading1"/>
        <w:rPr>
          <w:rFonts w:ascii="Times New Roman" w:hAnsi="Times New Roman"/>
        </w:rPr>
      </w:pPr>
      <w:bookmarkStart w:id="226" w:name="_Toc406666088"/>
      <w:bookmarkStart w:id="227" w:name="_Toc406684876"/>
      <w:bookmarkStart w:id="228" w:name="_Toc408224009"/>
      <w:bookmarkStart w:id="229" w:name="_Toc408581007"/>
      <w:bookmarkStart w:id="230" w:name="_Toc410028430"/>
      <w:bookmarkStart w:id="231" w:name="_Toc410116654"/>
      <w:bookmarkStart w:id="232" w:name="_Toc410119636"/>
      <w:bookmarkStart w:id="233" w:name="_Toc410121777"/>
      <w:bookmarkStart w:id="234" w:name="_Toc410339636"/>
      <w:bookmarkStart w:id="235" w:name="_Toc411607365"/>
      <w:bookmarkStart w:id="236" w:name="_Toc412112255"/>
      <w:bookmarkStart w:id="237" w:name="_Toc412557598"/>
      <w:bookmarkStart w:id="238" w:name="_Toc412795173"/>
      <w:bookmarkStart w:id="239" w:name="_Toc412804083"/>
      <w:bookmarkStart w:id="240" w:name="_Toc413055743"/>
      <w:bookmarkStart w:id="241" w:name="_Toc413162342"/>
      <w:bookmarkStart w:id="242" w:name="_Toc413246214"/>
      <w:bookmarkStart w:id="243" w:name="_Toc413392975"/>
      <w:bookmarkStart w:id="244" w:name="_Toc413687498"/>
      <w:bookmarkStart w:id="245" w:name="_Toc414366762"/>
      <w:bookmarkStart w:id="246" w:name="_Toc414537591"/>
      <w:bookmarkStart w:id="247" w:name="_Toc415215777"/>
      <w:bookmarkStart w:id="248" w:name="_Toc415573202"/>
      <w:bookmarkStart w:id="249" w:name="_Toc418682006"/>
      <w:bookmarkStart w:id="250" w:name="_Toc434824003"/>
      <w:bookmarkStart w:id="251" w:name="_Toc443663648"/>
      <w:bookmarkStart w:id="252" w:name="_Toc445827923"/>
      <w:bookmarkStart w:id="253" w:name="_Toc446399811"/>
      <w:bookmarkStart w:id="254" w:name="_Toc447192513"/>
      <w:bookmarkStart w:id="255" w:name="_Toc448303784"/>
      <w:bookmarkStart w:id="256" w:name="_Toc448473184"/>
      <w:bookmarkEnd w:id="176"/>
      <w:bookmarkEnd w:id="177"/>
      <w:bookmarkEnd w:id="178"/>
      <w:bookmarkEnd w:id="179"/>
      <w:bookmarkEnd w:id="180"/>
      <w:bookmarkEnd w:id="181"/>
      <w:bookmarkEnd w:id="182"/>
      <w:bookmarkEnd w:id="183"/>
      <w:bookmarkEnd w:id="184"/>
      <w:bookmarkEnd w:id="185"/>
      <w:bookmarkEnd w:id="186"/>
      <w:bookmarkEnd w:id="187"/>
      <w:bookmarkEnd w:id="188"/>
      <w:bookmarkEnd w:id="216"/>
      <w:bookmarkEnd w:id="217"/>
      <w:bookmarkEnd w:id="218"/>
      <w:bookmarkEnd w:id="219"/>
      <w:bookmarkEnd w:id="220"/>
      <w:bookmarkEnd w:id="221"/>
      <w:bookmarkEnd w:id="222"/>
      <w:bookmarkEnd w:id="223"/>
      <w:bookmarkEnd w:id="224"/>
      <w:bookmarkEnd w:id="225"/>
      <w:r w:rsidRPr="00224B69">
        <w:rPr>
          <w:rFonts w:ascii="Times New Roman" w:hAnsi="Times New Roman"/>
        </w:rPr>
        <w:t>ordering clauses</w:t>
      </w:r>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p>
    <w:p w14:paraId="55FAA336" w14:textId="35EF9F18" w:rsidR="00B53330" w:rsidRPr="006E0EE2" w:rsidRDefault="00B53330" w:rsidP="00B53330">
      <w:pPr>
        <w:pStyle w:val="ParaNum"/>
      </w:pPr>
      <w:r w:rsidRPr="00FB1540">
        <w:t>ACCORDINGLY, having reviewed the Appl</w:t>
      </w:r>
      <w:r>
        <w:t>ications and the record in this</w:t>
      </w:r>
      <w:r w:rsidRPr="00FB1540">
        <w:t xml:space="preserve"> </w:t>
      </w:r>
      <w:r>
        <w:t>proceeding</w:t>
      </w:r>
      <w:r w:rsidRPr="00FB1540">
        <w:t xml:space="preserve">, IT IS ORDERED that, pursuant to </w:t>
      </w:r>
      <w:r>
        <w:t>S</w:t>
      </w:r>
      <w:r w:rsidRPr="00FB1540">
        <w:t xml:space="preserve">ections 4(i) and (j), </w:t>
      </w:r>
      <w:r>
        <w:t xml:space="preserve">214, </w:t>
      </w:r>
      <w:r w:rsidRPr="00FB1540">
        <w:t xml:space="preserve">303(r), 309, and 310(d) of the Communications Act of 1934, as amended, 47 U.S.C. §§ 154(i), 154(j), </w:t>
      </w:r>
      <w:r>
        <w:t xml:space="preserve">214, </w:t>
      </w:r>
      <w:r w:rsidRPr="00FB1540">
        <w:t>303(r), 309, 310(d),</w:t>
      </w:r>
      <w:r w:rsidRPr="004E7EF1">
        <w:rPr>
          <w:b/>
        </w:rPr>
        <w:t xml:space="preserve"> </w:t>
      </w:r>
      <w:r w:rsidRPr="00FB1540">
        <w:t xml:space="preserve">the </w:t>
      </w:r>
      <w:r>
        <w:t xml:space="preserve">following </w:t>
      </w:r>
      <w:r w:rsidRPr="00FB1540">
        <w:t xml:space="preserve">applications </w:t>
      </w:r>
      <w:r>
        <w:t xml:space="preserve">of </w:t>
      </w:r>
      <w:r w:rsidRPr="004E7EF1">
        <w:rPr>
          <w:spacing w:val="-2"/>
        </w:rPr>
        <w:t>Sprint</w:t>
      </w:r>
      <w:r w:rsidR="0078483A">
        <w:rPr>
          <w:spacing w:val="-2"/>
        </w:rPr>
        <w:t>C</w:t>
      </w:r>
      <w:r w:rsidRPr="004E7EF1">
        <w:rPr>
          <w:spacing w:val="-2"/>
        </w:rPr>
        <w:t xml:space="preserve">om, Inc., Shenandoah Personal Communications, LLC, and NTELOS Holdings Corp. </w:t>
      </w:r>
      <w:r w:rsidRPr="00FB1540">
        <w:t xml:space="preserve">for </w:t>
      </w:r>
      <w:r>
        <w:t xml:space="preserve">assignment of licenses, transfer of control of long-term </w:t>
      </w:r>
      <w:r w:rsidRPr="004E7EF1">
        <w:rPr>
          <w:i/>
        </w:rPr>
        <w:t xml:space="preserve">de facto </w:t>
      </w:r>
      <w:r>
        <w:t xml:space="preserve">transfer leasing arrangements, and transfer of control of an international Section 214 authorization </w:t>
      </w:r>
      <w:r w:rsidRPr="004E7EF1">
        <w:rPr>
          <w:szCs w:val="22"/>
        </w:rPr>
        <w:t xml:space="preserve">are GRANTED to the extent specified in this Memorandum Opinion and Order and subject to the conditions specified herein:  ULS File Nos. 0006917154, 0006917350, 0006917353, 0006917374, 0006917481, </w:t>
      </w:r>
      <w:r w:rsidRPr="004E7EF1">
        <w:rPr>
          <w:rStyle w:val="StyleTimesNewRomanBold11ptBold"/>
          <w:b w:val="0"/>
          <w:caps w:val="0"/>
        </w:rPr>
        <w:t xml:space="preserve">0006918539, and 0006918521; File No. </w:t>
      </w:r>
      <w:r w:rsidRPr="004E7EF1">
        <w:rPr>
          <w:rStyle w:val="Normal1"/>
          <w:sz w:val="22"/>
          <w:szCs w:val="22"/>
        </w:rPr>
        <w:t>ITC-T/C-20150826-00215</w:t>
      </w:r>
      <w:r w:rsidRPr="004E7EF1">
        <w:rPr>
          <w:szCs w:val="22"/>
        </w:rPr>
        <w:t>.</w:t>
      </w:r>
    </w:p>
    <w:p w14:paraId="0B544528" w14:textId="77777777" w:rsidR="00B53330" w:rsidRPr="006E0EE2" w:rsidRDefault="00B53330" w:rsidP="00B53330">
      <w:pPr>
        <w:pStyle w:val="ParaNum"/>
        <w:widowControl/>
        <w:tabs>
          <w:tab w:val="num" w:pos="1440"/>
        </w:tabs>
        <w:ind w:left="0"/>
      </w:pPr>
      <w:r w:rsidRPr="000E3797">
        <w:rPr>
          <w:szCs w:val="22"/>
        </w:rPr>
        <w:t xml:space="preserve">IT IS FURTHER ORDERED that the above grant shall include authority for the assignment </w:t>
      </w:r>
      <w:r>
        <w:rPr>
          <w:szCs w:val="22"/>
        </w:rPr>
        <w:t xml:space="preserve">or transfer of control from NTELOS </w:t>
      </w:r>
      <w:r w:rsidRPr="000E3797">
        <w:rPr>
          <w:szCs w:val="22"/>
        </w:rPr>
        <w:t xml:space="preserve">of any </w:t>
      </w:r>
      <w:r>
        <w:rPr>
          <w:szCs w:val="22"/>
        </w:rPr>
        <w:t xml:space="preserve">licenses or authorizations that are subject to any </w:t>
      </w:r>
      <w:r w:rsidRPr="000E3797">
        <w:rPr>
          <w:szCs w:val="22"/>
        </w:rPr>
        <w:t>applications that are pending at the time of consummation as well as any licenses or authorizations that may have inadvertently been omitted from the application forms filed by the Applicants.</w:t>
      </w:r>
    </w:p>
    <w:p w14:paraId="3AEDD0A5" w14:textId="77777777" w:rsidR="00B53330" w:rsidRPr="00835190" w:rsidRDefault="00B53330" w:rsidP="00B53330">
      <w:pPr>
        <w:pStyle w:val="ParaNum"/>
        <w:keepNext/>
        <w:keepLines/>
        <w:widowControl/>
        <w:ind w:left="86"/>
      </w:pPr>
      <w:r w:rsidRPr="00A64D81">
        <w:rPr>
          <w:snapToGrid/>
        </w:rPr>
        <w:t xml:space="preserve">IT IS FURTHER ORDERED that this Order SHALL BE EFFECTIVE upon release.  Petitions for reconsideration under </w:t>
      </w:r>
      <w:r>
        <w:rPr>
          <w:snapToGrid/>
        </w:rPr>
        <w:t>S</w:t>
      </w:r>
      <w:r w:rsidRPr="00A64D81">
        <w:rPr>
          <w:snapToGrid/>
        </w:rPr>
        <w:t xml:space="preserve">ection 1.106 of the Commission's rules, 47 C.F.R. § 1.106, </w:t>
      </w:r>
      <w:r>
        <w:rPr>
          <w:snapToGrid/>
        </w:rPr>
        <w:t xml:space="preserve">or applications for review under Section 1.115 </w:t>
      </w:r>
      <w:r w:rsidRPr="005605F7">
        <w:rPr>
          <w:snapToGrid/>
        </w:rPr>
        <w:t>of the Commission</w:t>
      </w:r>
      <w:r>
        <w:rPr>
          <w:snapToGrid/>
        </w:rPr>
        <w:t>’</w:t>
      </w:r>
      <w:r w:rsidRPr="005605F7">
        <w:rPr>
          <w:snapToGrid/>
        </w:rPr>
        <w:t>s rules, 47 C</w:t>
      </w:r>
      <w:r>
        <w:rPr>
          <w:snapToGrid/>
        </w:rPr>
        <w:t>.</w:t>
      </w:r>
      <w:r w:rsidRPr="005605F7">
        <w:rPr>
          <w:snapToGrid/>
        </w:rPr>
        <w:t>F</w:t>
      </w:r>
      <w:r>
        <w:rPr>
          <w:snapToGrid/>
        </w:rPr>
        <w:t>.</w:t>
      </w:r>
      <w:r w:rsidRPr="005605F7">
        <w:rPr>
          <w:snapToGrid/>
        </w:rPr>
        <w:t>R</w:t>
      </w:r>
      <w:r>
        <w:rPr>
          <w:snapToGrid/>
        </w:rPr>
        <w:t xml:space="preserve">. § 1.115, </w:t>
      </w:r>
      <w:r w:rsidRPr="00A64D81">
        <w:rPr>
          <w:snapToGrid/>
        </w:rPr>
        <w:t xml:space="preserve">may be filed within thirty days of the date of </w:t>
      </w:r>
      <w:r>
        <w:rPr>
          <w:snapToGrid/>
        </w:rPr>
        <w:t>release</w:t>
      </w:r>
      <w:r w:rsidRPr="00A64D81">
        <w:rPr>
          <w:snapToGrid/>
        </w:rPr>
        <w:t xml:space="preserve"> of this Memorandum Opinion and Order.</w:t>
      </w:r>
    </w:p>
    <w:p w14:paraId="506A1DDC" w14:textId="77777777" w:rsidR="00B53330" w:rsidRPr="00BC6B80" w:rsidRDefault="00B53330" w:rsidP="00B53330">
      <w:pPr>
        <w:pStyle w:val="ParaNum"/>
        <w:widowControl/>
        <w:ind w:left="86"/>
      </w:pPr>
      <w:r w:rsidRPr="00B61B44">
        <w:rPr>
          <w:snapToGrid/>
        </w:rPr>
        <w:t>This action is taken under delegated authority pursuant to S</w:t>
      </w:r>
      <w:r w:rsidRPr="00ED06CF">
        <w:rPr>
          <w:snapToGrid/>
        </w:rPr>
        <w:t>ections 0.51, 0.131, 0.261, and 0.331 of the Commission’s rules, 47 C.F.R. §§ 0.51, 0.131, 0.261, 0.331.</w:t>
      </w:r>
    </w:p>
    <w:p w14:paraId="12086B8C" w14:textId="77777777" w:rsidR="00B53330" w:rsidRDefault="00B53330" w:rsidP="00B53330"/>
    <w:p w14:paraId="68129F8A" w14:textId="77777777" w:rsidR="00B53330" w:rsidRDefault="00B53330" w:rsidP="00B53330">
      <w:pPr>
        <w:ind w:left="4320"/>
      </w:pPr>
      <w:r>
        <w:t>FEDERAL COMMUNICATIONS COMMISSION</w:t>
      </w:r>
    </w:p>
    <w:p w14:paraId="2D7F6E7D" w14:textId="77777777" w:rsidR="00B53330" w:rsidRDefault="00B53330" w:rsidP="00B53330"/>
    <w:p w14:paraId="0CBE86D5" w14:textId="77777777" w:rsidR="00B53330" w:rsidRDefault="00B53330" w:rsidP="00B53330"/>
    <w:p w14:paraId="04474F8E" w14:textId="77777777" w:rsidR="00B53330" w:rsidRDefault="00B53330" w:rsidP="00B53330"/>
    <w:p w14:paraId="3EC3BA93" w14:textId="77777777" w:rsidR="00B53330" w:rsidRDefault="00B53330" w:rsidP="00B53330"/>
    <w:p w14:paraId="75D977E2" w14:textId="77777777" w:rsidR="00B53330" w:rsidRDefault="00B53330" w:rsidP="00B53330">
      <w:pPr>
        <w:widowControl/>
        <w:ind w:left="3600" w:firstLine="720"/>
      </w:pPr>
      <w:r w:rsidRPr="005B7D2F">
        <w:t xml:space="preserve">Jon Wilkins </w:t>
      </w:r>
    </w:p>
    <w:p w14:paraId="32D91B2E" w14:textId="77777777" w:rsidR="00B53330" w:rsidRDefault="00B53330" w:rsidP="00B53330">
      <w:pPr>
        <w:widowControl/>
        <w:ind w:left="3600" w:firstLine="720"/>
      </w:pPr>
      <w:r>
        <w:t>Chief</w:t>
      </w:r>
    </w:p>
    <w:p w14:paraId="4DF473C6" w14:textId="77777777" w:rsidR="00B53330" w:rsidRDefault="00B53330" w:rsidP="00B53330">
      <w:pPr>
        <w:widowControl/>
        <w:ind w:left="3600" w:firstLine="720"/>
      </w:pPr>
      <w:r>
        <w:t>Wireless Telecommunications Bureau</w:t>
      </w:r>
    </w:p>
    <w:p w14:paraId="360A5862" w14:textId="77777777" w:rsidR="00B53330" w:rsidRDefault="00B53330" w:rsidP="00B53330">
      <w:pPr>
        <w:widowControl/>
        <w:ind w:left="3600" w:firstLine="720"/>
      </w:pPr>
    </w:p>
    <w:p w14:paraId="45ED7F31" w14:textId="77777777" w:rsidR="00B53330" w:rsidRDefault="00B53330" w:rsidP="00B53330">
      <w:pPr>
        <w:widowControl/>
        <w:ind w:left="3600" w:firstLine="720"/>
      </w:pPr>
    </w:p>
    <w:p w14:paraId="4335619A" w14:textId="77777777" w:rsidR="00B53330" w:rsidRDefault="00B53330" w:rsidP="00B53330">
      <w:pPr>
        <w:widowControl/>
        <w:ind w:left="3600" w:firstLine="720"/>
      </w:pPr>
    </w:p>
    <w:p w14:paraId="71EE32E0" w14:textId="77777777" w:rsidR="00B53330" w:rsidRDefault="00B53330" w:rsidP="00B53330">
      <w:pPr>
        <w:widowControl/>
        <w:ind w:left="3600" w:firstLine="720"/>
      </w:pPr>
    </w:p>
    <w:p w14:paraId="5A22A4B9" w14:textId="77777777" w:rsidR="00B53330" w:rsidRDefault="00B53330" w:rsidP="00B53330">
      <w:pPr>
        <w:widowControl/>
        <w:ind w:left="3600" w:firstLine="720"/>
      </w:pPr>
      <w:r>
        <w:t>Mindel De La Torre</w:t>
      </w:r>
    </w:p>
    <w:p w14:paraId="7E163607" w14:textId="77777777" w:rsidR="00B53330" w:rsidRDefault="00B53330" w:rsidP="00B53330">
      <w:pPr>
        <w:widowControl/>
        <w:ind w:left="3600" w:firstLine="720"/>
      </w:pPr>
      <w:r>
        <w:t>Chief</w:t>
      </w:r>
    </w:p>
    <w:p w14:paraId="3523AF2B" w14:textId="77777777" w:rsidR="00B53330" w:rsidRDefault="00B53330" w:rsidP="00B53330">
      <w:pPr>
        <w:widowControl/>
        <w:ind w:left="3600" w:firstLine="720"/>
      </w:pPr>
      <w:r>
        <w:t>International Bureau</w:t>
      </w:r>
    </w:p>
    <w:p w14:paraId="3503CB94" w14:textId="77777777" w:rsidR="00B53330" w:rsidRDefault="00B53330" w:rsidP="00B53330">
      <w:pPr>
        <w:widowControl/>
        <w:ind w:left="3600" w:firstLine="720"/>
      </w:pPr>
    </w:p>
    <w:p w14:paraId="6DA5C720" w14:textId="77777777" w:rsidR="00B53330" w:rsidRDefault="00B53330" w:rsidP="00B53330">
      <w:pPr>
        <w:widowControl/>
      </w:pPr>
      <w:r>
        <w:br w:type="page"/>
      </w:r>
    </w:p>
    <w:p w14:paraId="0BD51914" w14:textId="77777777" w:rsidR="00B53330" w:rsidRPr="00A45099" w:rsidRDefault="00B53330" w:rsidP="00B53330">
      <w:pPr>
        <w:widowControl/>
        <w:spacing w:after="120"/>
        <w:jc w:val="center"/>
        <w:rPr>
          <w:b/>
          <w:sz w:val="24"/>
          <w:szCs w:val="24"/>
        </w:rPr>
      </w:pPr>
      <w:r w:rsidRPr="00A45099">
        <w:rPr>
          <w:b/>
          <w:sz w:val="24"/>
          <w:szCs w:val="24"/>
        </w:rPr>
        <w:t xml:space="preserve">APPENDIX </w:t>
      </w:r>
      <w:r>
        <w:rPr>
          <w:b/>
          <w:sz w:val="24"/>
          <w:szCs w:val="24"/>
        </w:rPr>
        <w:t>1</w:t>
      </w:r>
    </w:p>
    <w:p w14:paraId="092FD0E3" w14:textId="77777777" w:rsidR="00B53330" w:rsidRPr="00A45099" w:rsidRDefault="00B53330" w:rsidP="00B53330">
      <w:pPr>
        <w:widowControl/>
        <w:jc w:val="center"/>
        <w:rPr>
          <w:b/>
          <w:sz w:val="24"/>
          <w:szCs w:val="24"/>
        </w:rPr>
      </w:pPr>
      <w:r w:rsidRPr="00A45099">
        <w:rPr>
          <w:b/>
          <w:sz w:val="24"/>
          <w:szCs w:val="24"/>
        </w:rPr>
        <w:t>Applicants’ Letter of Commitment</w:t>
      </w:r>
    </w:p>
    <w:p w14:paraId="0A6D45EC" w14:textId="77777777" w:rsidR="00B53330" w:rsidRDefault="00B53330" w:rsidP="00B53330">
      <w:pPr>
        <w:widowControl/>
        <w:ind w:firstLine="720"/>
      </w:pPr>
    </w:p>
    <w:p w14:paraId="1D201DB8" w14:textId="77777777" w:rsidR="00B53330" w:rsidRDefault="00B53330" w:rsidP="00B53330">
      <w:pPr>
        <w:widowControl/>
        <w:ind w:left="-720" w:firstLine="720"/>
      </w:pPr>
      <w:r>
        <w:rPr>
          <w:noProof/>
          <w:snapToGrid/>
        </w:rPr>
        <w:drawing>
          <wp:inline distT="0" distB="0" distL="0" distR="0" wp14:anchorId="49BF02A9" wp14:editId="3FD5D95F">
            <wp:extent cx="5943600" cy="7691755"/>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oint Applicants Transaction Commitments Letter WT 15-262 Final_Page_1.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7691755"/>
                    </a:xfrm>
                    <a:prstGeom prst="rect">
                      <a:avLst/>
                    </a:prstGeom>
                  </pic:spPr>
                </pic:pic>
              </a:graphicData>
            </a:graphic>
          </wp:inline>
        </w:drawing>
      </w:r>
    </w:p>
    <w:p w14:paraId="7420CB0C" w14:textId="77777777" w:rsidR="00B53330" w:rsidRDefault="00B53330" w:rsidP="00B53330">
      <w:pPr>
        <w:widowControl/>
        <w:ind w:left="3600" w:firstLine="720"/>
      </w:pPr>
    </w:p>
    <w:p w14:paraId="77274A90" w14:textId="77777777" w:rsidR="00B53330" w:rsidRDefault="00B53330" w:rsidP="00B53330">
      <w:pPr>
        <w:widowControl/>
        <w:ind w:left="3600" w:firstLine="720"/>
      </w:pPr>
    </w:p>
    <w:p w14:paraId="39645C84" w14:textId="77777777" w:rsidR="00B53330" w:rsidRDefault="00B53330" w:rsidP="00B53330">
      <w:pPr>
        <w:widowControl/>
        <w:ind w:left="-720" w:firstLine="720"/>
      </w:pPr>
      <w:r>
        <w:rPr>
          <w:noProof/>
          <w:snapToGrid/>
        </w:rPr>
        <w:drawing>
          <wp:inline distT="0" distB="0" distL="0" distR="0" wp14:anchorId="0A00F266" wp14:editId="615FE135">
            <wp:extent cx="5943600" cy="7691755"/>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oint Applicants Transaction Commitments Letter WT 15-262 Final_Page_2.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7691755"/>
                    </a:xfrm>
                    <a:prstGeom prst="rect">
                      <a:avLst/>
                    </a:prstGeom>
                  </pic:spPr>
                </pic:pic>
              </a:graphicData>
            </a:graphic>
          </wp:inline>
        </w:drawing>
      </w:r>
    </w:p>
    <w:p w14:paraId="5A3E0480" w14:textId="77777777" w:rsidR="00B53330" w:rsidRDefault="00B53330" w:rsidP="0078483A">
      <w:pPr>
        <w:widowControl/>
      </w:pPr>
    </w:p>
    <w:p w14:paraId="44B73D0D" w14:textId="606A8A37" w:rsidR="0078483A" w:rsidRDefault="0078483A">
      <w:pPr>
        <w:widowControl/>
      </w:pPr>
      <w:r>
        <w:br w:type="page"/>
      </w:r>
    </w:p>
    <w:p w14:paraId="183F8675" w14:textId="77777777" w:rsidR="00B53330" w:rsidRDefault="00B53330" w:rsidP="00B53330">
      <w:pPr>
        <w:widowControl/>
      </w:pPr>
    </w:p>
    <w:p w14:paraId="5815F5D1" w14:textId="77777777" w:rsidR="00B53330" w:rsidRDefault="00B53330" w:rsidP="00B53330">
      <w:pPr>
        <w:widowControl/>
      </w:pPr>
      <w:r>
        <w:rPr>
          <w:noProof/>
        </w:rPr>
        <w:drawing>
          <wp:inline distT="0" distB="0" distL="0" distR="0" wp14:anchorId="364FAA43" wp14:editId="2943976B">
            <wp:extent cx="5935980" cy="7680960"/>
            <wp:effectExtent l="0" t="0" r="7620" b="0"/>
            <wp:docPr id="6" name="Picture 6" descr="K:\Bureaus-Offices\WTB\WTB Shared Files\Transactions_Mobility\Sprint - Shentel - nTelos\Order\Sprint-Shentel-nTelos Order\commitment letter images\tif\Joint Applicants Transaction Commitments Letter WT 15-262 Final_Page_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Bureaus-Offices\WTB\WTB Shared Files\Transactions_Mobility\Sprint - Shentel - nTelos\Order\Sprint-Shentel-nTelos Order\commitment letter images\tif\Joint Applicants Transaction Commitments Letter WT 15-262 Final_Page_3.t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35980" cy="7680960"/>
                    </a:xfrm>
                    <a:prstGeom prst="rect">
                      <a:avLst/>
                    </a:prstGeom>
                    <a:noFill/>
                    <a:ln>
                      <a:noFill/>
                    </a:ln>
                  </pic:spPr>
                </pic:pic>
              </a:graphicData>
            </a:graphic>
          </wp:inline>
        </w:drawing>
      </w:r>
    </w:p>
    <w:p w14:paraId="5D843F6C" w14:textId="68A7B257" w:rsidR="0078483A" w:rsidRDefault="0078483A">
      <w:pPr>
        <w:widowControl/>
      </w:pPr>
      <w:r>
        <w:br w:type="page"/>
      </w:r>
    </w:p>
    <w:p w14:paraId="37813DEB" w14:textId="77777777" w:rsidR="00B53330" w:rsidRDefault="00B53330" w:rsidP="00B53330">
      <w:pPr>
        <w:widowControl/>
      </w:pPr>
    </w:p>
    <w:p w14:paraId="74313197" w14:textId="77777777" w:rsidR="00B53330" w:rsidRDefault="00B53330" w:rsidP="00B53330">
      <w:pPr>
        <w:widowControl/>
      </w:pPr>
      <w:r>
        <w:rPr>
          <w:noProof/>
        </w:rPr>
        <w:drawing>
          <wp:inline distT="0" distB="0" distL="0" distR="0" wp14:anchorId="2114BDDD" wp14:editId="33C48088">
            <wp:extent cx="5935980" cy="7680960"/>
            <wp:effectExtent l="0" t="0" r="7620" b="0"/>
            <wp:docPr id="7" name="Picture 7" descr="K:\Bureaus-Offices\WTB\WTB Shared Files\Transactions_Mobility\Sprint - Shentel - nTelos\Order\Sprint-Shentel-nTelos Order\commitment letter images\tif\Joint Applicants Transaction Commitments Letter WT 15-262 Final_Page_4.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Bureaus-Offices\WTB\WTB Shared Files\Transactions_Mobility\Sprint - Shentel - nTelos\Order\Sprint-Shentel-nTelos Order\commitment letter images\tif\Joint Applicants Transaction Commitments Letter WT 15-262 Final_Page_4.t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35980" cy="7680960"/>
                    </a:xfrm>
                    <a:prstGeom prst="rect">
                      <a:avLst/>
                    </a:prstGeom>
                    <a:noFill/>
                    <a:ln>
                      <a:noFill/>
                    </a:ln>
                  </pic:spPr>
                </pic:pic>
              </a:graphicData>
            </a:graphic>
          </wp:inline>
        </w:drawing>
      </w:r>
    </w:p>
    <w:p w14:paraId="1E486A2A" w14:textId="77777777" w:rsidR="00B53330" w:rsidRDefault="00B53330" w:rsidP="00B53330">
      <w:pPr>
        <w:widowControl/>
      </w:pPr>
    </w:p>
    <w:p w14:paraId="5B1D8DEB" w14:textId="77777777" w:rsidR="00B53330" w:rsidRDefault="00B53330" w:rsidP="00B53330">
      <w:pPr>
        <w:widowControl/>
      </w:pPr>
    </w:p>
    <w:p w14:paraId="17DA6736" w14:textId="67D01BB6" w:rsidR="00D566C9" w:rsidRDefault="00D566C9">
      <w:pPr>
        <w:widowControl/>
      </w:pPr>
      <w:r>
        <w:br w:type="page"/>
      </w:r>
    </w:p>
    <w:p w14:paraId="18A46288" w14:textId="77777777" w:rsidR="0078483A" w:rsidRDefault="0078483A" w:rsidP="00B53330">
      <w:pPr>
        <w:widowControl/>
      </w:pPr>
    </w:p>
    <w:p w14:paraId="59BEC2F5" w14:textId="77777777" w:rsidR="00B53330" w:rsidRDefault="00B53330" w:rsidP="00B53330">
      <w:pPr>
        <w:widowControl/>
      </w:pPr>
      <w:r>
        <w:rPr>
          <w:noProof/>
        </w:rPr>
        <w:drawing>
          <wp:inline distT="0" distB="0" distL="0" distR="0" wp14:anchorId="1483B28E" wp14:editId="1B65C090">
            <wp:extent cx="5935980" cy="7680960"/>
            <wp:effectExtent l="0" t="0" r="7620" b="0"/>
            <wp:docPr id="8" name="Picture 8" descr="K:\Bureaus-Offices\WTB\WTB Shared Files\Transactions_Mobility\Sprint - Shentel - nTelos\Order\Sprint-Shentel-nTelos Order\commitment letter images\tif\Joint Applicants Transaction Commitments Letter WT 15-262 Final_Page_5.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Bureaus-Offices\WTB\WTB Shared Files\Transactions_Mobility\Sprint - Shentel - nTelos\Order\Sprint-Shentel-nTelos Order\commitment letter images\tif\Joint Applicants Transaction Commitments Letter WT 15-262 Final_Page_5.t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35980" cy="7680960"/>
                    </a:xfrm>
                    <a:prstGeom prst="rect">
                      <a:avLst/>
                    </a:prstGeom>
                    <a:noFill/>
                    <a:ln>
                      <a:noFill/>
                    </a:ln>
                  </pic:spPr>
                </pic:pic>
              </a:graphicData>
            </a:graphic>
          </wp:inline>
        </w:drawing>
      </w:r>
    </w:p>
    <w:p w14:paraId="064A1D21" w14:textId="77777777" w:rsidR="00B53330" w:rsidRDefault="00B53330" w:rsidP="00B53330">
      <w:pPr>
        <w:widowControl/>
      </w:pPr>
    </w:p>
    <w:p w14:paraId="644C3295" w14:textId="7564A956" w:rsidR="0078483A" w:rsidRDefault="0078483A">
      <w:pPr>
        <w:widowControl/>
      </w:pPr>
      <w:r>
        <w:br w:type="page"/>
      </w:r>
    </w:p>
    <w:p w14:paraId="02DCA34C" w14:textId="77777777" w:rsidR="00B53330" w:rsidRDefault="00B53330" w:rsidP="00B53330">
      <w:pPr>
        <w:widowControl/>
      </w:pPr>
    </w:p>
    <w:p w14:paraId="65715713" w14:textId="77777777" w:rsidR="00B53330" w:rsidRDefault="00B53330" w:rsidP="00B53330">
      <w:pPr>
        <w:widowControl/>
      </w:pPr>
      <w:r>
        <w:rPr>
          <w:noProof/>
        </w:rPr>
        <w:drawing>
          <wp:inline distT="0" distB="0" distL="0" distR="0" wp14:anchorId="29991906" wp14:editId="7161C44F">
            <wp:extent cx="5935980" cy="7680960"/>
            <wp:effectExtent l="0" t="0" r="7620" b="0"/>
            <wp:docPr id="9" name="Picture 9" descr="K:\Bureaus-Offices\WTB\WTB Shared Files\Transactions_Mobility\Sprint - Shentel - nTelos\Order\Sprint-Shentel-nTelos Order\commitment letter images\tif\Joint Applicants Transaction Commitments Letter WT 15-262 Final_Page_6.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Bureaus-Offices\WTB\WTB Shared Files\Transactions_Mobility\Sprint - Shentel - nTelos\Order\Sprint-Shentel-nTelos Order\commitment letter images\tif\Joint Applicants Transaction Commitments Letter WT 15-262 Final_Page_6.t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35980" cy="7680960"/>
                    </a:xfrm>
                    <a:prstGeom prst="rect">
                      <a:avLst/>
                    </a:prstGeom>
                    <a:noFill/>
                    <a:ln>
                      <a:noFill/>
                    </a:ln>
                  </pic:spPr>
                </pic:pic>
              </a:graphicData>
            </a:graphic>
          </wp:inline>
        </w:drawing>
      </w:r>
    </w:p>
    <w:sectPr w:rsidR="00B53330" w:rsidSect="0055614C">
      <w:headerReference w:type="even" r:id="rId14"/>
      <w:headerReference w:type="default" r:id="rId15"/>
      <w:footerReference w:type="even" r:id="rId16"/>
      <w:footerReference w:type="default" r:id="rId17"/>
      <w:headerReference w:type="first" r:id="rId18"/>
      <w:footerReference w:type="first" r:id="rId19"/>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D03C7B" w14:textId="77777777" w:rsidR="00BD0949" w:rsidRDefault="00BD0949">
      <w:pPr>
        <w:spacing w:line="20" w:lineRule="exact"/>
      </w:pPr>
    </w:p>
  </w:endnote>
  <w:endnote w:type="continuationSeparator" w:id="0">
    <w:p w14:paraId="7AA80001" w14:textId="77777777" w:rsidR="00BD0949" w:rsidRDefault="00BD0949">
      <w:r>
        <w:t xml:space="preserve"> </w:t>
      </w:r>
    </w:p>
  </w:endnote>
  <w:endnote w:type="continuationNotice" w:id="1">
    <w:p w14:paraId="38167EC4" w14:textId="77777777" w:rsidR="00BD0949" w:rsidRDefault="00BD0949">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DA6C30" w14:textId="77777777" w:rsidR="0038577E" w:rsidRDefault="0038577E" w:rsidP="0055614C">
    <w:pPr>
      <w:pStyle w:val="Footer"/>
      <w:framePr w:wrap="around" w:vAnchor="text" w:hAnchor="margin" w:xAlign="center" w:y="1"/>
    </w:pPr>
    <w:r>
      <w:fldChar w:fldCharType="begin"/>
    </w:r>
    <w:r>
      <w:instrText xml:space="preserve">PAGE  </w:instrText>
    </w:r>
    <w:r>
      <w:fldChar w:fldCharType="end"/>
    </w:r>
  </w:p>
  <w:p w14:paraId="56751320" w14:textId="77777777" w:rsidR="0038577E" w:rsidRDefault="003857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121630" w14:textId="77777777" w:rsidR="0038577E" w:rsidRDefault="0038577E" w:rsidP="0055614C">
    <w:pPr>
      <w:pStyle w:val="Footer"/>
      <w:framePr w:wrap="around" w:vAnchor="text" w:hAnchor="margin" w:xAlign="center" w:y="1"/>
    </w:pPr>
    <w:r>
      <w:fldChar w:fldCharType="begin"/>
    </w:r>
    <w:r>
      <w:instrText xml:space="preserve">PAGE  </w:instrText>
    </w:r>
    <w:r>
      <w:fldChar w:fldCharType="separate"/>
    </w:r>
    <w:r w:rsidR="00627B37">
      <w:rPr>
        <w:noProof/>
      </w:rPr>
      <w:t>2</w:t>
    </w:r>
    <w:r>
      <w:fldChar w:fldCharType="end"/>
    </w:r>
  </w:p>
  <w:p w14:paraId="43E9D713" w14:textId="77777777" w:rsidR="0038577E" w:rsidRDefault="0038577E">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BBFE4F" w14:textId="77777777" w:rsidR="0038577E" w:rsidRDefault="0038577E">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BA014D" w14:textId="77777777" w:rsidR="00BD0949" w:rsidRDefault="00BD0949">
      <w:r>
        <w:separator/>
      </w:r>
    </w:p>
  </w:footnote>
  <w:footnote w:type="continuationSeparator" w:id="0">
    <w:p w14:paraId="4DD09E21" w14:textId="77777777" w:rsidR="00BD0949" w:rsidRDefault="00BD0949" w:rsidP="00C721AC">
      <w:pPr>
        <w:spacing w:before="120"/>
        <w:rPr>
          <w:sz w:val="20"/>
        </w:rPr>
      </w:pPr>
      <w:r>
        <w:rPr>
          <w:sz w:val="20"/>
        </w:rPr>
        <w:t xml:space="preserve">(Continued from previous page)  </w:t>
      </w:r>
      <w:r>
        <w:rPr>
          <w:sz w:val="20"/>
        </w:rPr>
        <w:separator/>
      </w:r>
    </w:p>
  </w:footnote>
  <w:footnote w:type="continuationNotice" w:id="1">
    <w:p w14:paraId="166ACA58" w14:textId="77777777" w:rsidR="00BD0949" w:rsidRDefault="00BD0949" w:rsidP="00C721AC">
      <w:pPr>
        <w:jc w:val="right"/>
        <w:rPr>
          <w:sz w:val="20"/>
        </w:rPr>
      </w:pPr>
      <w:r>
        <w:rPr>
          <w:sz w:val="20"/>
        </w:rPr>
        <w:t>(continued….)</w:t>
      </w:r>
    </w:p>
  </w:footnote>
  <w:footnote w:id="2">
    <w:p w14:paraId="4EB4EF54" w14:textId="77777777" w:rsidR="00B53330" w:rsidRDefault="00B53330" w:rsidP="00B53330">
      <w:pPr>
        <w:pStyle w:val="FootnoteText"/>
      </w:pPr>
      <w:r>
        <w:rPr>
          <w:rStyle w:val="FootnoteReference"/>
        </w:rPr>
        <w:footnoteRef/>
      </w:r>
      <w:r>
        <w:t xml:space="preserve"> Sprint, Shentel, and NTELOS request consent to the assignment </w:t>
      </w:r>
      <w:r w:rsidRPr="00231C79">
        <w:t xml:space="preserve">of licenses and </w:t>
      </w:r>
      <w:r>
        <w:t xml:space="preserve">spectrum </w:t>
      </w:r>
      <w:r w:rsidRPr="00231C79">
        <w:t xml:space="preserve">leases from various </w:t>
      </w:r>
      <w:r>
        <w:t>NTELOS</w:t>
      </w:r>
      <w:r w:rsidRPr="00231C79">
        <w:t xml:space="preserve"> subsidiaries to Sprint, which will</w:t>
      </w:r>
      <w:r>
        <w:t xml:space="preserve"> </w:t>
      </w:r>
      <w:r w:rsidRPr="00231C79">
        <w:t xml:space="preserve">include, as an interim step, the transfer of control of </w:t>
      </w:r>
      <w:r>
        <w:t>NTELOS</w:t>
      </w:r>
      <w:r w:rsidRPr="00231C79">
        <w:t xml:space="preserve"> to Shentel</w:t>
      </w:r>
      <w:r>
        <w:t>.  In addition, Shentel and NTELOS request consent to the transfer of control of certain spectrum leases from NTELOS subsidiaries to Shentel.</w:t>
      </w:r>
    </w:p>
  </w:footnote>
  <w:footnote w:id="3">
    <w:p w14:paraId="0E4E4143" w14:textId="77777777" w:rsidR="00B53330" w:rsidRDefault="00B53330" w:rsidP="00B53330">
      <w:pPr>
        <w:pStyle w:val="FootnoteText"/>
      </w:pPr>
      <w:r>
        <w:rPr>
          <w:rStyle w:val="FootnoteReference"/>
        </w:rPr>
        <w:footnoteRef/>
      </w:r>
      <w:r>
        <w:t xml:space="preserve"> 47 U.S.C. § 310(d).</w:t>
      </w:r>
    </w:p>
  </w:footnote>
  <w:footnote w:id="4">
    <w:p w14:paraId="6B2A4F59" w14:textId="5E0B7B86" w:rsidR="00B53330" w:rsidRPr="00B42569" w:rsidRDefault="00B53330" w:rsidP="00B53330">
      <w:pPr>
        <w:pStyle w:val="FootnoteText"/>
      </w:pPr>
      <w:r>
        <w:rPr>
          <w:rStyle w:val="FootnoteReference"/>
        </w:rPr>
        <w:footnoteRef/>
      </w:r>
      <w:r>
        <w:t xml:space="preserve"> </w:t>
      </w:r>
      <w:r w:rsidRPr="0074597C">
        <w:t xml:space="preserve">Applications of </w:t>
      </w:r>
      <w:r w:rsidRPr="0074597C">
        <w:rPr>
          <w:spacing w:val="-2"/>
        </w:rPr>
        <w:t>Sprint</w:t>
      </w:r>
      <w:r>
        <w:rPr>
          <w:spacing w:val="-2"/>
        </w:rPr>
        <w:t>C</w:t>
      </w:r>
      <w:r w:rsidRPr="0074597C">
        <w:rPr>
          <w:spacing w:val="-2"/>
        </w:rPr>
        <w:t>om, Inc., Shenandoah Personal Communications, LLC, and NTELOS Holdings Corp.</w:t>
      </w:r>
      <w:r w:rsidRPr="00053890">
        <w:rPr>
          <w:spacing w:val="-2"/>
        </w:rPr>
        <w:t>,</w:t>
      </w:r>
      <w:r>
        <w:rPr>
          <w:spacing w:val="-2"/>
        </w:rPr>
        <w:t xml:space="preserve"> ULS File Nos. </w:t>
      </w:r>
      <w:r w:rsidRPr="00894615">
        <w:t>0006917154</w:t>
      </w:r>
      <w:r>
        <w:t xml:space="preserve"> (lead application), </w:t>
      </w:r>
      <w:r w:rsidRPr="00894615">
        <w:t>0006917350, 0006917353, 0006917374, and 0006917481</w:t>
      </w:r>
      <w:r>
        <w:t xml:space="preserve"> (filed Aug. 25, 2015, amended Sept. 25, 2015 and Nov. 10, 2015) (Applications),</w:t>
      </w:r>
      <w:r w:rsidRPr="00D22B64">
        <w:t xml:space="preserve"> Exhibit 1 – Description of Transaction and</w:t>
      </w:r>
      <w:r>
        <w:t xml:space="preserve"> Public Interest Statement at 1 (Public Interest Statement)</w:t>
      </w:r>
      <w:r w:rsidR="0078483A">
        <w:t>.</w:t>
      </w:r>
    </w:p>
  </w:footnote>
  <w:footnote w:id="5">
    <w:p w14:paraId="51330962" w14:textId="22E23A55" w:rsidR="00B53330" w:rsidRPr="005926C3" w:rsidRDefault="00B53330" w:rsidP="00B53330">
      <w:pPr>
        <w:pStyle w:val="FootnoteText"/>
      </w:pPr>
      <w:r>
        <w:rPr>
          <w:rStyle w:val="FootnoteReference"/>
        </w:rPr>
        <w:footnoteRef/>
      </w:r>
      <w:r>
        <w:t xml:space="preserve"> Public Interest Statement at 1; </w:t>
      </w:r>
      <w:r w:rsidRPr="0074597C">
        <w:t xml:space="preserve">Application of NTELOS Inc. and </w:t>
      </w:r>
      <w:r w:rsidRPr="0074597C">
        <w:rPr>
          <w:rStyle w:val="StyleTimesNewRomanBold11ptBold"/>
          <w:b w:val="0"/>
          <w:caps w:val="0"/>
          <w:sz w:val="20"/>
          <w:szCs w:val="20"/>
        </w:rPr>
        <w:t xml:space="preserve">Shenandoah Personal Communications, LLC for Consent To Transfer Control of Long-Term </w:t>
      </w:r>
      <w:r w:rsidRPr="0074597C">
        <w:rPr>
          <w:rStyle w:val="StyleTimesNewRomanBold11ptBold"/>
          <w:b w:val="0"/>
          <w:i/>
          <w:caps w:val="0"/>
          <w:sz w:val="20"/>
          <w:szCs w:val="20"/>
        </w:rPr>
        <w:t>De Facto</w:t>
      </w:r>
      <w:r w:rsidRPr="0074597C">
        <w:rPr>
          <w:rStyle w:val="StyleTimesNewRomanBold11ptBold"/>
          <w:b w:val="0"/>
          <w:caps w:val="0"/>
          <w:sz w:val="20"/>
          <w:szCs w:val="20"/>
        </w:rPr>
        <w:t xml:space="preserve"> Transfer Leasing Arrangements</w:t>
      </w:r>
      <w:r>
        <w:rPr>
          <w:rStyle w:val="StyleTimesNewRomanBold11ptBold"/>
          <w:b w:val="0"/>
          <w:caps w:val="0"/>
          <w:sz w:val="20"/>
          <w:szCs w:val="20"/>
        </w:rPr>
        <w:t xml:space="preserve">, ULS File No. </w:t>
      </w:r>
      <w:r w:rsidRPr="00D077D0">
        <w:rPr>
          <w:rStyle w:val="StyleTimesNewRomanBold11ptBold"/>
          <w:b w:val="0"/>
          <w:caps w:val="0"/>
          <w:sz w:val="20"/>
          <w:szCs w:val="20"/>
        </w:rPr>
        <w:t>0006918539</w:t>
      </w:r>
      <w:r>
        <w:rPr>
          <w:rStyle w:val="StyleTimesNewRomanBold11ptBold"/>
          <w:b w:val="0"/>
          <w:caps w:val="0"/>
          <w:sz w:val="20"/>
          <w:szCs w:val="20"/>
        </w:rPr>
        <w:t xml:space="preserve"> (filed Aug. 25, 2015); </w:t>
      </w:r>
      <w:r w:rsidRPr="0074597C">
        <w:t xml:space="preserve">Application of </w:t>
      </w:r>
      <w:r w:rsidRPr="0074597C">
        <w:rPr>
          <w:rStyle w:val="StyleTimesNewRomanBold11ptBold"/>
          <w:b w:val="0"/>
          <w:caps w:val="0"/>
          <w:sz w:val="20"/>
          <w:szCs w:val="20"/>
        </w:rPr>
        <w:t xml:space="preserve">West Virginia PCS Alliance, L.C. </w:t>
      </w:r>
      <w:r w:rsidRPr="0074597C">
        <w:t xml:space="preserve">and </w:t>
      </w:r>
      <w:r w:rsidRPr="0074597C">
        <w:rPr>
          <w:rStyle w:val="StyleTimesNewRomanBold11ptBold"/>
          <w:b w:val="0"/>
          <w:caps w:val="0"/>
          <w:sz w:val="20"/>
          <w:szCs w:val="20"/>
        </w:rPr>
        <w:t xml:space="preserve">Shenandoah Personal Communications, LLC for Consent To Transfer Control of Long-Term </w:t>
      </w:r>
      <w:r w:rsidRPr="0074597C">
        <w:rPr>
          <w:rStyle w:val="StyleTimesNewRomanBold11ptBold"/>
          <w:b w:val="0"/>
          <w:i/>
          <w:caps w:val="0"/>
          <w:sz w:val="20"/>
          <w:szCs w:val="20"/>
        </w:rPr>
        <w:t>De Facto</w:t>
      </w:r>
      <w:r w:rsidRPr="0074597C">
        <w:rPr>
          <w:rStyle w:val="StyleTimesNewRomanBold11ptBold"/>
          <w:b w:val="0"/>
          <w:caps w:val="0"/>
          <w:sz w:val="20"/>
          <w:szCs w:val="20"/>
        </w:rPr>
        <w:t xml:space="preserve"> Transfer Leasing Arrangements</w:t>
      </w:r>
      <w:r>
        <w:rPr>
          <w:rStyle w:val="StyleTimesNewRomanBold11ptBold"/>
          <w:b w:val="0"/>
          <w:caps w:val="0"/>
          <w:sz w:val="20"/>
          <w:szCs w:val="20"/>
        </w:rPr>
        <w:t xml:space="preserve">, ULS File No. </w:t>
      </w:r>
      <w:r w:rsidRPr="00D077D0">
        <w:rPr>
          <w:rStyle w:val="StyleTimesNewRomanBold11ptBold"/>
          <w:b w:val="0"/>
          <w:caps w:val="0"/>
          <w:sz w:val="20"/>
          <w:szCs w:val="20"/>
        </w:rPr>
        <w:t>0006918521</w:t>
      </w:r>
      <w:r>
        <w:rPr>
          <w:rStyle w:val="StyleTimesNewRomanBold11ptBold"/>
          <w:b w:val="0"/>
          <w:caps w:val="0"/>
          <w:sz w:val="20"/>
          <w:szCs w:val="20"/>
        </w:rPr>
        <w:t xml:space="preserve"> (filed Aug. 25, 2015); </w:t>
      </w:r>
      <w:r>
        <w:t xml:space="preserve">Application of NTELOS Inc. and </w:t>
      </w:r>
      <w:r w:rsidRPr="00CD24BE">
        <w:rPr>
          <w:rStyle w:val="StyleTimesNewRomanBold11ptBold"/>
          <w:b w:val="0"/>
          <w:caps w:val="0"/>
          <w:sz w:val="20"/>
          <w:szCs w:val="20"/>
        </w:rPr>
        <w:t>Shenandoah Personal Communications, LLC</w:t>
      </w:r>
      <w:r>
        <w:rPr>
          <w:rStyle w:val="StyleTimesNewRomanBold11ptBold"/>
          <w:b w:val="0"/>
          <w:caps w:val="0"/>
          <w:sz w:val="20"/>
          <w:szCs w:val="20"/>
        </w:rPr>
        <w:t xml:space="preserve"> for Consent To Transfer Control of an International Section 214 Authorization, File No. </w:t>
      </w:r>
      <w:r w:rsidRPr="00894615">
        <w:rPr>
          <w:rStyle w:val="Normal1"/>
        </w:rPr>
        <w:t>ITC-T/C-20150826-00215</w:t>
      </w:r>
      <w:r>
        <w:t xml:space="preserve"> (</w:t>
      </w:r>
      <w:r>
        <w:rPr>
          <w:rStyle w:val="StyleTimesNewRomanBold11ptBold"/>
          <w:b w:val="0"/>
          <w:caps w:val="0"/>
          <w:sz w:val="20"/>
          <w:szCs w:val="20"/>
        </w:rPr>
        <w:t>filed Aug. 25, 2015)</w:t>
      </w:r>
      <w:r>
        <w:t>.</w:t>
      </w:r>
      <w:r w:rsidR="0078483A">
        <w:t xml:space="preserve"> </w:t>
      </w:r>
      <w:r w:rsidRPr="005926C3">
        <w:t xml:space="preserve"> </w:t>
      </w:r>
      <w:r w:rsidRPr="00821961">
        <w:t xml:space="preserve">The Applicants represent that </w:t>
      </w:r>
      <w:r w:rsidR="0078483A" w:rsidRPr="00821961">
        <w:t>these</w:t>
      </w:r>
      <w:r w:rsidRPr="00821961">
        <w:t xml:space="preserve"> leases would be terminated at the closi</w:t>
      </w:r>
      <w:r>
        <w:t>ng of the proposed transaction</w:t>
      </w:r>
      <w:r w:rsidRPr="00CD46BC">
        <w:t xml:space="preserve">. </w:t>
      </w:r>
      <w:r>
        <w:t xml:space="preserve"> Public Interest Statement at 1</w:t>
      </w:r>
      <w:r w:rsidR="0053096D">
        <w:t>.</w:t>
      </w:r>
      <w:r w:rsidRPr="005926C3">
        <w:t xml:space="preserve"> </w:t>
      </w:r>
      <w:r>
        <w:t xml:space="preserve"> </w:t>
      </w:r>
      <w:r w:rsidRPr="00053890">
        <w:t>The Applicants also</w:t>
      </w:r>
      <w:r w:rsidRPr="005926C3">
        <w:t xml:space="preserve"> </w:t>
      </w:r>
      <w:r w:rsidRPr="00053890">
        <w:t>seek consent to</w:t>
      </w:r>
      <w:r w:rsidRPr="005926C3">
        <w:t xml:space="preserve"> </w:t>
      </w:r>
      <w:r>
        <w:t>assign f</w:t>
      </w:r>
      <w:r w:rsidRPr="00053890">
        <w:t xml:space="preserve">rom </w:t>
      </w:r>
      <w:r>
        <w:t>NTELOS</w:t>
      </w:r>
      <w:r w:rsidRPr="00053890">
        <w:t xml:space="preserve"> to Sprint grandfathered BRS and EBS spectrum leases</w:t>
      </w:r>
      <w:r>
        <w:t>.  No separate applications are required to assign these grandfathered leases to Sprint.  47 C.F.R. §§ 27.1214-15.</w:t>
      </w:r>
    </w:p>
    <w:p w14:paraId="2DFBDEC7" w14:textId="77777777" w:rsidR="00B53330" w:rsidRPr="006467AD" w:rsidRDefault="00B53330" w:rsidP="00B53330">
      <w:pPr>
        <w:pStyle w:val="FootnoteText"/>
      </w:pPr>
      <w:r>
        <w:t>As set out in the docket, the Bureau</w:t>
      </w:r>
      <w:r w:rsidRPr="0039789D">
        <w:t xml:space="preserve"> </w:t>
      </w:r>
      <w:r>
        <w:t>accepted the Applications for filing and established a pleading cycle,</w:t>
      </w:r>
      <w:r w:rsidRPr="0039789D">
        <w:t xml:space="preserve"> </w:t>
      </w:r>
      <w:r>
        <w:t>released a public notice announcing that Numbering Resource Utilization and Forecast (NRUF) reports and local number portability (LNP) data would be placed into the record and adopted the associated protective order, adopted a protective order covering the submission of confidential and highly confidential information, and sent the Applicants information requests seeking further specific information relating to the proposed transaction.</w:t>
      </w:r>
    </w:p>
  </w:footnote>
  <w:footnote w:id="6">
    <w:p w14:paraId="329E3A88" w14:textId="0FA0247E" w:rsidR="00B53330" w:rsidRDefault="00B53330" w:rsidP="00B53330">
      <w:pPr>
        <w:pStyle w:val="FootnoteText"/>
      </w:pPr>
      <w:r>
        <w:rPr>
          <w:rStyle w:val="FootnoteReference"/>
        </w:rPr>
        <w:footnoteRef/>
      </w:r>
      <w:r>
        <w:t xml:space="preserve"> </w:t>
      </w:r>
      <w:r w:rsidRPr="002A118E">
        <w:t>SprintCom is a wholly</w:t>
      </w:r>
      <w:r>
        <w:t>-</w:t>
      </w:r>
      <w:r w:rsidRPr="002A118E">
        <w:t xml:space="preserve">owned subsidiary </w:t>
      </w:r>
      <w:r>
        <w:t xml:space="preserve">of Sprint Corporation.  </w:t>
      </w:r>
      <w:r w:rsidRPr="00086285">
        <w:t xml:space="preserve">Sprint's subsidiaries include Sprint Communications Company, L.P., Virgin Mobile, L.P., and Sprint Spectrum, L.P. </w:t>
      </w:r>
      <w:r>
        <w:t xml:space="preserve"> </w:t>
      </w:r>
      <w:r w:rsidRPr="00167637">
        <w:t>SoftBank Corp. (SoftBank), through its subsidiaries, owns approximately 80% of</w:t>
      </w:r>
      <w:r>
        <w:t xml:space="preserve"> </w:t>
      </w:r>
      <w:r w:rsidRPr="00167637">
        <w:t xml:space="preserve">Sprint. </w:t>
      </w:r>
      <w:r>
        <w:t xml:space="preserve"> </w:t>
      </w:r>
      <w:r w:rsidRPr="00167637">
        <w:t>SoftBank is a publicly traded holding company organized and existing under the laws of</w:t>
      </w:r>
      <w:r>
        <w:t xml:space="preserve"> </w:t>
      </w:r>
      <w:r w:rsidRPr="00167637">
        <w:t>Japan and is listed on the Tokyo Stock Exchange</w:t>
      </w:r>
      <w:r>
        <w:t xml:space="preserve">.  </w:t>
      </w:r>
      <w:r w:rsidRPr="00BC6B80">
        <w:rPr>
          <w:i/>
        </w:rPr>
        <w:t xml:space="preserve">Applications of Sprint Nextel Corp. and SoftBank Corp. and Starburst II, Inc. for Consent </w:t>
      </w:r>
      <w:r>
        <w:rPr>
          <w:i/>
        </w:rPr>
        <w:t>T</w:t>
      </w:r>
      <w:r w:rsidRPr="00BC6B80">
        <w:rPr>
          <w:i/>
        </w:rPr>
        <w:t>o Transfer Control of Licenses and Authorizations,</w:t>
      </w:r>
      <w:r w:rsidRPr="00B61B44">
        <w:rPr>
          <w:i/>
        </w:rPr>
        <w:t xml:space="preserve"> </w:t>
      </w:r>
      <w:r w:rsidRPr="0061074A">
        <w:t>Memorandum Opinion and Order</w:t>
      </w:r>
      <w:r w:rsidRPr="002C7EBC">
        <w:t xml:space="preserve">, </w:t>
      </w:r>
      <w:r w:rsidRPr="00BC6B80">
        <w:t>Declaratory Ruling, and Order on Reconsideration</w:t>
      </w:r>
      <w:r>
        <w:t xml:space="preserve">, 28 FCC Rcd 9642 </w:t>
      </w:r>
      <w:r w:rsidRPr="002C7EBC">
        <w:t>(2013) (</w:t>
      </w:r>
      <w:r w:rsidRPr="002C7EBC">
        <w:rPr>
          <w:i/>
        </w:rPr>
        <w:t>SoftBank-Sprint Order</w:t>
      </w:r>
      <w:r w:rsidRPr="002C7EBC">
        <w:t>)</w:t>
      </w:r>
      <w:r>
        <w:t>.  SprintCorp.</w:t>
      </w:r>
      <w:r w:rsidRPr="00A5312F">
        <w:t xml:space="preserve"> Inc., SEC</w:t>
      </w:r>
      <w:r>
        <w:t>,</w:t>
      </w:r>
      <w:r w:rsidRPr="00A5312F">
        <w:t xml:space="preserve"> Form 10-</w:t>
      </w:r>
      <w:r>
        <w:t>Q</w:t>
      </w:r>
      <w:r w:rsidRPr="00A5312F">
        <w:t xml:space="preserve">, at </w:t>
      </w:r>
      <w:r>
        <w:t>35, 43</w:t>
      </w:r>
      <w:r w:rsidRPr="00A5312F">
        <w:t xml:space="preserve"> (filed </w:t>
      </w:r>
      <w:r>
        <w:t>Feb. 4, 2016</w:t>
      </w:r>
      <w:r w:rsidRPr="00A5312F">
        <w:t>)</w:t>
      </w:r>
      <w:r>
        <w:t xml:space="preserve">, </w:t>
      </w:r>
      <w:hyperlink r:id="rId1" w:history="1">
        <w:r w:rsidRPr="00AB59D4">
          <w:rPr>
            <w:rStyle w:val="Hyperlink"/>
          </w:rPr>
          <w:t>http://www.sec.gov/Archives/edgar/data/101830/000010183016000052/sprintcorp12-31x1510q.htm</w:t>
        </w:r>
      </w:hyperlink>
      <w:r w:rsidRPr="00BB5F2E">
        <w:rPr>
          <w:sz w:val="16"/>
          <w:szCs w:val="16"/>
        </w:rPr>
        <w:t>.</w:t>
      </w:r>
    </w:p>
  </w:footnote>
  <w:footnote w:id="7">
    <w:p w14:paraId="7B383CC2" w14:textId="77777777" w:rsidR="00B53330" w:rsidRDefault="00B53330" w:rsidP="00B53330">
      <w:pPr>
        <w:pStyle w:val="FootnoteText"/>
      </w:pPr>
      <w:r>
        <w:rPr>
          <w:rStyle w:val="FootnoteReference"/>
        </w:rPr>
        <w:footnoteRef/>
      </w:r>
      <w:r>
        <w:t xml:space="preserve"> </w:t>
      </w:r>
      <w:r w:rsidRPr="003352EC">
        <w:t>Shentel PC is a wholly-owned subsidiary of Shenandoah Telecommunications</w:t>
      </w:r>
      <w:r>
        <w:t xml:space="preserve"> </w:t>
      </w:r>
      <w:r w:rsidRPr="003352EC">
        <w:t>Company</w:t>
      </w:r>
      <w:r>
        <w:t xml:space="preserve">, a Virginia corporation.  According to the Applicants, </w:t>
      </w:r>
      <w:r w:rsidRPr="009553CA">
        <w:t xml:space="preserve">Shentel’s affiliate relationship with Sprint is governed by </w:t>
      </w:r>
      <w:r>
        <w:t>several agreements including:  a</w:t>
      </w:r>
      <w:r w:rsidRPr="009553CA">
        <w:t xml:space="preserve"> Sprint PCS Management</w:t>
      </w:r>
      <w:r>
        <w:t xml:space="preserve"> </w:t>
      </w:r>
      <w:r w:rsidRPr="009553CA">
        <w:t>Agreement (Management Agreement)</w:t>
      </w:r>
      <w:r>
        <w:t>,</w:t>
      </w:r>
      <w:r w:rsidRPr="009553CA">
        <w:t xml:space="preserve"> </w:t>
      </w:r>
      <w:r>
        <w:t>a</w:t>
      </w:r>
      <w:r w:rsidRPr="009553CA">
        <w:t xml:space="preserve"> Sprint PCS Services Agreement (Services</w:t>
      </w:r>
      <w:r>
        <w:t xml:space="preserve"> </w:t>
      </w:r>
      <w:r w:rsidRPr="009553CA">
        <w:t xml:space="preserve">Agreement), </w:t>
      </w:r>
      <w:r>
        <w:t xml:space="preserve">and </w:t>
      </w:r>
      <w:r w:rsidRPr="009553CA">
        <w:t>two Trademark and Service Mark</w:t>
      </w:r>
      <w:r>
        <w:t xml:space="preserve"> </w:t>
      </w:r>
      <w:r w:rsidRPr="009553CA">
        <w:t xml:space="preserve">License Agreements (Trademark License Agreements). </w:t>
      </w:r>
      <w:r>
        <w:t xml:space="preserve"> </w:t>
      </w:r>
      <w:r w:rsidRPr="009553CA">
        <w:t>The Management Agreement, the</w:t>
      </w:r>
      <w:r>
        <w:t xml:space="preserve"> </w:t>
      </w:r>
      <w:r w:rsidRPr="009553CA">
        <w:t>Services Agreement</w:t>
      </w:r>
      <w:r>
        <w:t>,</w:t>
      </w:r>
      <w:r w:rsidRPr="009553CA">
        <w:t xml:space="preserve"> and the Trademark License Agreements were originally entered into in 1999,</w:t>
      </w:r>
      <w:r>
        <w:t xml:space="preserve"> and have been amended several times </w:t>
      </w:r>
      <w:r w:rsidRPr="009553CA">
        <w:t>in the intervening years.</w:t>
      </w:r>
      <w:r>
        <w:t xml:space="preserve">  </w:t>
      </w:r>
      <w:r>
        <w:rPr>
          <w:bCs/>
          <w:szCs w:val="22"/>
        </w:rPr>
        <w:t>Response of Shenandoah Personal Communications, LLC</w:t>
      </w:r>
      <w:r>
        <w:rPr>
          <w:color w:val="010101"/>
        </w:rPr>
        <w:t xml:space="preserve"> to the General Information Request Dated November 13, 2015, WT Docket No. 15-262, at 5-8 (Dec. 4, 2015) </w:t>
      </w:r>
      <w:r>
        <w:t xml:space="preserve">(Shentel Dec. 4, 2015 </w:t>
      </w:r>
      <w:r w:rsidRPr="00393AE0">
        <w:t>Information Request</w:t>
      </w:r>
      <w:r>
        <w:t xml:space="preserve"> Response); Public Interest Statement at 2.   </w:t>
      </w:r>
    </w:p>
  </w:footnote>
  <w:footnote w:id="8">
    <w:p w14:paraId="377FD803" w14:textId="1079B7C5" w:rsidR="00B53330" w:rsidRDefault="00B53330" w:rsidP="00B53330">
      <w:pPr>
        <w:pStyle w:val="FootnoteText"/>
      </w:pPr>
      <w:r>
        <w:rPr>
          <w:rStyle w:val="FootnoteReference"/>
        </w:rPr>
        <w:footnoteRef/>
      </w:r>
      <w:r>
        <w:t xml:space="preserve"> NTELOS Holdings Corp., SEC Form 10-K, at 1 (filed Oct. 28, 2015), </w:t>
      </w:r>
      <w:hyperlink r:id="rId2" w:history="1">
        <w:r w:rsidRPr="00AB59D4">
          <w:rPr>
            <w:rStyle w:val="Hyperlink"/>
          </w:rPr>
          <w:t>http://www.sec.gov/Archives/edgar/data/1328571/000132857115000070/ntls-x09302015x10q.htm</w:t>
        </w:r>
      </w:hyperlink>
      <w:r w:rsidRPr="00AB59D4">
        <w:t>.</w:t>
      </w:r>
      <w:r>
        <w:t xml:space="preserve"> </w:t>
      </w:r>
    </w:p>
  </w:footnote>
  <w:footnote w:id="9">
    <w:p w14:paraId="3E8EB68B" w14:textId="77777777" w:rsidR="00B53330" w:rsidRPr="00186B4C" w:rsidRDefault="00B53330" w:rsidP="00B53330">
      <w:pPr>
        <w:pStyle w:val="FootnoteText"/>
      </w:pPr>
      <w:r>
        <w:rPr>
          <w:rStyle w:val="FootnoteReference"/>
        </w:rPr>
        <w:footnoteRef/>
      </w:r>
      <w:r>
        <w:t xml:space="preserve"> Public Interest Statement at 3.  </w:t>
      </w:r>
      <w:r w:rsidRPr="00053890">
        <w:rPr>
          <w:szCs w:val="22"/>
        </w:rPr>
        <w:t xml:space="preserve">Pursuant to a Strategic Network Alliance agreement between </w:t>
      </w:r>
      <w:r>
        <w:rPr>
          <w:szCs w:val="22"/>
        </w:rPr>
        <w:t>NTELOS</w:t>
      </w:r>
      <w:r w:rsidRPr="00053890">
        <w:rPr>
          <w:szCs w:val="22"/>
        </w:rPr>
        <w:t xml:space="preserve"> and Sprint, </w:t>
      </w:r>
      <w:r>
        <w:rPr>
          <w:szCs w:val="22"/>
        </w:rPr>
        <w:t>NTELOS</w:t>
      </w:r>
      <w:r w:rsidRPr="00053890">
        <w:rPr>
          <w:szCs w:val="22"/>
        </w:rPr>
        <w:t xml:space="preserve"> is the exclusive wholesale provider of wireless services in its western Virginia and West Virginia service areas for all Sprint CDMA and LTE wireless customers</w:t>
      </w:r>
      <w:r>
        <w:rPr>
          <w:szCs w:val="22"/>
        </w:rPr>
        <w:t xml:space="preserve">.  </w:t>
      </w:r>
      <w:r>
        <w:rPr>
          <w:i/>
          <w:szCs w:val="22"/>
        </w:rPr>
        <w:t>Id</w:t>
      </w:r>
      <w:r>
        <w:rPr>
          <w:szCs w:val="22"/>
        </w:rPr>
        <w:t>. at 3.</w:t>
      </w:r>
    </w:p>
  </w:footnote>
  <w:footnote w:id="10">
    <w:p w14:paraId="03FDC8F8" w14:textId="77777777" w:rsidR="00B53330" w:rsidRDefault="00B53330" w:rsidP="00B53330">
      <w:pPr>
        <w:pStyle w:val="FootnoteText"/>
      </w:pPr>
      <w:r>
        <w:rPr>
          <w:rStyle w:val="FootnoteReference"/>
        </w:rPr>
        <w:footnoteRef/>
      </w:r>
      <w:r>
        <w:t xml:space="preserve"> The Applicants state that NTELOS previously assigned to T-Mobile licenses located in Fredericksburg, Hampton Roads/Norfolk, and Richmond, Virginia, as well as the Outer Banks of North Carolina.  In that application, which was granted by the Bureau, NTELOS stated its intention to discontinue its retail service in those markets.  </w:t>
      </w:r>
      <w:r w:rsidRPr="00936DA3">
        <w:t>Application of T-Mobile License, LLC and NTELOS Inc. for Consent To Transfer Control of PCS Spectrum</w:t>
      </w:r>
      <w:r w:rsidRPr="00CC5E41">
        <w:t>,</w:t>
      </w:r>
      <w:r>
        <w:t xml:space="preserve"> ULS File No. 0006568421 (filed Dec. 5, 2014), Exhibit 1 – Description of Transaction and Public Interest Statement at 2.  In the application before us, the Applicants state that post-transaction Shentel will complete NTELOS’s planned shutdown of these eastern markets to the extent that it has not already occurred.  Public Interest Statement at 2-3; </w:t>
      </w:r>
      <w:r>
        <w:rPr>
          <w:i/>
          <w:iCs/>
        </w:rPr>
        <w:t>see also</w:t>
      </w:r>
      <w:r>
        <w:t xml:space="preserve"> </w:t>
      </w:r>
      <w:r>
        <w:rPr>
          <w:snapToGrid w:val="0"/>
        </w:rPr>
        <w:t xml:space="preserve">Response of NTELOS Holdings Corp. </w:t>
      </w:r>
      <w:r>
        <w:rPr>
          <w:snapToGrid w:val="0"/>
          <w:color w:val="010101"/>
        </w:rPr>
        <w:t>to the General Information Request Dated November 13, 2015, WT Docket No. 15-262, at 2 (Nov. 25, 2015) (stating that NTELOS previously sold its licenses for its eastern markets, and discontinued operations in these markets on November 15, 2015)</w:t>
      </w:r>
      <w:r>
        <w:t xml:space="preserve"> (NTELOS Information Request Response).</w:t>
      </w:r>
    </w:p>
  </w:footnote>
  <w:footnote w:id="11">
    <w:p w14:paraId="3A1376BC" w14:textId="0DB24728" w:rsidR="00B53330" w:rsidRDefault="00B53330" w:rsidP="00B53330">
      <w:pPr>
        <w:pStyle w:val="FootnoteText"/>
      </w:pPr>
      <w:r>
        <w:rPr>
          <w:rStyle w:val="FootnoteReference"/>
        </w:rPr>
        <w:footnoteRef/>
      </w:r>
      <w:r>
        <w:t xml:space="preserve"> </w:t>
      </w:r>
      <w:r w:rsidR="00572AF6" w:rsidRPr="00572AF6">
        <w:t>Public Interest Statement at 3.</w:t>
      </w:r>
    </w:p>
  </w:footnote>
  <w:footnote w:id="12">
    <w:p w14:paraId="17BEDD52" w14:textId="7AA42EB1" w:rsidR="00B53330" w:rsidRDefault="00B53330" w:rsidP="00B53330">
      <w:pPr>
        <w:pStyle w:val="FootnoteText"/>
      </w:pPr>
      <w:r>
        <w:rPr>
          <w:rStyle w:val="FootnoteReference"/>
        </w:rPr>
        <w:footnoteRef/>
      </w:r>
      <w:r>
        <w:t xml:space="preserve"> </w:t>
      </w:r>
      <w:r w:rsidR="00CE15CB" w:rsidRPr="00572AF6">
        <w:t>Public Interest Statement</w:t>
      </w:r>
      <w:r w:rsidR="00CE15CB">
        <w:t xml:space="preserve"> </w:t>
      </w:r>
      <w:r>
        <w:t>at 1, 3.</w:t>
      </w:r>
    </w:p>
  </w:footnote>
  <w:footnote w:id="13">
    <w:p w14:paraId="103D5029" w14:textId="77777777" w:rsidR="00B53330" w:rsidRDefault="00B53330" w:rsidP="00B53330">
      <w:pPr>
        <w:pStyle w:val="FootnoteText"/>
      </w:pPr>
      <w:r>
        <w:rPr>
          <w:rStyle w:val="FootnoteReference"/>
        </w:rPr>
        <w:footnoteRef/>
      </w:r>
      <w:r>
        <w:t xml:space="preserve"> </w:t>
      </w:r>
      <w:r w:rsidRPr="00936DA3">
        <w:rPr>
          <w:i/>
        </w:rPr>
        <w:t>SprintCom, Inc., Shenandoah Personal Communications, LLC, and NTELOS Holdings Corp., Seek Consent to the Assignments of Licenses and Spectrum Lease Authorizations and to the Transfer of Control of Spectrum Lease Authorizations and International Section 214 Authorization</w:t>
      </w:r>
      <w:r w:rsidRPr="0074597C">
        <w:t xml:space="preserve">, </w:t>
      </w:r>
      <w:r>
        <w:t xml:space="preserve">WT Docket No. 15-262, </w:t>
      </w:r>
      <w:r w:rsidRPr="00BC6B80">
        <w:t>Public Notice</w:t>
      </w:r>
      <w:r>
        <w:t>, 30 FCC Rcd 11687 (WTB 2015) (</w:t>
      </w:r>
      <w:r w:rsidRPr="00936DA3">
        <w:rPr>
          <w:i/>
        </w:rPr>
        <w:t>Accepted for Filing Public Notice</w:t>
      </w:r>
      <w:r>
        <w:t xml:space="preserve">).  </w:t>
      </w:r>
      <w:r w:rsidRPr="00CC7FDC">
        <w:rPr>
          <w:i/>
        </w:rPr>
        <w:t>See also</w:t>
      </w:r>
      <w:r>
        <w:t xml:space="preserve"> Applications, Exhibit 3 – Spectrum Aggregation.</w:t>
      </w:r>
    </w:p>
  </w:footnote>
  <w:footnote w:id="14">
    <w:p w14:paraId="1B38DF4E" w14:textId="77777777" w:rsidR="00B53330" w:rsidRPr="00316A29" w:rsidRDefault="00B53330" w:rsidP="00B53330">
      <w:pPr>
        <w:pStyle w:val="FootnoteText"/>
      </w:pPr>
      <w:r w:rsidRPr="00316A29">
        <w:rPr>
          <w:rStyle w:val="FootnoteReference"/>
        </w:rPr>
        <w:footnoteRef/>
      </w:r>
      <w:r>
        <w:t xml:space="preserve"> 47 U.S.C. §§ 214, </w:t>
      </w:r>
      <w:r w:rsidRPr="00316A29">
        <w:t xml:space="preserve">310(d). </w:t>
      </w:r>
    </w:p>
  </w:footnote>
  <w:footnote w:id="15">
    <w:p w14:paraId="6FDB85D4" w14:textId="77777777" w:rsidR="00B53330" w:rsidRDefault="00B53330" w:rsidP="00B53330">
      <w:pPr>
        <w:pStyle w:val="FootnoteText"/>
      </w:pPr>
      <w:r>
        <w:rPr>
          <w:rStyle w:val="FootnoteReference"/>
        </w:rPr>
        <w:footnoteRef/>
      </w:r>
      <w:r>
        <w:t xml:space="preserve"> </w:t>
      </w:r>
      <w:r w:rsidRPr="00316A29">
        <w:rPr>
          <w:i/>
        </w:rPr>
        <w:t>See</w:t>
      </w:r>
      <w:r w:rsidRPr="004273B0">
        <w:t>,</w:t>
      </w:r>
      <w:r w:rsidRPr="00316A29">
        <w:rPr>
          <w:i/>
        </w:rPr>
        <w:t xml:space="preserve"> e.g.</w:t>
      </w:r>
      <w:r w:rsidRPr="00316A29">
        <w:t xml:space="preserve">, </w:t>
      </w:r>
      <w:r w:rsidRPr="00BC6B80">
        <w:rPr>
          <w:i/>
        </w:rPr>
        <w:t>Applications of AT&amp;T Inc. and Cellular Properties, Inc. for Consent To Assign Authorizations</w:t>
      </w:r>
      <w:r w:rsidRPr="00574523">
        <w:t xml:space="preserve">, </w:t>
      </w:r>
      <w:r w:rsidRPr="00BC6B80">
        <w:t>Memorandum Opinion and Order</w:t>
      </w:r>
      <w:r w:rsidRPr="00574523">
        <w:t xml:space="preserve">, </w:t>
      </w:r>
      <w:r>
        <w:t>31 FCC Rcd 318</w:t>
      </w:r>
      <w:r w:rsidRPr="00574523">
        <w:t xml:space="preserve">, </w:t>
      </w:r>
      <w:r>
        <w:t xml:space="preserve">319-20, </w:t>
      </w:r>
      <w:r w:rsidRPr="00574523">
        <w:t xml:space="preserve">para. </w:t>
      </w:r>
      <w:r>
        <w:t>4</w:t>
      </w:r>
      <w:r w:rsidRPr="00574523">
        <w:t xml:space="preserve"> (WTB</w:t>
      </w:r>
      <w:r>
        <w:t>,</w:t>
      </w:r>
      <w:r w:rsidRPr="00574523">
        <w:t xml:space="preserve"> IB 2016)</w:t>
      </w:r>
      <w:r>
        <w:t xml:space="preserve"> (</w:t>
      </w:r>
      <w:r w:rsidRPr="00AF7981">
        <w:rPr>
          <w:i/>
        </w:rPr>
        <w:t>AT&amp;T</w:t>
      </w:r>
      <w:r>
        <w:rPr>
          <w:i/>
        </w:rPr>
        <w:t>-</w:t>
      </w:r>
      <w:r w:rsidRPr="00AF7981">
        <w:rPr>
          <w:i/>
        </w:rPr>
        <w:t>CPI Order</w:t>
      </w:r>
      <w:r>
        <w:t xml:space="preserve">); </w:t>
      </w:r>
      <w:r w:rsidRPr="00BC6B80">
        <w:rPr>
          <w:i/>
        </w:rPr>
        <w:t>Applications of AT&amp;T Inc., E.N.M.R</w:t>
      </w:r>
      <w:r>
        <w:rPr>
          <w:i/>
        </w:rPr>
        <w:t>.</w:t>
      </w:r>
      <w:r w:rsidRPr="00BC6B80">
        <w:rPr>
          <w:i/>
        </w:rPr>
        <w:t xml:space="preserve"> Telephone Cooperative, Plateau Telecommunications, Inc., New Mexico RSA 4 East Limited Partnership, and Texas RSA 3 Limited Partnership for Consent To Assign Licenses and Authorizations</w:t>
      </w:r>
      <w:r>
        <w:t xml:space="preserve">, </w:t>
      </w:r>
      <w:r w:rsidRPr="00BC6B80">
        <w:t>Memorandum Opinion and Order</w:t>
      </w:r>
      <w:r>
        <w:t>, 30 FCC Rcd 5107, 5111, para. 8 (2015) (</w:t>
      </w:r>
      <w:r w:rsidRPr="00B61B44">
        <w:rPr>
          <w:i/>
        </w:rPr>
        <w:t>AT&amp;T-Plateau Wireless Order</w:t>
      </w:r>
      <w:r>
        <w:t xml:space="preserve">); </w:t>
      </w:r>
      <w:r w:rsidRPr="00BC6B80">
        <w:rPr>
          <w:i/>
        </w:rPr>
        <w:t>Applications of AT&amp;T Inc., Leap Wireless International, Inc., Cricket License Co., LLC and Leap Licenseco, Inc. for Consent To Transfer Control and Assign Licenses and Authorizations</w:t>
      </w:r>
      <w:r w:rsidRPr="001800E5">
        <w:t xml:space="preserve">, </w:t>
      </w:r>
      <w:r w:rsidRPr="00BC6B80">
        <w:rPr>
          <w:iCs/>
        </w:rPr>
        <w:t>Memorandum Opinion and Order</w:t>
      </w:r>
      <w:r w:rsidRPr="001800E5">
        <w:t>,</w:t>
      </w:r>
      <w:r w:rsidRPr="001800E5">
        <w:rPr>
          <w:i/>
          <w:iCs/>
        </w:rPr>
        <w:t xml:space="preserve"> </w:t>
      </w:r>
      <w:r>
        <w:t>29 FCC Rcd 2735, 2741</w:t>
      </w:r>
      <w:r>
        <w:noBreakHyphen/>
        <w:t>42,</w:t>
      </w:r>
      <w:r w:rsidRPr="001800E5">
        <w:t xml:space="preserve"> </w:t>
      </w:r>
      <w:r>
        <w:t>para. 13</w:t>
      </w:r>
      <w:r w:rsidRPr="001800E5">
        <w:t xml:space="preserve"> (WTB</w:t>
      </w:r>
      <w:r>
        <w:t>, IB</w:t>
      </w:r>
      <w:r w:rsidRPr="001800E5">
        <w:t xml:space="preserve"> 2014) (</w:t>
      </w:r>
      <w:r w:rsidRPr="001800E5">
        <w:rPr>
          <w:i/>
        </w:rPr>
        <w:t>AT&amp;T-Leap Order</w:t>
      </w:r>
      <w:r w:rsidRPr="001800E5">
        <w:t>)</w:t>
      </w:r>
      <w:r>
        <w:t>.</w:t>
      </w:r>
    </w:p>
  </w:footnote>
  <w:footnote w:id="16">
    <w:p w14:paraId="53AA15B1" w14:textId="77777777" w:rsidR="00B53330" w:rsidRDefault="00B53330" w:rsidP="00B53330">
      <w:pPr>
        <w:pStyle w:val="FootnoteText"/>
      </w:pPr>
      <w:r>
        <w:rPr>
          <w:rStyle w:val="FootnoteReference"/>
        </w:rPr>
        <w:footnoteRef/>
      </w:r>
      <w:r>
        <w:t xml:space="preserve"> Section 310(d) requires that we consider the application as if the proposed assignee were applying for the licenses directly under section 308 of the Act.  47 U.SC. §§ 308, 310(d).  </w:t>
      </w:r>
      <w:r w:rsidRPr="00A101BD">
        <w:rPr>
          <w:i/>
        </w:rPr>
        <w:t>See</w:t>
      </w:r>
      <w:r w:rsidRPr="000C4720">
        <w:t>,</w:t>
      </w:r>
      <w:r w:rsidRPr="00A101BD">
        <w:rPr>
          <w:i/>
        </w:rPr>
        <w:t xml:space="preserve"> e.g.</w:t>
      </w:r>
      <w:r w:rsidRPr="000C4720">
        <w:t>,</w:t>
      </w:r>
      <w:r w:rsidRPr="00E01895">
        <w:rPr>
          <w:i/>
        </w:rPr>
        <w:t xml:space="preserve"> </w:t>
      </w:r>
      <w:r w:rsidRPr="006E29EF">
        <w:rPr>
          <w:i/>
        </w:rPr>
        <w:t>AT&amp;T-CPI</w:t>
      </w:r>
      <w:r w:rsidRPr="006E29EF">
        <w:t xml:space="preserve"> </w:t>
      </w:r>
      <w:r w:rsidRPr="006E29EF">
        <w:rPr>
          <w:i/>
        </w:rPr>
        <w:t>Order</w:t>
      </w:r>
      <w:r>
        <w:t>, 31 FCC Rcd at 319-20,</w:t>
      </w:r>
      <w:r w:rsidRPr="00075569">
        <w:t xml:space="preserve"> </w:t>
      </w:r>
      <w:r>
        <w:t xml:space="preserve">para. </w:t>
      </w:r>
      <w:r w:rsidRPr="002E274A">
        <w:t>4</w:t>
      </w:r>
      <w:r>
        <w:t xml:space="preserve">; </w:t>
      </w:r>
      <w:r w:rsidRPr="00A101BD">
        <w:rPr>
          <w:i/>
        </w:rPr>
        <w:t>AT&amp;T-Plateau Wireless Order</w:t>
      </w:r>
      <w:r>
        <w:t xml:space="preserve">, </w:t>
      </w:r>
      <w:r w:rsidRPr="00AA7A51">
        <w:t xml:space="preserve">30 FCC Rcd </w:t>
      </w:r>
      <w:r>
        <w:t xml:space="preserve">at </w:t>
      </w:r>
      <w:r w:rsidRPr="00AA7A51">
        <w:t>5111</w:t>
      </w:r>
      <w:r>
        <w:t xml:space="preserve">, para. 8 &amp; n.27; </w:t>
      </w:r>
      <w:r w:rsidRPr="00A101BD">
        <w:rPr>
          <w:i/>
        </w:rPr>
        <w:t>AT&amp;T-Leap Order</w:t>
      </w:r>
      <w:r>
        <w:t>, 29 FCC Rcd at 2741-42, para. 13 &amp; n.45.</w:t>
      </w:r>
    </w:p>
  </w:footnote>
  <w:footnote w:id="17">
    <w:p w14:paraId="3F0F14EC" w14:textId="77777777" w:rsidR="00B53330" w:rsidRPr="00316A29" w:rsidRDefault="00B53330" w:rsidP="00B53330">
      <w:pPr>
        <w:pStyle w:val="FootnoteText"/>
      </w:pPr>
      <w:r w:rsidRPr="00316A29">
        <w:rPr>
          <w:rStyle w:val="FootnoteReference"/>
        </w:rPr>
        <w:footnoteRef/>
      </w:r>
      <w:r w:rsidRPr="00316A29">
        <w:rPr>
          <w:i/>
        </w:rPr>
        <w:t xml:space="preserve"> See, e.g</w:t>
      </w:r>
      <w:r w:rsidRPr="00316A29">
        <w:t>.,</w:t>
      </w:r>
      <w:r w:rsidRPr="00316A29">
        <w:rPr>
          <w:i/>
        </w:rPr>
        <w:t xml:space="preserve"> </w:t>
      </w:r>
      <w:r w:rsidRPr="006E29EF">
        <w:rPr>
          <w:i/>
        </w:rPr>
        <w:t>AT&amp;T-CPI</w:t>
      </w:r>
      <w:r w:rsidRPr="006E29EF">
        <w:t xml:space="preserve"> </w:t>
      </w:r>
      <w:r w:rsidRPr="006E29EF">
        <w:rPr>
          <w:i/>
        </w:rPr>
        <w:t>Order</w:t>
      </w:r>
      <w:r>
        <w:rPr>
          <w:i/>
        </w:rPr>
        <w:t xml:space="preserve">, </w:t>
      </w:r>
      <w:r>
        <w:t>31 FCC Rcd at 319-20,</w:t>
      </w:r>
      <w:r w:rsidRPr="00AC1A9B">
        <w:t xml:space="preserve"> </w:t>
      </w:r>
      <w:r>
        <w:t xml:space="preserve">para. </w:t>
      </w:r>
      <w:r w:rsidRPr="002E274A">
        <w:t>4</w:t>
      </w:r>
      <w:r>
        <w:t xml:space="preserve">; </w:t>
      </w:r>
      <w:r w:rsidRPr="009B3B62">
        <w:rPr>
          <w:i/>
        </w:rPr>
        <w:t>AT&amp;T-Plateau Wireless Order</w:t>
      </w:r>
      <w:r>
        <w:t xml:space="preserve">, </w:t>
      </w:r>
      <w:r w:rsidRPr="00B47D44">
        <w:t xml:space="preserve">30 FCC Rcd </w:t>
      </w:r>
      <w:r>
        <w:t xml:space="preserve">at </w:t>
      </w:r>
      <w:r w:rsidRPr="00B47D44">
        <w:t>5111</w:t>
      </w:r>
      <w:r>
        <w:t xml:space="preserve">, para. 8; </w:t>
      </w:r>
      <w:r>
        <w:rPr>
          <w:i/>
        </w:rPr>
        <w:t xml:space="preserve">AT&amp;T-Leap Order, </w:t>
      </w:r>
      <w:r w:rsidRPr="00CF4C4A">
        <w:t>29 FCC Rcd at 2741-42</w:t>
      </w:r>
      <w:r>
        <w:t>,</w:t>
      </w:r>
      <w:r>
        <w:rPr>
          <w:i/>
        </w:rPr>
        <w:t xml:space="preserve"> </w:t>
      </w:r>
      <w:r>
        <w:t>para. 13.</w:t>
      </w:r>
    </w:p>
  </w:footnote>
  <w:footnote w:id="18">
    <w:p w14:paraId="40A2719C" w14:textId="77777777" w:rsidR="00B53330" w:rsidRPr="00316A29" w:rsidRDefault="00B53330" w:rsidP="00B53330">
      <w:pPr>
        <w:pStyle w:val="FootnoteText"/>
      </w:pPr>
      <w:r w:rsidRPr="00316A29">
        <w:rPr>
          <w:rStyle w:val="FootnoteReference"/>
        </w:rPr>
        <w:footnoteRef/>
      </w:r>
      <w:r w:rsidRPr="00316A29">
        <w:rPr>
          <w:i/>
        </w:rPr>
        <w:t xml:space="preserve"> See, e.g</w:t>
      </w:r>
      <w:r w:rsidRPr="00316A29">
        <w:t>.,</w:t>
      </w:r>
      <w:r w:rsidRPr="00316A29">
        <w:rPr>
          <w:i/>
        </w:rPr>
        <w:t xml:space="preserve"> </w:t>
      </w:r>
      <w:r w:rsidRPr="006E29EF">
        <w:rPr>
          <w:i/>
        </w:rPr>
        <w:t>AT&amp;T-CPI</w:t>
      </w:r>
      <w:r w:rsidRPr="006E29EF">
        <w:t xml:space="preserve"> </w:t>
      </w:r>
      <w:r w:rsidRPr="006E29EF">
        <w:rPr>
          <w:i/>
        </w:rPr>
        <w:t>Order</w:t>
      </w:r>
      <w:r>
        <w:rPr>
          <w:i/>
        </w:rPr>
        <w:t xml:space="preserve">, </w:t>
      </w:r>
      <w:r>
        <w:t>31 FCC Rcd at 319-20,</w:t>
      </w:r>
      <w:r w:rsidRPr="00AC1A9B">
        <w:t xml:space="preserve"> </w:t>
      </w:r>
      <w:r>
        <w:t xml:space="preserve">para. </w:t>
      </w:r>
      <w:r w:rsidRPr="002E274A">
        <w:t>4</w:t>
      </w:r>
      <w:r>
        <w:t xml:space="preserve">; </w:t>
      </w:r>
      <w:r w:rsidRPr="009B3B62">
        <w:rPr>
          <w:i/>
        </w:rPr>
        <w:t>AT&amp;T-Plateau Wireless Order</w:t>
      </w:r>
      <w:r>
        <w:t xml:space="preserve">, </w:t>
      </w:r>
      <w:r w:rsidRPr="00B47D44">
        <w:t xml:space="preserve">30 FCC Rcd </w:t>
      </w:r>
      <w:r>
        <w:t xml:space="preserve">at </w:t>
      </w:r>
      <w:r w:rsidRPr="00B47D44">
        <w:t>5111</w:t>
      </w:r>
      <w:r>
        <w:t xml:space="preserve">, para. 8; </w:t>
      </w:r>
      <w:r>
        <w:rPr>
          <w:i/>
        </w:rPr>
        <w:t xml:space="preserve">AT&amp;T-Leap Order, </w:t>
      </w:r>
      <w:r w:rsidRPr="00CF4C4A">
        <w:t>29 FCC Rcd at 2741-42</w:t>
      </w:r>
      <w:r>
        <w:t>,</w:t>
      </w:r>
      <w:r>
        <w:rPr>
          <w:i/>
        </w:rPr>
        <w:t xml:space="preserve"> </w:t>
      </w:r>
      <w:r>
        <w:t>para. 13.</w:t>
      </w:r>
    </w:p>
  </w:footnote>
  <w:footnote w:id="19">
    <w:p w14:paraId="32ED3947" w14:textId="77777777" w:rsidR="00B53330" w:rsidRPr="00C17C92" w:rsidRDefault="00B53330" w:rsidP="00B53330">
      <w:pPr>
        <w:pStyle w:val="FootnoteText"/>
      </w:pPr>
      <w:r w:rsidRPr="00316A29">
        <w:rPr>
          <w:rStyle w:val="FootnoteReference"/>
        </w:rPr>
        <w:footnoteRef/>
      </w:r>
      <w:r>
        <w:rPr>
          <w:i/>
        </w:rPr>
        <w:t xml:space="preserve"> </w:t>
      </w:r>
      <w:r w:rsidRPr="00316A29">
        <w:rPr>
          <w:i/>
        </w:rPr>
        <w:t>See, e.g</w:t>
      </w:r>
      <w:r w:rsidRPr="00316A29">
        <w:t>.,</w:t>
      </w:r>
      <w:r w:rsidRPr="00316A29">
        <w:rPr>
          <w:i/>
        </w:rPr>
        <w:t xml:space="preserve"> </w:t>
      </w:r>
      <w:r w:rsidRPr="006E29EF">
        <w:rPr>
          <w:i/>
        </w:rPr>
        <w:t>AT&amp;T-CPI</w:t>
      </w:r>
      <w:r w:rsidRPr="006E29EF">
        <w:t xml:space="preserve"> </w:t>
      </w:r>
      <w:r w:rsidRPr="006E29EF">
        <w:rPr>
          <w:i/>
        </w:rPr>
        <w:t>Order</w:t>
      </w:r>
      <w:r>
        <w:rPr>
          <w:i/>
        </w:rPr>
        <w:t xml:space="preserve">, </w:t>
      </w:r>
      <w:r>
        <w:t>31 FCC Rcd at 319-20,</w:t>
      </w:r>
      <w:r w:rsidRPr="00AC1A9B">
        <w:t xml:space="preserve"> </w:t>
      </w:r>
      <w:r>
        <w:t xml:space="preserve">para. </w:t>
      </w:r>
      <w:r w:rsidRPr="002E274A">
        <w:t>4</w:t>
      </w:r>
      <w:r>
        <w:t xml:space="preserve">; </w:t>
      </w:r>
      <w:r w:rsidRPr="009B3B62">
        <w:rPr>
          <w:i/>
        </w:rPr>
        <w:t>AT&amp;T-Plateau Wireless Order</w:t>
      </w:r>
      <w:r>
        <w:t xml:space="preserve">, </w:t>
      </w:r>
      <w:r w:rsidRPr="00B47D44">
        <w:t xml:space="preserve">30 FCC Rcd </w:t>
      </w:r>
      <w:r>
        <w:t xml:space="preserve">at </w:t>
      </w:r>
      <w:r w:rsidRPr="00B47D44">
        <w:t>5111</w:t>
      </w:r>
      <w:r>
        <w:t xml:space="preserve">, para. 8; </w:t>
      </w:r>
      <w:r>
        <w:rPr>
          <w:i/>
        </w:rPr>
        <w:t xml:space="preserve">AT&amp;T-Leap Order, </w:t>
      </w:r>
      <w:r w:rsidRPr="00CF4C4A">
        <w:t>29 FCC Rcd at 2741-42</w:t>
      </w:r>
      <w:r>
        <w:t>,</w:t>
      </w:r>
      <w:r>
        <w:rPr>
          <w:i/>
        </w:rPr>
        <w:t xml:space="preserve"> </w:t>
      </w:r>
      <w:r>
        <w:t>para. 13.</w:t>
      </w:r>
    </w:p>
  </w:footnote>
  <w:footnote w:id="20">
    <w:p w14:paraId="51BB16D5" w14:textId="77777777" w:rsidR="00B53330" w:rsidRPr="007C34DA" w:rsidRDefault="00B53330" w:rsidP="00B53330">
      <w:pPr>
        <w:pStyle w:val="FootnoteText"/>
        <w:rPr>
          <w:i/>
        </w:rPr>
      </w:pPr>
      <w:r w:rsidRPr="00316A29">
        <w:rPr>
          <w:rStyle w:val="FootnoteReference"/>
        </w:rPr>
        <w:footnoteRef/>
      </w:r>
      <w:r>
        <w:rPr>
          <w:i/>
        </w:rPr>
        <w:t xml:space="preserve"> </w:t>
      </w:r>
      <w:r w:rsidRPr="00316A29">
        <w:rPr>
          <w:i/>
        </w:rPr>
        <w:t>See, e.g</w:t>
      </w:r>
      <w:r w:rsidRPr="00316A29">
        <w:t>.,</w:t>
      </w:r>
      <w:r w:rsidRPr="00316A29">
        <w:rPr>
          <w:i/>
        </w:rPr>
        <w:t xml:space="preserve"> </w:t>
      </w:r>
      <w:r w:rsidRPr="006E29EF">
        <w:rPr>
          <w:i/>
        </w:rPr>
        <w:t>AT&amp;T-CPI</w:t>
      </w:r>
      <w:r w:rsidRPr="006E29EF">
        <w:t xml:space="preserve"> </w:t>
      </w:r>
      <w:r w:rsidRPr="006E29EF">
        <w:rPr>
          <w:i/>
        </w:rPr>
        <w:t>Order</w:t>
      </w:r>
      <w:r>
        <w:rPr>
          <w:i/>
        </w:rPr>
        <w:t xml:space="preserve">, </w:t>
      </w:r>
      <w:r>
        <w:t>31 FCC Rcd at 319-20,</w:t>
      </w:r>
      <w:r w:rsidRPr="00AC1A9B">
        <w:t xml:space="preserve"> </w:t>
      </w:r>
      <w:r>
        <w:t xml:space="preserve">para. </w:t>
      </w:r>
      <w:r w:rsidRPr="002E274A">
        <w:t>4</w:t>
      </w:r>
      <w:r>
        <w:t xml:space="preserve">; </w:t>
      </w:r>
      <w:r w:rsidRPr="009B3B62">
        <w:rPr>
          <w:i/>
        </w:rPr>
        <w:t>AT&amp;T-Plateau Wireless Order</w:t>
      </w:r>
      <w:r>
        <w:t xml:space="preserve">, </w:t>
      </w:r>
      <w:r w:rsidRPr="00B47D44">
        <w:t xml:space="preserve">30 FCC Rcd </w:t>
      </w:r>
      <w:r>
        <w:t xml:space="preserve">at </w:t>
      </w:r>
      <w:r w:rsidRPr="00B47D44">
        <w:t>5111</w:t>
      </w:r>
      <w:r>
        <w:t xml:space="preserve">, para. 8; </w:t>
      </w:r>
      <w:r>
        <w:rPr>
          <w:i/>
        </w:rPr>
        <w:t xml:space="preserve">AT&amp;T-Leap Order, </w:t>
      </w:r>
      <w:r w:rsidRPr="00CF4C4A">
        <w:t>29 FCC Rcd at 2741-42</w:t>
      </w:r>
      <w:r>
        <w:t>,</w:t>
      </w:r>
      <w:r>
        <w:rPr>
          <w:i/>
        </w:rPr>
        <w:t xml:space="preserve"> </w:t>
      </w:r>
      <w:r>
        <w:t>para. 13.</w:t>
      </w:r>
    </w:p>
  </w:footnote>
  <w:footnote w:id="21">
    <w:p w14:paraId="1167D282" w14:textId="77777777" w:rsidR="00B53330" w:rsidRDefault="00B53330" w:rsidP="00B53330">
      <w:pPr>
        <w:pStyle w:val="FootnoteText"/>
      </w:pPr>
      <w:r>
        <w:rPr>
          <w:rStyle w:val="FootnoteReference"/>
        </w:rPr>
        <w:footnoteRef/>
      </w:r>
      <w:r>
        <w:t xml:space="preserve"> </w:t>
      </w:r>
      <w:r w:rsidRPr="00316A29">
        <w:rPr>
          <w:i/>
        </w:rPr>
        <w:t>See, e.g</w:t>
      </w:r>
      <w:r w:rsidRPr="00316A29">
        <w:t>.,</w:t>
      </w:r>
      <w:r w:rsidRPr="00316A29">
        <w:rPr>
          <w:i/>
        </w:rPr>
        <w:t xml:space="preserve"> </w:t>
      </w:r>
      <w:r w:rsidRPr="00E8448F">
        <w:rPr>
          <w:i/>
        </w:rPr>
        <w:t xml:space="preserve">Applications of AT&amp;T and DIRECTV for Consent </w:t>
      </w:r>
      <w:r>
        <w:rPr>
          <w:i/>
        </w:rPr>
        <w:t>T</w:t>
      </w:r>
      <w:r w:rsidRPr="00E8448F">
        <w:rPr>
          <w:i/>
        </w:rPr>
        <w:t>o Assign or Transfer Control of Licenses and Authorizations</w:t>
      </w:r>
      <w:r w:rsidRPr="00E8448F">
        <w:t>, Memorandum Opinion and Order, 29 FCC Rcd 9131, 9139</w:t>
      </w:r>
      <w:r>
        <w:t>-41</w:t>
      </w:r>
      <w:r w:rsidRPr="00E8448F">
        <w:t>, para</w:t>
      </w:r>
      <w:r>
        <w:t>s</w:t>
      </w:r>
      <w:r w:rsidRPr="00E8448F">
        <w:t>. 18</w:t>
      </w:r>
      <w:r>
        <w:t>-22</w:t>
      </w:r>
      <w:r w:rsidRPr="00E8448F">
        <w:t xml:space="preserve"> (2015) (</w:t>
      </w:r>
      <w:r w:rsidRPr="00E8448F">
        <w:rPr>
          <w:i/>
        </w:rPr>
        <w:t>AT&amp;T-DIRECTV Order</w:t>
      </w:r>
      <w:r w:rsidRPr="00E8448F">
        <w:t>);</w:t>
      </w:r>
      <w:r w:rsidRPr="00E8448F">
        <w:rPr>
          <w:i/>
        </w:rPr>
        <w:t xml:space="preserve"> </w:t>
      </w:r>
      <w:r w:rsidRPr="00DE0232">
        <w:rPr>
          <w:i/>
        </w:rPr>
        <w:t>Applications of GCI Communication Corp., ACS W</w:t>
      </w:r>
      <w:r>
        <w:rPr>
          <w:i/>
        </w:rPr>
        <w:t>ireless License Sub, Inc., ACS of Anchorage License Sub, Inc., and Unicom, Inc. for Consent to Assign Licenses to t</w:t>
      </w:r>
      <w:r w:rsidRPr="00DE0232">
        <w:rPr>
          <w:i/>
        </w:rPr>
        <w:t>he Alaska Wireless Network, LLC</w:t>
      </w:r>
      <w:r w:rsidRPr="00700865">
        <w:t>,</w:t>
      </w:r>
      <w:r>
        <w:rPr>
          <w:i/>
        </w:rPr>
        <w:t xml:space="preserve"> </w:t>
      </w:r>
      <w:r w:rsidRPr="006010BE">
        <w:rPr>
          <w:spacing w:val="-2"/>
        </w:rPr>
        <w:t>Memorandum Opinion and Order and Declaratory Ruling</w:t>
      </w:r>
      <w:r w:rsidRPr="00316A29">
        <w:rPr>
          <w:spacing w:val="-2"/>
        </w:rPr>
        <w:t xml:space="preserve">, </w:t>
      </w:r>
      <w:r w:rsidRPr="00A5312F">
        <w:t xml:space="preserve">28 FCC Rcd </w:t>
      </w:r>
      <w:r>
        <w:t>10433,</w:t>
      </w:r>
      <w:r w:rsidRPr="00A5312F">
        <w:t xml:space="preserve"> 1044</w:t>
      </w:r>
      <w:r>
        <w:t>2-44, paras. 23-27 (2013) (</w:t>
      </w:r>
      <w:r>
        <w:rPr>
          <w:i/>
        </w:rPr>
        <w:t>Alaska Wireless Order)</w:t>
      </w:r>
      <w:r>
        <w:t>;</w:t>
      </w:r>
      <w:r w:rsidRPr="00A5312F">
        <w:t xml:space="preserve"> </w:t>
      </w:r>
      <w:r w:rsidRPr="00E8448F">
        <w:rPr>
          <w:i/>
        </w:rPr>
        <w:t>Applications</w:t>
      </w:r>
      <w:r w:rsidRPr="008016E2">
        <w:rPr>
          <w:i/>
        </w:rPr>
        <w:t xml:space="preserve"> of Comcast Corporation, General Electric Company, and NBC Universal, Inc. for Consent </w:t>
      </w:r>
      <w:r>
        <w:rPr>
          <w:i/>
        </w:rPr>
        <w:t>T</w:t>
      </w:r>
      <w:r w:rsidRPr="008016E2">
        <w:rPr>
          <w:i/>
        </w:rPr>
        <w:t>o Assign Licenses and Transfer Control of Licenses</w:t>
      </w:r>
      <w:r w:rsidRPr="008016E2">
        <w:t>, Memorandum Opinion and Order, 26 FCC Rcd 4238, 4247</w:t>
      </w:r>
      <w:r>
        <w:t>-49</w:t>
      </w:r>
      <w:r w:rsidRPr="008016E2">
        <w:t>, para</w:t>
      </w:r>
      <w:r>
        <w:t>s</w:t>
      </w:r>
      <w:r w:rsidRPr="008016E2">
        <w:t>. 22</w:t>
      </w:r>
      <w:r>
        <w:t>-25</w:t>
      </w:r>
      <w:r w:rsidRPr="008016E2">
        <w:t xml:space="preserve"> (2011)</w:t>
      </w:r>
      <w:r>
        <w:t>.</w:t>
      </w:r>
    </w:p>
  </w:footnote>
  <w:footnote w:id="22">
    <w:p w14:paraId="570372A2" w14:textId="77777777" w:rsidR="00B53330" w:rsidRPr="00316A29" w:rsidRDefault="00B53330" w:rsidP="00B53330">
      <w:pPr>
        <w:pStyle w:val="FootnoteText"/>
      </w:pPr>
      <w:r w:rsidRPr="00316A29">
        <w:rPr>
          <w:rStyle w:val="FootnoteReference"/>
        </w:rPr>
        <w:footnoteRef/>
      </w:r>
      <w:r w:rsidRPr="00316A29">
        <w:rPr>
          <w:i/>
        </w:rPr>
        <w:t xml:space="preserve"> See</w:t>
      </w:r>
      <w:r w:rsidRPr="0002735B">
        <w:t>,</w:t>
      </w:r>
      <w:r w:rsidRPr="00316A29">
        <w:rPr>
          <w:i/>
        </w:rPr>
        <w:t xml:space="preserve"> e.g.</w:t>
      </w:r>
      <w:r w:rsidRPr="00316A29">
        <w:t xml:space="preserve">, </w:t>
      </w:r>
      <w:r w:rsidRPr="006E29EF">
        <w:rPr>
          <w:i/>
        </w:rPr>
        <w:t>AT&amp;T-CPI</w:t>
      </w:r>
      <w:r w:rsidRPr="006E29EF">
        <w:t xml:space="preserve"> </w:t>
      </w:r>
      <w:r w:rsidRPr="006E29EF">
        <w:rPr>
          <w:i/>
        </w:rPr>
        <w:t>Order</w:t>
      </w:r>
      <w:r>
        <w:t>,</w:t>
      </w:r>
      <w:r w:rsidRPr="007327CD">
        <w:t xml:space="preserve"> </w:t>
      </w:r>
      <w:r>
        <w:t>31 FCC Rcd at 320,</w:t>
      </w:r>
      <w:r w:rsidRPr="00AC1A9B">
        <w:t xml:space="preserve"> </w:t>
      </w:r>
      <w:r>
        <w:t xml:space="preserve">para. 5; </w:t>
      </w:r>
      <w:r w:rsidRPr="009B3B62">
        <w:rPr>
          <w:i/>
        </w:rPr>
        <w:t>AT&amp;T-Plateau Wireless Order</w:t>
      </w:r>
      <w:r>
        <w:t xml:space="preserve">, </w:t>
      </w:r>
      <w:r w:rsidRPr="007E1071">
        <w:t>30 FCC Rcd at 5111-12</w:t>
      </w:r>
      <w:r>
        <w:t xml:space="preserve">, para. 9; </w:t>
      </w:r>
      <w:r>
        <w:rPr>
          <w:i/>
        </w:rPr>
        <w:t xml:space="preserve">AT&amp;T-Leap Order, </w:t>
      </w:r>
      <w:r w:rsidRPr="00CF4C4A">
        <w:t xml:space="preserve">29 FCC Rcd at </w:t>
      </w:r>
      <w:r>
        <w:t>2742-43, para. 15.</w:t>
      </w:r>
    </w:p>
  </w:footnote>
  <w:footnote w:id="23">
    <w:p w14:paraId="3A518D8A" w14:textId="77777777" w:rsidR="00B53330" w:rsidRPr="00316A29" w:rsidRDefault="00B53330" w:rsidP="00B53330">
      <w:pPr>
        <w:pStyle w:val="FootnoteText"/>
      </w:pPr>
      <w:r w:rsidRPr="00316A29">
        <w:rPr>
          <w:vertAlign w:val="superscript"/>
        </w:rPr>
        <w:footnoteRef/>
      </w:r>
      <w:r w:rsidRPr="00316A29">
        <w:t xml:space="preserve"> </w:t>
      </w:r>
      <w:r w:rsidRPr="00316A29">
        <w:rPr>
          <w:i/>
        </w:rPr>
        <w:t>See</w:t>
      </w:r>
      <w:r w:rsidRPr="0002735B">
        <w:t>,</w:t>
      </w:r>
      <w:r w:rsidRPr="00316A29">
        <w:rPr>
          <w:i/>
        </w:rPr>
        <w:t xml:space="preserve"> e.g.</w:t>
      </w:r>
      <w:r w:rsidRPr="00316A29">
        <w:t xml:space="preserve">, </w:t>
      </w:r>
      <w:r w:rsidRPr="006E29EF">
        <w:rPr>
          <w:i/>
        </w:rPr>
        <w:t>AT&amp;T-CPI</w:t>
      </w:r>
      <w:r w:rsidRPr="006E29EF">
        <w:t xml:space="preserve"> </w:t>
      </w:r>
      <w:r w:rsidRPr="006E29EF">
        <w:rPr>
          <w:i/>
        </w:rPr>
        <w:t>Order</w:t>
      </w:r>
      <w:r>
        <w:t>,</w:t>
      </w:r>
      <w:r w:rsidRPr="007327CD">
        <w:t xml:space="preserve"> </w:t>
      </w:r>
      <w:r>
        <w:t>31 FCC Rcd at 320,</w:t>
      </w:r>
      <w:r w:rsidRPr="00AC1A9B">
        <w:t xml:space="preserve"> </w:t>
      </w:r>
      <w:r>
        <w:t xml:space="preserve">para. 5; </w:t>
      </w:r>
      <w:r w:rsidRPr="009B3B62">
        <w:rPr>
          <w:i/>
        </w:rPr>
        <w:t>AT&amp;T-Plateau Wireless Order</w:t>
      </w:r>
      <w:r>
        <w:t xml:space="preserve">, </w:t>
      </w:r>
      <w:r w:rsidRPr="007E1071">
        <w:t>30 FCC Rcd at 5111-12</w:t>
      </w:r>
      <w:r>
        <w:t xml:space="preserve">, para. 9; </w:t>
      </w:r>
      <w:r>
        <w:rPr>
          <w:i/>
        </w:rPr>
        <w:t xml:space="preserve">AT&amp;T-Leap Order, </w:t>
      </w:r>
      <w:r w:rsidRPr="00CF4C4A">
        <w:t xml:space="preserve">29 FCC Rcd at </w:t>
      </w:r>
      <w:r>
        <w:t>2742-43, para. 15.</w:t>
      </w:r>
    </w:p>
  </w:footnote>
  <w:footnote w:id="24">
    <w:p w14:paraId="65AFB50E" w14:textId="77777777" w:rsidR="00B53330" w:rsidRDefault="00B53330" w:rsidP="00B53330">
      <w:pPr>
        <w:pStyle w:val="FootnoteText"/>
      </w:pPr>
      <w:r>
        <w:rPr>
          <w:rStyle w:val="FootnoteReference"/>
        </w:rPr>
        <w:footnoteRef/>
      </w:r>
      <w:r>
        <w:t xml:space="preserve"> </w:t>
      </w:r>
      <w:r w:rsidRPr="007E1071">
        <w:rPr>
          <w:i/>
        </w:rPr>
        <w:t xml:space="preserve">See, e.g., </w:t>
      </w:r>
      <w:r w:rsidRPr="006E29EF">
        <w:rPr>
          <w:i/>
        </w:rPr>
        <w:t>AT&amp;T-CPI</w:t>
      </w:r>
      <w:r w:rsidRPr="006E29EF">
        <w:t xml:space="preserve"> </w:t>
      </w:r>
      <w:r w:rsidRPr="006E29EF">
        <w:rPr>
          <w:i/>
        </w:rPr>
        <w:t>Order</w:t>
      </w:r>
      <w:r>
        <w:t>,</w:t>
      </w:r>
      <w:r w:rsidRPr="007327CD">
        <w:t xml:space="preserve"> </w:t>
      </w:r>
      <w:r>
        <w:t>31 FCC Rcd at 320,</w:t>
      </w:r>
      <w:r w:rsidRPr="00AC1A9B">
        <w:t xml:space="preserve"> </w:t>
      </w:r>
      <w:r>
        <w:t xml:space="preserve">para. 5; </w:t>
      </w:r>
      <w:r w:rsidRPr="007E1071">
        <w:rPr>
          <w:i/>
        </w:rPr>
        <w:t>AT&amp;T-Plateau Wireless Order</w:t>
      </w:r>
      <w:r w:rsidRPr="0044008A">
        <w:t>, 30 FCC Rcd at 5111-12</w:t>
      </w:r>
      <w:r>
        <w:t xml:space="preserve">, para. </w:t>
      </w:r>
      <w:r w:rsidRPr="0044008A">
        <w:t>9;</w:t>
      </w:r>
      <w:r w:rsidRPr="007E1071">
        <w:rPr>
          <w:i/>
        </w:rPr>
        <w:t xml:space="preserve"> AT&amp;T-Leap Order</w:t>
      </w:r>
      <w:r w:rsidRPr="0044008A">
        <w:t>, 29 FCC Rcd at 2743-44</w:t>
      </w:r>
      <w:r>
        <w:t xml:space="preserve">, para. </w:t>
      </w:r>
      <w:r w:rsidRPr="0044008A">
        <w:t>16</w:t>
      </w:r>
      <w:r>
        <w:t>.</w:t>
      </w:r>
    </w:p>
  </w:footnote>
  <w:footnote w:id="25">
    <w:p w14:paraId="20C1D6B2" w14:textId="77777777" w:rsidR="00B53330" w:rsidRPr="00316A29" w:rsidRDefault="00B53330" w:rsidP="00B53330">
      <w:pPr>
        <w:pStyle w:val="FootnoteText"/>
      </w:pPr>
      <w:r w:rsidRPr="00316A29">
        <w:rPr>
          <w:rStyle w:val="FootnoteReference"/>
        </w:rPr>
        <w:footnoteRef/>
      </w:r>
      <w:r w:rsidRPr="00316A29">
        <w:t xml:space="preserve"> 47 U.S.C. § 309(e)</w:t>
      </w:r>
      <w:r>
        <w:t xml:space="preserve">; </w:t>
      </w:r>
      <w:r>
        <w:rPr>
          <w:i/>
        </w:rPr>
        <w:t>s</w:t>
      </w:r>
      <w:r w:rsidRPr="00316A29">
        <w:rPr>
          <w:i/>
        </w:rPr>
        <w:t>ee also</w:t>
      </w:r>
      <w:r>
        <w:t xml:space="preserve">, </w:t>
      </w:r>
      <w:r>
        <w:rPr>
          <w:i/>
        </w:rPr>
        <w:t>e.g.</w:t>
      </w:r>
      <w:r>
        <w:t>,</w:t>
      </w:r>
      <w:r w:rsidRPr="004628B5">
        <w:rPr>
          <w:i/>
        </w:rPr>
        <w:t xml:space="preserve"> </w:t>
      </w:r>
      <w:r w:rsidRPr="006E29EF">
        <w:rPr>
          <w:i/>
        </w:rPr>
        <w:t>AT&amp;T-CPI</w:t>
      </w:r>
      <w:r w:rsidRPr="006E29EF">
        <w:t xml:space="preserve"> </w:t>
      </w:r>
      <w:r w:rsidRPr="006E29EF">
        <w:rPr>
          <w:i/>
        </w:rPr>
        <w:t>Order</w:t>
      </w:r>
      <w:r>
        <w:t>,</w:t>
      </w:r>
      <w:r w:rsidRPr="007327CD">
        <w:t xml:space="preserve"> </w:t>
      </w:r>
      <w:r>
        <w:t>31 FCC Rcd at 320,</w:t>
      </w:r>
      <w:r w:rsidRPr="00AC1A9B">
        <w:t xml:space="preserve"> </w:t>
      </w:r>
      <w:r>
        <w:t>para. 5;</w:t>
      </w:r>
      <w:r w:rsidRPr="00316A29">
        <w:rPr>
          <w:i/>
        </w:rPr>
        <w:t xml:space="preserve"> </w:t>
      </w:r>
      <w:r w:rsidRPr="009B3B62">
        <w:rPr>
          <w:i/>
        </w:rPr>
        <w:t>AT&amp;T-Plateau Wireless Order</w:t>
      </w:r>
      <w:r>
        <w:t xml:space="preserve">, </w:t>
      </w:r>
      <w:r w:rsidRPr="003C0D62">
        <w:t>30 FCC Rcd at 5111-12</w:t>
      </w:r>
      <w:r>
        <w:t xml:space="preserve">, para. 9; </w:t>
      </w:r>
      <w:r>
        <w:rPr>
          <w:i/>
        </w:rPr>
        <w:t xml:space="preserve">AT&amp;T-Leap Order, </w:t>
      </w:r>
      <w:r w:rsidRPr="00CF4C4A">
        <w:t xml:space="preserve">29 FCC Rcd at </w:t>
      </w:r>
      <w:r>
        <w:t xml:space="preserve">2743, para. 15; </w:t>
      </w:r>
      <w:r w:rsidRPr="00BC6B80">
        <w:rPr>
          <w:i/>
        </w:rPr>
        <w:t>Application of EchoStar Communications Corp., General Motors Corp. and Hughes Electronics Corp., and EchoStar Communications Corp.</w:t>
      </w:r>
      <w:r w:rsidRPr="00796BEF">
        <w:t>,</w:t>
      </w:r>
      <w:r w:rsidRPr="00316A29">
        <w:t xml:space="preserve"> </w:t>
      </w:r>
      <w:r w:rsidRPr="00BC6B80">
        <w:t>Hearing Designation Order</w:t>
      </w:r>
      <w:r w:rsidRPr="00316A29">
        <w:rPr>
          <w:i/>
        </w:rPr>
        <w:t>,</w:t>
      </w:r>
      <w:r>
        <w:t xml:space="preserve"> 17 FCC Rcd 20559, 20574, para. </w:t>
      </w:r>
      <w:r w:rsidRPr="00316A29">
        <w:t>25 (2002).</w:t>
      </w:r>
    </w:p>
  </w:footnote>
  <w:footnote w:id="26">
    <w:p w14:paraId="475620C3" w14:textId="77777777" w:rsidR="00B53330" w:rsidRPr="00A6369B" w:rsidRDefault="00B53330" w:rsidP="00B53330">
      <w:pPr>
        <w:pStyle w:val="FootnoteText"/>
      </w:pPr>
      <w:r w:rsidRPr="0075707B">
        <w:rPr>
          <w:rStyle w:val="FootnoteReference"/>
        </w:rPr>
        <w:footnoteRef/>
      </w:r>
      <w:r w:rsidRPr="0075707B">
        <w:t xml:space="preserve"> </w:t>
      </w:r>
      <w:r w:rsidRPr="00121630">
        <w:t>47 U.S.C. §</w:t>
      </w:r>
      <w:r w:rsidRPr="00A5312F">
        <w:t xml:space="preserve"> 310(d); 47 C.F.R. § 1.948; </w:t>
      </w:r>
      <w:r w:rsidRPr="00A5312F">
        <w:rPr>
          <w:i/>
        </w:rPr>
        <w:t>see also</w:t>
      </w:r>
      <w:r w:rsidRPr="00C17C92">
        <w:t>,</w:t>
      </w:r>
      <w:r w:rsidRPr="00A5312F">
        <w:rPr>
          <w:i/>
        </w:rPr>
        <w:t xml:space="preserve"> e.g.</w:t>
      </w:r>
      <w:r>
        <w:t>,</w:t>
      </w:r>
      <w:r w:rsidRPr="00312DE4">
        <w:t xml:space="preserve"> </w:t>
      </w:r>
      <w:r w:rsidRPr="00BC6B80">
        <w:rPr>
          <w:i/>
        </w:rPr>
        <w:t>Application of AT&amp;T Mobility Spectrum LLC and Club 42CM Limited Partnership for Consent To Assign Licenses</w:t>
      </w:r>
      <w:r>
        <w:t xml:space="preserve">, </w:t>
      </w:r>
      <w:r w:rsidRPr="00BC6B80">
        <w:t>Memorandum Opinion and Order</w:t>
      </w:r>
      <w:r>
        <w:t xml:space="preserve">, 30 FCC Rcd 13055, </w:t>
      </w:r>
      <w:r>
        <w:rPr>
          <w:iCs/>
        </w:rPr>
        <w:t xml:space="preserve">13060, </w:t>
      </w:r>
      <w:r>
        <w:t>para</w:t>
      </w:r>
      <w:r w:rsidRPr="00B53264">
        <w:t>.</w:t>
      </w:r>
      <w:r w:rsidRPr="002733FA">
        <w:t xml:space="preserve"> </w:t>
      </w:r>
      <w:r>
        <w:t>11 (2015) (</w:t>
      </w:r>
      <w:r>
        <w:rPr>
          <w:i/>
        </w:rPr>
        <w:t>AT&amp;T-Club 42 Order</w:t>
      </w:r>
      <w:r>
        <w:t xml:space="preserve">), </w:t>
      </w:r>
      <w:r w:rsidRPr="00BB5F2E">
        <w:rPr>
          <w:i/>
        </w:rPr>
        <w:t>A</w:t>
      </w:r>
      <w:r w:rsidRPr="006E29EF">
        <w:rPr>
          <w:i/>
        </w:rPr>
        <w:t>T&amp;T-CPI</w:t>
      </w:r>
      <w:r w:rsidRPr="006E29EF">
        <w:t xml:space="preserve"> </w:t>
      </w:r>
      <w:r w:rsidRPr="006E29EF">
        <w:rPr>
          <w:i/>
        </w:rPr>
        <w:t>Order</w:t>
      </w:r>
      <w:r>
        <w:t>,</w:t>
      </w:r>
      <w:r w:rsidRPr="005959E5">
        <w:t xml:space="preserve"> </w:t>
      </w:r>
      <w:r>
        <w:t>31 FCC Rcd at 320-21,</w:t>
      </w:r>
      <w:r w:rsidRPr="00AC1A9B">
        <w:t xml:space="preserve"> </w:t>
      </w:r>
      <w:r>
        <w:t xml:space="preserve">para. 6; </w:t>
      </w:r>
      <w:r w:rsidRPr="009B3B62">
        <w:rPr>
          <w:i/>
        </w:rPr>
        <w:t>AT&amp;T-Plateau Wireless Order</w:t>
      </w:r>
      <w:r>
        <w:t xml:space="preserve">, 30 FCC Rcd at 5112, para. 10; </w:t>
      </w:r>
      <w:r>
        <w:rPr>
          <w:i/>
        </w:rPr>
        <w:t>AT&amp;T-Leap Order</w:t>
      </w:r>
      <w:r w:rsidRPr="004F6CF3">
        <w:t xml:space="preserve">, </w:t>
      </w:r>
      <w:r w:rsidRPr="00CF4C4A">
        <w:t xml:space="preserve">29 FCC Rcd at </w:t>
      </w:r>
      <w:r>
        <w:t>2744, para. 17</w:t>
      </w:r>
      <w:r w:rsidRPr="00A6369B">
        <w:rPr>
          <w:color w:val="000000"/>
        </w:rPr>
        <w:t>.</w:t>
      </w:r>
    </w:p>
  </w:footnote>
  <w:footnote w:id="27">
    <w:p w14:paraId="4E33B839" w14:textId="77777777" w:rsidR="00B53330" w:rsidRPr="00312DE4" w:rsidRDefault="00B53330" w:rsidP="00B53330">
      <w:pPr>
        <w:pStyle w:val="FootnoteText"/>
      </w:pPr>
      <w:r>
        <w:rPr>
          <w:rStyle w:val="FootnoteReference"/>
        </w:rPr>
        <w:footnoteRef/>
      </w:r>
      <w:r>
        <w:t xml:space="preserve"> 47 U.S.C. § 310(d); 47 C.F.R. § 1.948.  </w:t>
      </w:r>
      <w:r w:rsidRPr="006E29EF">
        <w:rPr>
          <w:i/>
        </w:rPr>
        <w:t>See</w:t>
      </w:r>
      <w:r>
        <w:rPr>
          <w:i/>
        </w:rPr>
        <w:t>,</w:t>
      </w:r>
      <w:r>
        <w:t xml:space="preserve"> </w:t>
      </w:r>
      <w:r w:rsidRPr="00BB5F2E">
        <w:rPr>
          <w:i/>
        </w:rPr>
        <w:t>e.g.</w:t>
      </w:r>
      <w:r>
        <w:t xml:space="preserve">, </w:t>
      </w:r>
      <w:r w:rsidRPr="00BC6B80">
        <w:rPr>
          <w:i/>
        </w:rPr>
        <w:t>SoftBank</w:t>
      </w:r>
      <w:r>
        <w:rPr>
          <w:i/>
        </w:rPr>
        <w:t>-Sprint Order</w:t>
      </w:r>
      <w:r>
        <w:t>, 28 FCC Rcd at 9655, para. 33.</w:t>
      </w:r>
    </w:p>
  </w:footnote>
  <w:footnote w:id="28">
    <w:p w14:paraId="312F4550" w14:textId="77777777" w:rsidR="00B53330" w:rsidRDefault="00B53330" w:rsidP="00B53330">
      <w:pPr>
        <w:pStyle w:val="FootnoteText"/>
      </w:pPr>
      <w:r>
        <w:rPr>
          <w:rStyle w:val="FootnoteReference"/>
        </w:rPr>
        <w:footnoteRef/>
      </w:r>
      <w:r>
        <w:t xml:space="preserve"> </w:t>
      </w:r>
      <w:r>
        <w:rPr>
          <w:i/>
        </w:rPr>
        <w:t>See</w:t>
      </w:r>
      <w:r>
        <w:t>,</w:t>
      </w:r>
      <w:r>
        <w:rPr>
          <w:i/>
        </w:rPr>
        <w:t xml:space="preserve"> e.g.</w:t>
      </w:r>
      <w:r>
        <w:t>,</w:t>
      </w:r>
      <w:r w:rsidRPr="002918B5">
        <w:rPr>
          <w:i/>
        </w:rPr>
        <w:t xml:space="preserve"> </w:t>
      </w:r>
      <w:r w:rsidRPr="006E29EF">
        <w:rPr>
          <w:i/>
        </w:rPr>
        <w:t>AT&amp;T-CPI</w:t>
      </w:r>
      <w:r w:rsidRPr="006E29EF">
        <w:t xml:space="preserve"> </w:t>
      </w:r>
      <w:r w:rsidRPr="006E29EF">
        <w:rPr>
          <w:i/>
        </w:rPr>
        <w:t>Order</w:t>
      </w:r>
      <w:r>
        <w:t>,</w:t>
      </w:r>
      <w:r w:rsidRPr="00407142">
        <w:t xml:space="preserve"> </w:t>
      </w:r>
      <w:r>
        <w:t>31 FCC Rcd at 321,</w:t>
      </w:r>
      <w:r w:rsidRPr="00AC1A9B">
        <w:t xml:space="preserve"> </w:t>
      </w:r>
      <w:r>
        <w:t>para. 7;</w:t>
      </w:r>
      <w:r>
        <w:rPr>
          <w:i/>
        </w:rPr>
        <w:t xml:space="preserve"> AT&amp;T-Plateau Wireless Order</w:t>
      </w:r>
      <w:r>
        <w:t xml:space="preserve">, 30 FCC Rcd at 5113, para. 12; </w:t>
      </w:r>
      <w:r>
        <w:rPr>
          <w:i/>
        </w:rPr>
        <w:t>AT&amp;T-Leap Order</w:t>
      </w:r>
      <w:r>
        <w:t>, 29 FCC Rcd at 2745, para. 20.</w:t>
      </w:r>
    </w:p>
  </w:footnote>
  <w:footnote w:id="29">
    <w:p w14:paraId="7D82E966" w14:textId="77777777" w:rsidR="00B53330" w:rsidRPr="00574523" w:rsidRDefault="00B53330" w:rsidP="00B53330">
      <w:pPr>
        <w:pStyle w:val="FootnoteText"/>
      </w:pPr>
      <w:r w:rsidRPr="00A5312F">
        <w:rPr>
          <w:rStyle w:val="FootnoteReference"/>
        </w:rPr>
        <w:footnoteRef/>
      </w:r>
      <w:r w:rsidRPr="001F1BFD">
        <w:t xml:space="preserve"> </w:t>
      </w:r>
      <w:r w:rsidRPr="001F1BFD">
        <w:rPr>
          <w:i/>
        </w:rPr>
        <w:t>See, e.g.,</w:t>
      </w:r>
      <w:r>
        <w:rPr>
          <w:i/>
        </w:rPr>
        <w:t xml:space="preserve"> </w:t>
      </w:r>
      <w:r w:rsidRPr="006E29EF">
        <w:rPr>
          <w:i/>
        </w:rPr>
        <w:t>AT&amp;T-CPI</w:t>
      </w:r>
      <w:r w:rsidRPr="006E29EF">
        <w:t xml:space="preserve"> </w:t>
      </w:r>
      <w:r w:rsidRPr="006E29EF">
        <w:rPr>
          <w:i/>
        </w:rPr>
        <w:t>Order</w:t>
      </w:r>
      <w:r>
        <w:t>,</w:t>
      </w:r>
      <w:r w:rsidRPr="00407142">
        <w:t xml:space="preserve"> </w:t>
      </w:r>
      <w:r>
        <w:t>31 FCC Rcd at 321,</w:t>
      </w:r>
      <w:r w:rsidRPr="00AC1A9B">
        <w:t xml:space="preserve"> </w:t>
      </w:r>
      <w:r>
        <w:t xml:space="preserve">para. 7; </w:t>
      </w:r>
      <w:r>
        <w:rPr>
          <w:i/>
        </w:rPr>
        <w:t>AT&amp;T-Plateau</w:t>
      </w:r>
      <w:r w:rsidRPr="009A20D0">
        <w:rPr>
          <w:i/>
        </w:rPr>
        <w:t xml:space="preserve"> Wireless Order</w:t>
      </w:r>
      <w:r w:rsidRPr="009A20D0">
        <w:t xml:space="preserve">, </w:t>
      </w:r>
      <w:r>
        <w:t>30</w:t>
      </w:r>
      <w:r w:rsidRPr="009A20D0">
        <w:t xml:space="preserve"> FCC Rcd</w:t>
      </w:r>
      <w:r w:rsidRPr="00101EA0">
        <w:t xml:space="preserve"> at </w:t>
      </w:r>
      <w:r>
        <w:t xml:space="preserve">5113, para. 12; </w:t>
      </w:r>
      <w:r>
        <w:rPr>
          <w:i/>
        </w:rPr>
        <w:t xml:space="preserve">AT&amp;T-Leap Order, </w:t>
      </w:r>
      <w:r>
        <w:t>29 FCC Rcd at 2745, para. 20</w:t>
      </w:r>
      <w:r>
        <w:rPr>
          <w:i/>
        </w:rPr>
        <w:t>.</w:t>
      </w:r>
      <w:r>
        <w:t xml:space="preserve">  </w:t>
      </w:r>
    </w:p>
  </w:footnote>
  <w:footnote w:id="30">
    <w:p w14:paraId="2240D801" w14:textId="77777777" w:rsidR="00B53330" w:rsidRDefault="00B53330" w:rsidP="00B53330">
      <w:pPr>
        <w:pStyle w:val="FootnoteText"/>
      </w:pPr>
      <w:r>
        <w:rPr>
          <w:rStyle w:val="FootnoteReference"/>
        </w:rPr>
        <w:footnoteRef/>
      </w:r>
      <w:r>
        <w:t xml:space="preserve"> </w:t>
      </w:r>
      <w:r w:rsidRPr="00F45A46">
        <w:rPr>
          <w:i/>
          <w:color w:val="010101"/>
        </w:rPr>
        <w:t>Policies Regarding Mobile Spectrum Holdings; Expanding the Economic and Innovation Opportunities of Spectrum Through Incentive Auctions</w:t>
      </w:r>
      <w:r w:rsidRPr="00D97728">
        <w:rPr>
          <w:color w:val="010101"/>
        </w:rPr>
        <w:t xml:space="preserve">, </w:t>
      </w:r>
      <w:r w:rsidRPr="00F45A46">
        <w:rPr>
          <w:iCs/>
          <w:color w:val="010101"/>
        </w:rPr>
        <w:t>Report and Order</w:t>
      </w:r>
      <w:r w:rsidRPr="00F45A46">
        <w:rPr>
          <w:color w:val="010101"/>
        </w:rPr>
        <w:t>,</w:t>
      </w:r>
      <w:r w:rsidRPr="00D97728">
        <w:rPr>
          <w:color w:val="010101"/>
        </w:rPr>
        <w:t xml:space="preserve"> 29 FCC </w:t>
      </w:r>
      <w:r>
        <w:rPr>
          <w:color w:val="010101"/>
        </w:rPr>
        <w:t xml:space="preserve">Rcd </w:t>
      </w:r>
      <w:r w:rsidRPr="00D97728">
        <w:rPr>
          <w:color w:val="010101"/>
        </w:rPr>
        <w:t>613</w:t>
      </w:r>
      <w:r>
        <w:rPr>
          <w:color w:val="010101"/>
        </w:rPr>
        <w:t xml:space="preserve">3, </w:t>
      </w:r>
      <w:r>
        <w:t>6143, 6167-68, paras.</w:t>
      </w:r>
      <w:r>
        <w:rPr>
          <w:bCs/>
        </w:rPr>
        <w:t xml:space="preserve"> 17, 67</w:t>
      </w:r>
      <w:r>
        <w:rPr>
          <w:color w:val="010101"/>
        </w:rPr>
        <w:t xml:space="preserve"> (</w:t>
      </w:r>
      <w:r w:rsidRPr="00D97728">
        <w:rPr>
          <w:color w:val="010101"/>
        </w:rPr>
        <w:t>2014)</w:t>
      </w:r>
      <w:r>
        <w:rPr>
          <w:color w:val="010101"/>
        </w:rPr>
        <w:t xml:space="preserve">, </w:t>
      </w:r>
      <w:r w:rsidRPr="0044008A">
        <w:rPr>
          <w:i/>
          <w:color w:val="010101"/>
        </w:rPr>
        <w:t>recon</w:t>
      </w:r>
      <w:r w:rsidRPr="00D97728">
        <w:rPr>
          <w:color w:val="010101"/>
        </w:rPr>
        <w:t>.</w:t>
      </w:r>
      <w:r>
        <w:rPr>
          <w:color w:val="010101"/>
        </w:rPr>
        <w:t xml:space="preserve"> </w:t>
      </w:r>
      <w:r>
        <w:rPr>
          <w:i/>
          <w:color w:val="010101"/>
        </w:rPr>
        <w:t>denied</w:t>
      </w:r>
      <w:r>
        <w:rPr>
          <w:color w:val="010101"/>
        </w:rPr>
        <w:t xml:space="preserve">, </w:t>
      </w:r>
      <w:r w:rsidRPr="0024161E">
        <w:rPr>
          <w:color w:val="010101"/>
        </w:rPr>
        <w:t>Order on Reconsideration</w:t>
      </w:r>
      <w:r>
        <w:rPr>
          <w:color w:val="010101"/>
        </w:rPr>
        <w:t>, 30 FCC Rcd 8635 (2015)</w:t>
      </w:r>
      <w:r w:rsidRPr="00E06D6C">
        <w:rPr>
          <w:color w:val="010101"/>
        </w:rPr>
        <w:t xml:space="preserve"> </w:t>
      </w:r>
      <w:r w:rsidRPr="00D97728">
        <w:rPr>
          <w:color w:val="010101"/>
        </w:rPr>
        <w:t>(</w:t>
      </w:r>
      <w:r w:rsidRPr="00D97728">
        <w:rPr>
          <w:i/>
          <w:iCs/>
          <w:color w:val="010101"/>
        </w:rPr>
        <w:t>Mobile Spectrum Holdings Report and Order</w:t>
      </w:r>
      <w:r w:rsidRPr="00D97728">
        <w:rPr>
          <w:color w:val="010101"/>
        </w:rPr>
        <w:t>)</w:t>
      </w:r>
      <w:r>
        <w:rPr>
          <w:color w:val="010101"/>
        </w:rPr>
        <w:t xml:space="preserve">.  </w:t>
      </w:r>
      <w:r w:rsidRPr="00F41AE5">
        <w:rPr>
          <w:i/>
        </w:rPr>
        <w:t>See</w:t>
      </w:r>
      <w:r>
        <w:t xml:space="preserve"> </w:t>
      </w:r>
      <w:r>
        <w:rPr>
          <w:i/>
        </w:rPr>
        <w:t>also</w:t>
      </w:r>
      <w:r>
        <w:t xml:space="preserve"> </w:t>
      </w:r>
      <w:r>
        <w:rPr>
          <w:i/>
        </w:rPr>
        <w:t xml:space="preserve">AT&amp;T-Club 42 Order, </w:t>
      </w:r>
      <w:r>
        <w:t xml:space="preserve">30 FCC Rcd at 13062-63, para. 16; </w:t>
      </w:r>
      <w:r w:rsidRPr="00A101BD">
        <w:rPr>
          <w:i/>
        </w:rPr>
        <w:t>AT&amp;T-Leap Order</w:t>
      </w:r>
      <w:r>
        <w:t>, 29 FCC Rcd at 2745-46, para. 21.</w:t>
      </w:r>
    </w:p>
  </w:footnote>
  <w:footnote w:id="31">
    <w:p w14:paraId="2CAB7236" w14:textId="77777777" w:rsidR="00B53330" w:rsidRDefault="00B53330" w:rsidP="00B53330">
      <w:pPr>
        <w:pStyle w:val="FootnoteText"/>
      </w:pPr>
      <w:r>
        <w:rPr>
          <w:rStyle w:val="FootnoteReference"/>
        </w:rPr>
        <w:footnoteRef/>
      </w:r>
      <w:r>
        <w:t xml:space="preserve"> </w:t>
      </w:r>
      <w:r>
        <w:rPr>
          <w:i/>
          <w:iCs/>
        </w:rPr>
        <w:t>See</w:t>
      </w:r>
      <w:r>
        <w:rPr>
          <w:iCs/>
        </w:rPr>
        <w:t>,</w:t>
      </w:r>
      <w:r>
        <w:rPr>
          <w:i/>
          <w:iCs/>
        </w:rPr>
        <w:t xml:space="preserve"> e.g.</w:t>
      </w:r>
      <w:r>
        <w:rPr>
          <w:iCs/>
        </w:rPr>
        <w:t>,</w:t>
      </w:r>
      <w:r w:rsidRPr="00B71D6E">
        <w:rPr>
          <w:i/>
        </w:rPr>
        <w:t xml:space="preserve"> </w:t>
      </w:r>
      <w:r w:rsidRPr="006E29EF">
        <w:rPr>
          <w:i/>
        </w:rPr>
        <w:t>AT&amp;T-CPI</w:t>
      </w:r>
      <w:r w:rsidRPr="006E29EF">
        <w:t xml:space="preserve"> </w:t>
      </w:r>
      <w:r w:rsidRPr="006E29EF">
        <w:rPr>
          <w:i/>
        </w:rPr>
        <w:t>Order</w:t>
      </w:r>
      <w:r>
        <w:t>,</w:t>
      </w:r>
      <w:r w:rsidRPr="00407142">
        <w:t xml:space="preserve"> </w:t>
      </w:r>
      <w:r>
        <w:t>31 FCC Rcd at 321,</w:t>
      </w:r>
      <w:r w:rsidRPr="00AC1A9B">
        <w:t xml:space="preserve"> </w:t>
      </w:r>
      <w:r>
        <w:t>para. 7;</w:t>
      </w:r>
      <w:r>
        <w:rPr>
          <w:i/>
          <w:iCs/>
        </w:rPr>
        <w:t xml:space="preserve"> </w:t>
      </w:r>
      <w:r>
        <w:rPr>
          <w:i/>
        </w:rPr>
        <w:t>AT&amp;T-Plateau Wireless Order</w:t>
      </w:r>
      <w:r>
        <w:t xml:space="preserve">, 30 FCC Rcd at 5113, para. 12; </w:t>
      </w:r>
      <w:r>
        <w:rPr>
          <w:i/>
        </w:rPr>
        <w:t>AT&amp;T-Leap Order</w:t>
      </w:r>
      <w:r>
        <w:t>, 29 FCC Rcd at 2752, 2753, 2755-56, paras. 39, 41, 47.</w:t>
      </w:r>
    </w:p>
  </w:footnote>
  <w:footnote w:id="32">
    <w:p w14:paraId="48493EE9" w14:textId="77777777" w:rsidR="00B53330" w:rsidRPr="00936DA3" w:rsidRDefault="00B53330" w:rsidP="00B53330">
      <w:pPr>
        <w:pStyle w:val="FootnoteText"/>
      </w:pPr>
      <w:r>
        <w:rPr>
          <w:rStyle w:val="FootnoteReference"/>
        </w:rPr>
        <w:footnoteRef/>
      </w:r>
      <w:r>
        <w:rPr>
          <w:iCs/>
          <w:color w:val="010101"/>
        </w:rPr>
        <w:t xml:space="preserve"> </w:t>
      </w:r>
      <w:r w:rsidRPr="00D97728">
        <w:rPr>
          <w:i/>
          <w:iCs/>
          <w:color w:val="010101"/>
        </w:rPr>
        <w:t>Mobile Spectrum Holdings Report and Orde</w:t>
      </w:r>
      <w:r>
        <w:rPr>
          <w:i/>
          <w:iCs/>
          <w:color w:val="010101"/>
        </w:rPr>
        <w:t>r,</w:t>
      </w:r>
      <w:r w:rsidRPr="00CB3D28">
        <w:rPr>
          <w:color w:val="010101"/>
        </w:rPr>
        <w:t xml:space="preserve"> </w:t>
      </w:r>
      <w:r w:rsidRPr="00D97728">
        <w:rPr>
          <w:color w:val="010101"/>
        </w:rPr>
        <w:t xml:space="preserve">29 FCC </w:t>
      </w:r>
      <w:r>
        <w:rPr>
          <w:color w:val="010101"/>
        </w:rPr>
        <w:t xml:space="preserve">Rcd at </w:t>
      </w:r>
      <w:r>
        <w:t>6223-24, para.</w:t>
      </w:r>
      <w:r>
        <w:rPr>
          <w:bCs/>
        </w:rPr>
        <w:t xml:space="preserve"> </w:t>
      </w:r>
      <w:r w:rsidRPr="0051119E">
        <w:rPr>
          <w:bCs/>
        </w:rPr>
        <w:t>231</w:t>
      </w:r>
      <w:r>
        <w:rPr>
          <w:color w:val="010101"/>
        </w:rPr>
        <w:t>.</w:t>
      </w:r>
      <w:r>
        <w:rPr>
          <w:bCs/>
        </w:rPr>
        <w:t xml:space="preserve">  </w:t>
      </w:r>
      <w:r>
        <w:t xml:space="preserve">In the </w:t>
      </w:r>
      <w:r w:rsidRPr="00DA49EC">
        <w:rPr>
          <w:i/>
        </w:rPr>
        <w:t>Mobile Spectrum Holdings Report and Order</w:t>
      </w:r>
      <w:r>
        <w:t xml:space="preserve">, the Commission found that </w:t>
      </w:r>
      <w:r w:rsidRPr="00DA49EC">
        <w:t xml:space="preserve">differences between spectrum bands can be relevant to a </w:t>
      </w:r>
      <w:r>
        <w:t>d</w:t>
      </w:r>
      <w:r w:rsidRPr="00DA49EC">
        <w:t>etermination</w:t>
      </w:r>
      <w:r>
        <w:t xml:space="preserve"> </w:t>
      </w:r>
      <w:r w:rsidRPr="00DA49EC">
        <w:t xml:space="preserve">of the public interest in the context of reviewing </w:t>
      </w:r>
      <w:r>
        <w:t xml:space="preserve">proposed secondary market </w:t>
      </w:r>
      <w:r w:rsidRPr="00DA49EC">
        <w:t>transactions</w:t>
      </w:r>
      <w:r>
        <w:t xml:space="preserve"> and that such </w:t>
      </w:r>
      <w:r w:rsidRPr="00DA49EC">
        <w:t xml:space="preserve">differences </w:t>
      </w:r>
      <w:r>
        <w:t xml:space="preserve">will be considered </w:t>
      </w:r>
      <w:r w:rsidRPr="00DA49EC">
        <w:t xml:space="preserve">in </w:t>
      </w:r>
      <w:r>
        <w:t xml:space="preserve">the </w:t>
      </w:r>
      <w:r w:rsidRPr="00DA49EC">
        <w:t>case-by-case review of specific transactions.</w:t>
      </w:r>
      <w:r>
        <w:t xml:space="preserve"> </w:t>
      </w:r>
      <w:r w:rsidRPr="00DA49EC">
        <w:t xml:space="preserve"> </w:t>
      </w:r>
      <w:r>
        <w:rPr>
          <w:i/>
        </w:rPr>
        <w:t xml:space="preserve">Id. </w:t>
      </w:r>
      <w:r>
        <w:t xml:space="preserve">at 6223-24, para. </w:t>
      </w:r>
      <w:r w:rsidRPr="0051119E">
        <w:rPr>
          <w:bCs/>
        </w:rPr>
        <w:t>2</w:t>
      </w:r>
      <w:r>
        <w:rPr>
          <w:bCs/>
        </w:rPr>
        <w:t>89.</w:t>
      </w:r>
      <w:r>
        <w:t xml:space="preserve">  Further, the Commission stated that a</w:t>
      </w:r>
      <w:r w:rsidRPr="00DA49EC">
        <w:t>pplications involving small amounts of high</w:t>
      </w:r>
      <w:r>
        <w:t>-</w:t>
      </w:r>
      <w:r w:rsidRPr="00DA49EC">
        <w:t>band</w:t>
      </w:r>
      <w:r>
        <w:t xml:space="preserve"> </w:t>
      </w:r>
      <w:r w:rsidRPr="00DA49EC">
        <w:t>spectrum, particularly EBS spectrum, likely would present limited potential for public interest</w:t>
      </w:r>
      <w:r>
        <w:t xml:space="preserve"> </w:t>
      </w:r>
      <w:r w:rsidRPr="00DA49EC">
        <w:t>harms.</w:t>
      </w:r>
      <w:r>
        <w:t xml:space="preserve">  </w:t>
      </w:r>
      <w:r>
        <w:rPr>
          <w:i/>
        </w:rPr>
        <w:t xml:space="preserve">Id. </w:t>
      </w:r>
      <w:r>
        <w:t xml:space="preserve">at 6224, para. </w:t>
      </w:r>
      <w:r w:rsidRPr="0051119E">
        <w:rPr>
          <w:bCs/>
        </w:rPr>
        <w:t>2</w:t>
      </w:r>
      <w:r>
        <w:rPr>
          <w:bCs/>
        </w:rPr>
        <w:t>89</w:t>
      </w:r>
      <w:r w:rsidRPr="00A50BAA">
        <w:t>.</w:t>
      </w:r>
      <w:r>
        <w:rPr>
          <w:i/>
        </w:rPr>
        <w:t xml:space="preserve"> </w:t>
      </w:r>
    </w:p>
  </w:footnote>
  <w:footnote w:id="33">
    <w:p w14:paraId="3CFF3A73" w14:textId="77777777" w:rsidR="00B53330" w:rsidRDefault="00B53330" w:rsidP="00B53330">
      <w:pPr>
        <w:pStyle w:val="FootnoteText"/>
      </w:pPr>
      <w:r>
        <w:rPr>
          <w:rStyle w:val="FootnoteReference"/>
        </w:rPr>
        <w:footnoteRef/>
      </w:r>
      <w:r>
        <w:t xml:space="preserve"> </w:t>
      </w:r>
      <w:r>
        <w:rPr>
          <w:i/>
          <w:iCs/>
        </w:rPr>
        <w:t>See</w:t>
      </w:r>
      <w:r>
        <w:rPr>
          <w:iCs/>
        </w:rPr>
        <w:t>,</w:t>
      </w:r>
      <w:r>
        <w:rPr>
          <w:i/>
          <w:iCs/>
        </w:rPr>
        <w:t xml:space="preserve"> e.g.</w:t>
      </w:r>
      <w:r>
        <w:t xml:space="preserve">, </w:t>
      </w:r>
      <w:r w:rsidRPr="006E29EF">
        <w:rPr>
          <w:i/>
        </w:rPr>
        <w:t>AT&amp;T-CPI</w:t>
      </w:r>
      <w:r w:rsidRPr="006E29EF">
        <w:t xml:space="preserve"> </w:t>
      </w:r>
      <w:r w:rsidRPr="006E29EF">
        <w:rPr>
          <w:i/>
        </w:rPr>
        <w:t>Order</w:t>
      </w:r>
      <w:r>
        <w:t>, 31 FCC Rcd at 322,</w:t>
      </w:r>
      <w:r w:rsidRPr="00AC1A9B">
        <w:t xml:space="preserve"> </w:t>
      </w:r>
      <w:r>
        <w:t xml:space="preserve">para. 10; </w:t>
      </w:r>
      <w:r>
        <w:rPr>
          <w:i/>
        </w:rPr>
        <w:t>AT&amp;T-Plateau Wireless Order</w:t>
      </w:r>
      <w:r>
        <w:t xml:space="preserve">, 30 FCC Rcd at 5114-15, para. 16; </w:t>
      </w:r>
      <w:r>
        <w:rPr>
          <w:i/>
        </w:rPr>
        <w:t>AT&amp;T-Leap Order</w:t>
      </w:r>
      <w:r>
        <w:t>, 29 FCC Rcd at 2746, para.</w:t>
      </w:r>
      <w:r>
        <w:rPr>
          <w:bCs/>
        </w:rPr>
        <w:t xml:space="preserve"> 22</w:t>
      </w:r>
      <w:r>
        <w:t>.</w:t>
      </w:r>
    </w:p>
  </w:footnote>
  <w:footnote w:id="34">
    <w:p w14:paraId="26722465" w14:textId="77777777" w:rsidR="00B53330" w:rsidRDefault="00B53330" w:rsidP="00B53330">
      <w:pPr>
        <w:pStyle w:val="FootnoteText"/>
      </w:pPr>
      <w:r w:rsidRPr="004F4D40">
        <w:rPr>
          <w:rStyle w:val="FootnoteReference"/>
        </w:rPr>
        <w:footnoteRef/>
      </w:r>
      <w:r w:rsidRPr="004F4D40">
        <w:t xml:space="preserve"> </w:t>
      </w:r>
      <w:r w:rsidRPr="00712FEF">
        <w:rPr>
          <w:i/>
        </w:rPr>
        <w:t>See</w:t>
      </w:r>
      <w:r w:rsidRPr="00C17C92">
        <w:t>,</w:t>
      </w:r>
      <w:r w:rsidRPr="00562E71">
        <w:rPr>
          <w:i/>
        </w:rPr>
        <w:t xml:space="preserve"> e.g.</w:t>
      </w:r>
      <w:r w:rsidRPr="00C17C92">
        <w:t>,</w:t>
      </w:r>
      <w:r w:rsidRPr="00562E71">
        <w:t xml:space="preserve"> </w:t>
      </w:r>
      <w:r w:rsidRPr="006E29EF">
        <w:rPr>
          <w:i/>
        </w:rPr>
        <w:t>AT&amp;T-CPI</w:t>
      </w:r>
      <w:r w:rsidRPr="006E29EF">
        <w:t xml:space="preserve"> </w:t>
      </w:r>
      <w:r w:rsidRPr="006E29EF">
        <w:rPr>
          <w:i/>
        </w:rPr>
        <w:t>Order</w:t>
      </w:r>
      <w:r>
        <w:t>, 31 FCC Rcd at 322,</w:t>
      </w:r>
      <w:r w:rsidRPr="00AC1A9B">
        <w:t xml:space="preserve"> </w:t>
      </w:r>
      <w:r>
        <w:t xml:space="preserve">para. 11; </w:t>
      </w:r>
      <w:r w:rsidRPr="009B3B62">
        <w:rPr>
          <w:i/>
        </w:rPr>
        <w:t>AT&amp;T-Plateau Wireless Order</w:t>
      </w:r>
      <w:r>
        <w:t>, 30 FCC Rcd at 5115</w:t>
      </w:r>
      <w:r>
        <w:noBreakHyphen/>
        <w:t xml:space="preserve">16, para. 18; </w:t>
      </w:r>
      <w:r>
        <w:rPr>
          <w:i/>
        </w:rPr>
        <w:t>AT</w:t>
      </w:r>
      <w:r w:rsidRPr="00562E71">
        <w:rPr>
          <w:i/>
        </w:rPr>
        <w:t>&amp;T-Leap Order</w:t>
      </w:r>
      <w:r w:rsidRPr="004F6CF3">
        <w:t xml:space="preserve">, </w:t>
      </w:r>
      <w:r>
        <w:t>29 FCC Rcd at 2746, para 23</w:t>
      </w:r>
      <w:r w:rsidRPr="00A74EAD">
        <w:t xml:space="preserve">.  </w:t>
      </w:r>
      <w:r w:rsidRPr="00A74EAD">
        <w:rPr>
          <w:i/>
        </w:rPr>
        <w:t>See also Mobile Spectrum Holdings Report and Order</w:t>
      </w:r>
      <w:r w:rsidRPr="00A74EAD">
        <w:t>,</w:t>
      </w:r>
      <w:r>
        <w:t xml:space="preserve"> 29 FCC Rcd at 6224, para. 234 &amp; n.623.</w:t>
      </w:r>
    </w:p>
  </w:footnote>
  <w:footnote w:id="35">
    <w:p w14:paraId="03EB0FA3" w14:textId="77777777" w:rsidR="00B53330" w:rsidRPr="00712FEF" w:rsidRDefault="00B53330" w:rsidP="00B53330">
      <w:pPr>
        <w:pStyle w:val="FootnoteText"/>
      </w:pPr>
      <w:r w:rsidRPr="004F192D">
        <w:rPr>
          <w:rStyle w:val="FootnoteReference"/>
        </w:rPr>
        <w:footnoteRef/>
      </w:r>
      <w:r w:rsidRPr="004F192D">
        <w:t xml:space="preserve"> </w:t>
      </w:r>
      <w:r w:rsidRPr="00712FEF">
        <w:rPr>
          <w:i/>
        </w:rPr>
        <w:t>See</w:t>
      </w:r>
      <w:r w:rsidRPr="00C17C92">
        <w:t>,</w:t>
      </w:r>
      <w:r w:rsidRPr="00712FEF">
        <w:rPr>
          <w:i/>
        </w:rPr>
        <w:t xml:space="preserve"> e.g.</w:t>
      </w:r>
      <w:r w:rsidRPr="00C17C92">
        <w:t>,</w:t>
      </w:r>
      <w:r>
        <w:t xml:space="preserve"> </w:t>
      </w:r>
      <w:r w:rsidRPr="006E29EF">
        <w:rPr>
          <w:i/>
        </w:rPr>
        <w:t>AT&amp;T-CPI</w:t>
      </w:r>
      <w:r w:rsidRPr="006E29EF">
        <w:t xml:space="preserve"> </w:t>
      </w:r>
      <w:r w:rsidRPr="006E29EF">
        <w:rPr>
          <w:i/>
        </w:rPr>
        <w:t>Order</w:t>
      </w:r>
      <w:r>
        <w:t>, 31 FCC Rcd at 322,</w:t>
      </w:r>
      <w:r w:rsidRPr="00AC1A9B">
        <w:t xml:space="preserve"> </w:t>
      </w:r>
      <w:r>
        <w:t>para. 11;</w:t>
      </w:r>
      <w:r w:rsidRPr="00712FEF">
        <w:rPr>
          <w:i/>
        </w:rPr>
        <w:t xml:space="preserve"> </w:t>
      </w:r>
      <w:r w:rsidRPr="009B3B62">
        <w:rPr>
          <w:i/>
        </w:rPr>
        <w:t>AT&amp;T-Plateau Wireless Order</w:t>
      </w:r>
      <w:r>
        <w:t xml:space="preserve">, 30 FCC Rcd at 5116, para. 19; </w:t>
      </w:r>
      <w:r w:rsidRPr="00A74EAD">
        <w:rPr>
          <w:i/>
        </w:rPr>
        <w:t>AT&amp;T-Leap Order</w:t>
      </w:r>
      <w:r w:rsidRPr="004F6CF3">
        <w:t xml:space="preserve">, </w:t>
      </w:r>
      <w:r w:rsidRPr="00A74EAD">
        <w:t>29 FCC Rcd at 2748</w:t>
      </w:r>
      <w:r>
        <w:t xml:space="preserve">, para. </w:t>
      </w:r>
      <w:r w:rsidRPr="00A74EAD">
        <w:t>27.</w:t>
      </w:r>
    </w:p>
  </w:footnote>
  <w:footnote w:id="36">
    <w:p w14:paraId="6BC384A1" w14:textId="77777777" w:rsidR="00B53330" w:rsidRDefault="00B53330" w:rsidP="00B53330">
      <w:pPr>
        <w:pStyle w:val="FootnoteText"/>
      </w:pPr>
      <w:r>
        <w:rPr>
          <w:rStyle w:val="FootnoteReference"/>
        </w:rPr>
        <w:footnoteRef/>
      </w:r>
      <w:r>
        <w:t xml:space="preserve"> </w:t>
      </w:r>
      <w:r w:rsidRPr="00712FEF">
        <w:rPr>
          <w:i/>
        </w:rPr>
        <w:t>See</w:t>
      </w:r>
      <w:r w:rsidRPr="0002735B">
        <w:t>,</w:t>
      </w:r>
      <w:r w:rsidRPr="00712FEF">
        <w:rPr>
          <w:i/>
        </w:rPr>
        <w:t xml:space="preserve"> e.g.</w:t>
      </w:r>
      <w:r w:rsidRPr="0002735B">
        <w:t>,</w:t>
      </w:r>
      <w:r w:rsidRPr="00712FEF">
        <w:rPr>
          <w:i/>
        </w:rPr>
        <w:t xml:space="preserve"> </w:t>
      </w:r>
      <w:r w:rsidRPr="006E29EF">
        <w:rPr>
          <w:i/>
        </w:rPr>
        <w:t>AT&amp;T-CPI</w:t>
      </w:r>
      <w:r w:rsidRPr="006E29EF">
        <w:t xml:space="preserve"> </w:t>
      </w:r>
      <w:r w:rsidRPr="006E29EF">
        <w:rPr>
          <w:i/>
        </w:rPr>
        <w:t>Order</w:t>
      </w:r>
      <w:r>
        <w:t>, 31 FCC Rcd at 322,</w:t>
      </w:r>
      <w:r w:rsidRPr="00AC1A9B">
        <w:t xml:space="preserve"> </w:t>
      </w:r>
      <w:r>
        <w:t xml:space="preserve">para. 11; </w:t>
      </w:r>
      <w:r w:rsidRPr="009B3B62">
        <w:rPr>
          <w:i/>
        </w:rPr>
        <w:t>AT&amp;T-Plateau Wireless Order</w:t>
      </w:r>
      <w:r>
        <w:t xml:space="preserve">, </w:t>
      </w:r>
      <w:r w:rsidRPr="00A915AC">
        <w:t>30 FCC Rcd at 5116</w:t>
      </w:r>
      <w:r>
        <w:t xml:space="preserve"> para. 19; </w:t>
      </w:r>
      <w:r w:rsidRPr="00A74EAD">
        <w:rPr>
          <w:i/>
        </w:rPr>
        <w:t xml:space="preserve">AT&amp;T-Leap Order, </w:t>
      </w:r>
      <w:r w:rsidRPr="00A74EAD">
        <w:t>29 FCC Rcd at 2748</w:t>
      </w:r>
      <w:r>
        <w:t xml:space="preserve">, para. </w:t>
      </w:r>
      <w:r w:rsidRPr="00A74EAD">
        <w:t>27</w:t>
      </w:r>
      <w:r>
        <w:t xml:space="preserve">. </w:t>
      </w:r>
    </w:p>
  </w:footnote>
  <w:footnote w:id="37">
    <w:p w14:paraId="46C3F8F8" w14:textId="77777777" w:rsidR="00B53330" w:rsidRDefault="00B53330" w:rsidP="00B53330">
      <w:pPr>
        <w:pStyle w:val="FootnoteText"/>
      </w:pPr>
      <w:r>
        <w:rPr>
          <w:rStyle w:val="FootnoteReference"/>
        </w:rPr>
        <w:footnoteRef/>
      </w:r>
      <w:r>
        <w:t xml:space="preserve"> </w:t>
      </w:r>
      <w:r w:rsidRPr="00AE6A80">
        <w:rPr>
          <w:i/>
        </w:rPr>
        <w:t xml:space="preserve">Mobile Spectrum Holdings </w:t>
      </w:r>
      <w:r>
        <w:rPr>
          <w:i/>
        </w:rPr>
        <w:t>Report and</w:t>
      </w:r>
      <w:r w:rsidRPr="00BF23C2">
        <w:rPr>
          <w:i/>
        </w:rPr>
        <w:t xml:space="preserve"> </w:t>
      </w:r>
      <w:r w:rsidRPr="00AE6A80">
        <w:rPr>
          <w:i/>
        </w:rPr>
        <w:t>Order</w:t>
      </w:r>
      <w:r>
        <w:t xml:space="preserve">, 29 FCC Rcd at 6169, para. 70; </w:t>
      </w:r>
      <w:r>
        <w:rPr>
          <w:i/>
        </w:rPr>
        <w:t>s</w:t>
      </w:r>
      <w:r w:rsidRPr="006E29EF">
        <w:rPr>
          <w:i/>
        </w:rPr>
        <w:t>ee also</w:t>
      </w:r>
      <w:r>
        <w:t xml:space="preserve"> </w:t>
      </w:r>
      <w:r w:rsidRPr="006E29EF">
        <w:rPr>
          <w:i/>
        </w:rPr>
        <w:t>AT&amp;T-CPI</w:t>
      </w:r>
      <w:r w:rsidRPr="006E29EF">
        <w:t xml:space="preserve"> </w:t>
      </w:r>
      <w:r w:rsidRPr="006E29EF">
        <w:rPr>
          <w:i/>
        </w:rPr>
        <w:t>Order</w:t>
      </w:r>
      <w:r>
        <w:t>, 31 FCC Rcd at 323,</w:t>
      </w:r>
      <w:r w:rsidRPr="00AC1A9B">
        <w:t xml:space="preserve"> </w:t>
      </w:r>
      <w:r>
        <w:t xml:space="preserve">para. 12; </w:t>
      </w:r>
      <w:r w:rsidRPr="0005491A">
        <w:rPr>
          <w:i/>
        </w:rPr>
        <w:t>AT&amp;T-Plateau Wireless Order</w:t>
      </w:r>
      <w:r>
        <w:t xml:space="preserve">, </w:t>
      </w:r>
      <w:r w:rsidRPr="005C2B3A">
        <w:t>30 FCC Rcd at 5117</w:t>
      </w:r>
      <w:r>
        <w:t xml:space="preserve">, para. 23; </w:t>
      </w:r>
      <w:r>
        <w:rPr>
          <w:i/>
        </w:rPr>
        <w:t>AT&amp;T-Club 42 Order</w:t>
      </w:r>
      <w:r w:rsidRPr="009A20D0">
        <w:t xml:space="preserve">, </w:t>
      </w:r>
      <w:r>
        <w:t>30</w:t>
      </w:r>
      <w:r w:rsidRPr="009A20D0">
        <w:t xml:space="preserve"> FCC Rcd</w:t>
      </w:r>
      <w:r w:rsidRPr="00101EA0">
        <w:t xml:space="preserve"> at </w:t>
      </w:r>
      <w:r>
        <w:t>13064-65, para. 21.</w:t>
      </w:r>
    </w:p>
  </w:footnote>
  <w:footnote w:id="38">
    <w:p w14:paraId="67330BE5" w14:textId="77777777" w:rsidR="00B53330" w:rsidRDefault="00B53330" w:rsidP="00B53330">
      <w:pPr>
        <w:pStyle w:val="FootnoteText"/>
      </w:pPr>
      <w:r>
        <w:rPr>
          <w:rStyle w:val="FootnoteReference"/>
        </w:rPr>
        <w:footnoteRef/>
      </w:r>
      <w:r>
        <w:t xml:space="preserve"> Public Interest Statement at 10.</w:t>
      </w:r>
    </w:p>
  </w:footnote>
  <w:footnote w:id="39">
    <w:p w14:paraId="2C5C4D2C" w14:textId="77777777" w:rsidR="00B53330" w:rsidRDefault="00B53330" w:rsidP="00B53330">
      <w:pPr>
        <w:pStyle w:val="FootnoteText"/>
      </w:pPr>
      <w:r>
        <w:rPr>
          <w:rStyle w:val="FootnoteReference"/>
        </w:rPr>
        <w:footnoteRef/>
      </w:r>
      <w:r>
        <w:t xml:space="preserve"> </w:t>
      </w:r>
      <w:r>
        <w:rPr>
          <w:i/>
        </w:rPr>
        <w:t>Id</w:t>
      </w:r>
      <w:r>
        <w:t>.</w:t>
      </w:r>
    </w:p>
  </w:footnote>
  <w:footnote w:id="40">
    <w:p w14:paraId="6C0969EC" w14:textId="77777777" w:rsidR="00B53330" w:rsidRDefault="00B53330" w:rsidP="00B53330">
      <w:pPr>
        <w:pStyle w:val="FootnoteText"/>
      </w:pPr>
      <w:r>
        <w:rPr>
          <w:rStyle w:val="FootnoteReference"/>
        </w:rPr>
        <w:footnoteRef/>
      </w:r>
      <w:r>
        <w:t xml:space="preserve"> </w:t>
      </w:r>
      <w:r>
        <w:rPr>
          <w:i/>
        </w:rPr>
        <w:t>Id</w:t>
      </w:r>
      <w:r>
        <w:t xml:space="preserve">. at 10, n.27, citing Initial Estimated Costs and Timelines for the 1695-1710 MHz Band, National Telecommunications &amp; Information Administration (May 12, 2014). </w:t>
      </w:r>
    </w:p>
  </w:footnote>
  <w:footnote w:id="41">
    <w:p w14:paraId="403173E0" w14:textId="6B1FE345" w:rsidR="00B53330" w:rsidRDefault="00B53330" w:rsidP="00B53330">
      <w:pPr>
        <w:pStyle w:val="FootnoteText"/>
      </w:pPr>
      <w:r>
        <w:rPr>
          <w:rStyle w:val="FootnoteReference"/>
        </w:rPr>
        <w:footnoteRef/>
      </w:r>
      <w:r>
        <w:t xml:space="preserve"> </w:t>
      </w:r>
      <w:r w:rsidR="005427D7">
        <w:t>Public Interest Statement at 10.</w:t>
      </w:r>
    </w:p>
  </w:footnote>
  <w:footnote w:id="42">
    <w:p w14:paraId="44373D01" w14:textId="77777777" w:rsidR="00B53330" w:rsidRDefault="00B53330" w:rsidP="00B53330">
      <w:pPr>
        <w:pStyle w:val="FootnoteText"/>
      </w:pPr>
      <w:r>
        <w:rPr>
          <w:rStyle w:val="FootnoteReference"/>
        </w:rPr>
        <w:footnoteRef/>
      </w:r>
      <w:r>
        <w:t xml:space="preserve"> </w:t>
      </w:r>
      <w:r w:rsidRPr="00AE6A80">
        <w:rPr>
          <w:i/>
        </w:rPr>
        <w:t xml:space="preserve">Mobile Spectrum Holdings </w:t>
      </w:r>
      <w:r>
        <w:rPr>
          <w:i/>
        </w:rPr>
        <w:t>Report and</w:t>
      </w:r>
      <w:r w:rsidRPr="00BF23C2">
        <w:rPr>
          <w:i/>
        </w:rPr>
        <w:t xml:space="preserve"> </w:t>
      </w:r>
      <w:r w:rsidRPr="00AE6A80">
        <w:rPr>
          <w:i/>
        </w:rPr>
        <w:t>Order</w:t>
      </w:r>
      <w:r>
        <w:t xml:space="preserve">, 29 FCC Rcd at 6169, para. 70; </w:t>
      </w:r>
      <w:r>
        <w:rPr>
          <w:i/>
          <w:iCs/>
        </w:rPr>
        <w:t xml:space="preserve">see also </w:t>
      </w:r>
      <w:r w:rsidRPr="00BC6B80">
        <w:rPr>
          <w:i/>
        </w:rPr>
        <w:t>Amendment of the Commission’s Rules with Regard to Commercial Operations in the 1695-1710 MHz, 1755-1780 MHz, and 2155</w:t>
      </w:r>
      <w:r>
        <w:t>-</w:t>
      </w:r>
      <w:r w:rsidRPr="00BC6B80">
        <w:rPr>
          <w:i/>
        </w:rPr>
        <w:t>2180 MHz Bands</w:t>
      </w:r>
      <w:r>
        <w:t xml:space="preserve">, </w:t>
      </w:r>
      <w:r w:rsidRPr="00BC6B80">
        <w:rPr>
          <w:iCs/>
        </w:rPr>
        <w:t>Report and Order</w:t>
      </w:r>
      <w:r>
        <w:t>, 29 FCC Rcd 4610 (2014) (</w:t>
      </w:r>
      <w:r>
        <w:rPr>
          <w:i/>
          <w:iCs/>
        </w:rPr>
        <w:t>AWS-3 Report and Order</w:t>
      </w:r>
      <w:r>
        <w:t xml:space="preserve">).  </w:t>
      </w:r>
    </w:p>
  </w:footnote>
  <w:footnote w:id="43">
    <w:p w14:paraId="162C2708" w14:textId="77777777" w:rsidR="00B53330" w:rsidRDefault="00B53330" w:rsidP="00B53330">
      <w:pPr>
        <w:pStyle w:val="FootnoteText"/>
      </w:pPr>
      <w:r>
        <w:rPr>
          <w:rStyle w:val="FootnoteReference"/>
        </w:rPr>
        <w:footnoteRef/>
      </w:r>
      <w:r>
        <w:t xml:space="preserve"> </w:t>
      </w:r>
      <w:r w:rsidRPr="00AE6A80">
        <w:rPr>
          <w:i/>
        </w:rPr>
        <w:t xml:space="preserve">Mobile Spectrum Holdings </w:t>
      </w:r>
      <w:r>
        <w:rPr>
          <w:i/>
        </w:rPr>
        <w:t>Report and</w:t>
      </w:r>
      <w:r w:rsidRPr="00BF23C2">
        <w:rPr>
          <w:i/>
        </w:rPr>
        <w:t xml:space="preserve"> </w:t>
      </w:r>
      <w:r w:rsidRPr="00AE6A80">
        <w:rPr>
          <w:i/>
        </w:rPr>
        <w:t>Order</w:t>
      </w:r>
      <w:r>
        <w:t>, 29 FCC Rcd at 6178, para. 101.</w:t>
      </w:r>
    </w:p>
  </w:footnote>
  <w:footnote w:id="44">
    <w:p w14:paraId="36E22550" w14:textId="7E370F9D" w:rsidR="00B53330" w:rsidRDefault="00B53330" w:rsidP="00B53330">
      <w:pPr>
        <w:pStyle w:val="FootnoteText"/>
      </w:pPr>
      <w:r>
        <w:rPr>
          <w:rStyle w:val="FootnoteReference"/>
        </w:rPr>
        <w:footnoteRef/>
      </w:r>
      <w:r>
        <w:t xml:space="preserve"> </w:t>
      </w:r>
      <w:r w:rsidRPr="00AE6A80">
        <w:rPr>
          <w:i/>
        </w:rPr>
        <w:t xml:space="preserve">Mobile Spectrum Holdings </w:t>
      </w:r>
      <w:r>
        <w:rPr>
          <w:i/>
        </w:rPr>
        <w:t>Report and</w:t>
      </w:r>
      <w:r w:rsidRPr="00BF23C2">
        <w:rPr>
          <w:i/>
        </w:rPr>
        <w:t xml:space="preserve"> </w:t>
      </w:r>
      <w:r w:rsidRPr="00AE6A80">
        <w:rPr>
          <w:i/>
        </w:rPr>
        <w:t>Order</w:t>
      </w:r>
      <w:r>
        <w:t xml:space="preserve">, 29 FCC Rcd at 6178, para. 102; </w:t>
      </w:r>
      <w:r>
        <w:rPr>
          <w:i/>
        </w:rPr>
        <w:t xml:space="preserve">see also </w:t>
      </w:r>
      <w:r>
        <w:t xml:space="preserve">National Telecommunications and Information Administration (NTIA), NTIA Publishes Federal Agency Spectrum Transition Plans (July 16, 2014), </w:t>
      </w:r>
      <w:hyperlink r:id="rId3" w:history="1">
        <w:r w:rsidRPr="00023BEC">
          <w:rPr>
            <w:rStyle w:val="Hyperlink"/>
          </w:rPr>
          <w:t>https://www.ntia.doc.gov/press-release/2014/ntia-publishes-federal-agency-spectrum-transition-plans</w:t>
        </w:r>
      </w:hyperlink>
      <w:r>
        <w:t xml:space="preserve">; NTIA, AWS-3 Transition, </w:t>
      </w:r>
      <w:hyperlink r:id="rId4" w:history="1">
        <w:r w:rsidRPr="00BC6B80">
          <w:rPr>
            <w:rStyle w:val="Hyperlink"/>
          </w:rPr>
          <w:t>https://www.ntia.doc.gov/category/aws-3-transition</w:t>
        </w:r>
      </w:hyperlink>
      <w:r w:rsidRPr="00BC6B80">
        <w:t xml:space="preserve"> </w:t>
      </w:r>
      <w:r>
        <w:t xml:space="preserve">for the publicly available Transition Plans (last visited Mar. 30, 2016); NTIA, Transition Plans and Transition Data for the 1695-1710 MHz Band (Oct. 29, 2015), </w:t>
      </w:r>
      <w:hyperlink r:id="rId5" w:history="1">
        <w:r w:rsidRPr="00303CBF">
          <w:rPr>
            <w:rStyle w:val="Hyperlink"/>
          </w:rPr>
          <w:t>https://www.ntia.doc.gov/other-publication</w:t>
        </w:r>
        <w:r w:rsidRPr="00ED7E7E">
          <w:rPr>
            <w:rStyle w:val="Hyperlink"/>
          </w:rPr>
          <w:t>/2015/transition-plans-and-transition-data-1695-1710-mhz-band</w:t>
        </w:r>
      </w:hyperlink>
      <w:r>
        <w:rPr>
          <w:rStyle w:val="Hyperlink"/>
        </w:rPr>
        <w:t>.</w:t>
      </w:r>
      <w:r w:rsidRPr="00B052E0">
        <w:t xml:space="preserve">  </w:t>
      </w:r>
    </w:p>
  </w:footnote>
  <w:footnote w:id="45">
    <w:p w14:paraId="1CBE4BE0" w14:textId="77777777" w:rsidR="00B53330" w:rsidRPr="00BB5F2E" w:rsidRDefault="00B53330" w:rsidP="00B53330">
      <w:pPr>
        <w:pStyle w:val="ParaNum"/>
        <w:widowControl/>
        <w:numPr>
          <w:ilvl w:val="0"/>
          <w:numId w:val="0"/>
        </w:numPr>
        <w:rPr>
          <w:sz w:val="20"/>
        </w:rPr>
      </w:pPr>
      <w:r w:rsidRPr="00C45D98">
        <w:rPr>
          <w:rStyle w:val="FootnoteReference"/>
        </w:rPr>
        <w:footnoteRef/>
      </w:r>
      <w:r w:rsidRPr="00BB5F2E">
        <w:rPr>
          <w:sz w:val="20"/>
        </w:rPr>
        <w:t xml:space="preserve"> </w:t>
      </w:r>
      <w:r w:rsidRPr="00BB5F2E">
        <w:rPr>
          <w:i/>
          <w:sz w:val="20"/>
        </w:rPr>
        <w:t>AWS-3 Report and Order</w:t>
      </w:r>
      <w:r w:rsidRPr="00BB5F2E">
        <w:rPr>
          <w:sz w:val="20"/>
        </w:rPr>
        <w:t>,</w:t>
      </w:r>
      <w:r w:rsidRPr="00BB5F2E">
        <w:rPr>
          <w:i/>
          <w:sz w:val="20"/>
        </w:rPr>
        <w:t xml:space="preserve"> </w:t>
      </w:r>
      <w:r w:rsidRPr="00BB5F2E">
        <w:rPr>
          <w:sz w:val="20"/>
        </w:rPr>
        <w:t xml:space="preserve">29 FCC Rcd at 4684-85, paras. 198-199.  </w:t>
      </w:r>
    </w:p>
  </w:footnote>
  <w:footnote w:id="46">
    <w:p w14:paraId="4B7193BC" w14:textId="77777777" w:rsidR="00B53330" w:rsidRPr="00690106" w:rsidRDefault="00B53330" w:rsidP="00B53330">
      <w:pPr>
        <w:widowControl/>
        <w:spacing w:after="120"/>
      </w:pPr>
      <w:r w:rsidRPr="00C14863">
        <w:rPr>
          <w:rStyle w:val="FootnoteReference"/>
        </w:rPr>
        <w:footnoteRef/>
      </w:r>
      <w:r w:rsidRPr="00541C52">
        <w:rPr>
          <w:sz w:val="20"/>
        </w:rPr>
        <w:t xml:space="preserve"> </w:t>
      </w:r>
      <w:r w:rsidRPr="00BB5F2E">
        <w:rPr>
          <w:i/>
          <w:sz w:val="20"/>
        </w:rPr>
        <w:t>AWS-3 Report and Order</w:t>
      </w:r>
      <w:r w:rsidRPr="00BB5F2E">
        <w:rPr>
          <w:sz w:val="20"/>
        </w:rPr>
        <w:t>,</w:t>
      </w:r>
      <w:r w:rsidRPr="00BB5F2E">
        <w:rPr>
          <w:i/>
          <w:sz w:val="20"/>
        </w:rPr>
        <w:t xml:space="preserve"> </w:t>
      </w:r>
      <w:r w:rsidRPr="00BB5F2E">
        <w:rPr>
          <w:sz w:val="20"/>
        </w:rPr>
        <w:t>29 FCC Rcd at 4684-85, paras. 198-199</w:t>
      </w:r>
      <w:r>
        <w:rPr>
          <w:sz w:val="20"/>
        </w:rPr>
        <w:t xml:space="preserve">; </w:t>
      </w:r>
      <w:r>
        <w:rPr>
          <w:i/>
          <w:sz w:val="20"/>
        </w:rPr>
        <w:t xml:space="preserve">see also id. </w:t>
      </w:r>
      <w:r w:rsidRPr="00541C52">
        <w:rPr>
          <w:sz w:val="20"/>
        </w:rPr>
        <w:t>at</w:t>
      </w:r>
      <w:r>
        <w:rPr>
          <w:i/>
          <w:sz w:val="20"/>
        </w:rPr>
        <w:t xml:space="preserve"> </w:t>
      </w:r>
      <w:r>
        <w:rPr>
          <w:bCs/>
          <w:sz w:val="20"/>
        </w:rPr>
        <w:t xml:space="preserve">4725-27 </w:t>
      </w:r>
      <w:r w:rsidRPr="00690106">
        <w:rPr>
          <w:sz w:val="20"/>
        </w:rPr>
        <w:t>(stating that prior to operating a base station that enables mobile or portable stations to transmit in the 1695-1710 MHz band, licensees must successfully coordinate such base station operations with Federal Government entities operating meteorological satellite Earth-station receivers in the 1675-1710 MHz band)</w:t>
      </w:r>
      <w:r>
        <w:rPr>
          <w:sz w:val="20"/>
        </w:rPr>
        <w:t>.</w:t>
      </w:r>
    </w:p>
    <w:p w14:paraId="5F3D7873" w14:textId="77777777" w:rsidR="00B53330" w:rsidRPr="00F502F4" w:rsidRDefault="00B53330" w:rsidP="00B53330">
      <w:pPr>
        <w:spacing w:after="120"/>
      </w:pPr>
      <w:r>
        <w:rPr>
          <w:sz w:val="20"/>
        </w:rPr>
        <w:t>F</w:t>
      </w:r>
      <w:r w:rsidRPr="00BB5F2E">
        <w:rPr>
          <w:sz w:val="20"/>
        </w:rPr>
        <w:t xml:space="preserve">or a list of the </w:t>
      </w:r>
      <w:r>
        <w:rPr>
          <w:sz w:val="20"/>
        </w:rPr>
        <w:t>27</w:t>
      </w:r>
      <w:r w:rsidRPr="00BB5F2E">
        <w:rPr>
          <w:sz w:val="20"/>
        </w:rPr>
        <w:t xml:space="preserve"> Protected Zones</w:t>
      </w:r>
      <w:r>
        <w:rPr>
          <w:sz w:val="20"/>
        </w:rPr>
        <w:t xml:space="preserve">, </w:t>
      </w:r>
      <w:r w:rsidRPr="00936DA3">
        <w:rPr>
          <w:i/>
          <w:sz w:val="20"/>
        </w:rPr>
        <w:t>see</w:t>
      </w:r>
      <w:r>
        <w:rPr>
          <w:i/>
          <w:sz w:val="20"/>
        </w:rPr>
        <w:t xml:space="preserve"> </w:t>
      </w:r>
      <w:r w:rsidRPr="00BB5F2E">
        <w:rPr>
          <w:sz w:val="20"/>
        </w:rPr>
        <w:t xml:space="preserve">United States (U.S.) Footnotes, US88, </w:t>
      </w:r>
      <w:r w:rsidRPr="00BB5F2E">
        <w:rPr>
          <w:i/>
          <w:sz w:val="20"/>
        </w:rPr>
        <w:t xml:space="preserve">AWS-3 Report and Order, </w:t>
      </w:r>
      <w:r w:rsidRPr="00BB5F2E">
        <w:rPr>
          <w:sz w:val="20"/>
        </w:rPr>
        <w:t xml:space="preserve">29 FCC Rcd at 4708-10; </w:t>
      </w:r>
      <w:r w:rsidRPr="00BB5F2E">
        <w:rPr>
          <w:i/>
          <w:sz w:val="20"/>
        </w:rPr>
        <w:t>The Federal Communications Commission and the National Telecommunications and Information Administration:  Coordination Procedures in the 1695-1710 MHz and 1755-1780 MHz Bands</w:t>
      </w:r>
      <w:r w:rsidRPr="00BB5F2E">
        <w:rPr>
          <w:sz w:val="20"/>
        </w:rPr>
        <w:t>, 29 FCC Rcd 8527 (2014), 8529</w:t>
      </w:r>
      <w:r>
        <w:rPr>
          <w:sz w:val="20"/>
        </w:rPr>
        <w:t xml:space="preserve"> (</w:t>
      </w:r>
      <w:r w:rsidRPr="00936DA3">
        <w:rPr>
          <w:i/>
          <w:sz w:val="20"/>
        </w:rPr>
        <w:t>FCC-NTIA Joint Coordination Procedures Public Notice</w:t>
      </w:r>
      <w:r>
        <w:rPr>
          <w:sz w:val="20"/>
        </w:rPr>
        <w:t xml:space="preserve">).  </w:t>
      </w:r>
      <w:r>
        <w:rPr>
          <w:i/>
          <w:sz w:val="20"/>
        </w:rPr>
        <w:t>See also</w:t>
      </w:r>
      <w:r>
        <w:rPr>
          <w:sz w:val="20"/>
        </w:rPr>
        <w:t xml:space="preserve"> </w:t>
      </w:r>
      <w:r>
        <w:rPr>
          <w:i/>
          <w:sz w:val="20"/>
        </w:rPr>
        <w:t>id</w:t>
      </w:r>
      <w:r>
        <w:rPr>
          <w:sz w:val="20"/>
        </w:rPr>
        <w:t>. at 8529</w:t>
      </w:r>
      <w:r w:rsidRPr="00BB5F2E">
        <w:rPr>
          <w:sz w:val="20"/>
        </w:rPr>
        <w:t xml:space="preserve"> (</w:t>
      </w:r>
      <w:r>
        <w:rPr>
          <w:sz w:val="20"/>
        </w:rPr>
        <w:t>stating that t</w:t>
      </w:r>
      <w:r w:rsidRPr="00BB5F2E">
        <w:rPr>
          <w:sz w:val="20"/>
        </w:rPr>
        <w:t>he 1695-1710 MHz band is used by the meteorological satellite (MetSat) service and details on the protected Federal MetSat operations that will continue to be protected on a primary basis in the 1675-1695 MHz band and a co-primary basis in the 1695-1710 MHz band are publicly available in the relevant Transition Plans.)</w:t>
      </w:r>
      <w:r>
        <w:rPr>
          <w:sz w:val="20"/>
        </w:rPr>
        <w:t xml:space="preserve">  </w:t>
      </w:r>
    </w:p>
  </w:footnote>
  <w:footnote w:id="47">
    <w:p w14:paraId="5442B5DC" w14:textId="77777777" w:rsidR="00B53330" w:rsidRDefault="00B53330" w:rsidP="00B53330">
      <w:pPr>
        <w:pStyle w:val="FootnoteText"/>
      </w:pPr>
      <w:r>
        <w:rPr>
          <w:rStyle w:val="FootnoteReference"/>
        </w:rPr>
        <w:footnoteRef/>
      </w:r>
      <w:r>
        <w:t xml:space="preserve"> </w:t>
      </w:r>
      <w:r w:rsidRPr="00936DA3">
        <w:rPr>
          <w:i/>
        </w:rPr>
        <w:t>FCC-NTIA Joint Coordination Procedures Public Notice</w:t>
      </w:r>
      <w:r>
        <w:t>, 29 FCC Rcd at 8536-37.</w:t>
      </w:r>
    </w:p>
  </w:footnote>
  <w:footnote w:id="48">
    <w:p w14:paraId="1E4789D9" w14:textId="15B6B847" w:rsidR="00B53330" w:rsidRDefault="00B53330" w:rsidP="00B53330">
      <w:pPr>
        <w:pStyle w:val="FootnoteText"/>
      </w:pPr>
      <w:r>
        <w:rPr>
          <w:rStyle w:val="FootnoteReference"/>
        </w:rPr>
        <w:footnoteRef/>
      </w:r>
      <w:r>
        <w:t xml:space="preserve"> NTIA, AWS-3 Transition, </w:t>
      </w:r>
      <w:hyperlink r:id="rId6" w:history="1">
        <w:r w:rsidRPr="00BC6B80">
          <w:rPr>
            <w:rStyle w:val="Hyperlink"/>
          </w:rPr>
          <w:t>https://www.ntia.doc.gov/category/aws-3-transition</w:t>
        </w:r>
      </w:hyperlink>
      <w:r w:rsidRPr="00BC6B80">
        <w:t xml:space="preserve"> </w:t>
      </w:r>
      <w:r>
        <w:t xml:space="preserve">for the publicly available Transition Plans (last visited Mar. 30, 2016); NTIA, Transition Plans and Transition Data for the 1695-1710 MHz Band (Oct. 29, 2015), </w:t>
      </w:r>
      <w:hyperlink r:id="rId7" w:history="1">
        <w:r w:rsidRPr="00303CBF">
          <w:rPr>
            <w:rStyle w:val="Hyperlink"/>
          </w:rPr>
          <w:t>https://www.ntia.doc.gov/other-publication</w:t>
        </w:r>
        <w:r w:rsidRPr="00ED7E7E">
          <w:rPr>
            <w:rStyle w:val="Hyperlink"/>
          </w:rPr>
          <w:t>/2015/transition-plans-and-transition-data-1695-1710-mhz-band</w:t>
        </w:r>
      </w:hyperlink>
      <w:r>
        <w:rPr>
          <w:rStyle w:val="Hyperlink"/>
        </w:rPr>
        <w:t>.</w:t>
      </w:r>
      <w:r w:rsidRPr="00B052E0">
        <w:t xml:space="preserve">  </w:t>
      </w:r>
    </w:p>
  </w:footnote>
  <w:footnote w:id="49">
    <w:p w14:paraId="398003E7" w14:textId="77777777" w:rsidR="00B53330" w:rsidRDefault="00B53330" w:rsidP="00B53330">
      <w:pPr>
        <w:pStyle w:val="FootnoteText"/>
      </w:pPr>
      <w:r>
        <w:rPr>
          <w:rStyle w:val="FootnoteReference"/>
        </w:rPr>
        <w:footnoteRef/>
      </w:r>
      <w:r>
        <w:t xml:space="preserve"> </w:t>
      </w:r>
      <w:r w:rsidRPr="00943F32">
        <w:rPr>
          <w:i/>
        </w:rPr>
        <w:t>See</w:t>
      </w:r>
      <w:r w:rsidRPr="00C17C92">
        <w:t>,</w:t>
      </w:r>
      <w:r w:rsidRPr="00943F32">
        <w:rPr>
          <w:i/>
        </w:rPr>
        <w:t xml:space="preserve"> e.g.</w:t>
      </w:r>
      <w:r w:rsidRPr="00C17C92">
        <w:t>,</w:t>
      </w:r>
      <w:r w:rsidRPr="00943F32">
        <w:rPr>
          <w:i/>
        </w:rPr>
        <w:t xml:space="preserve"> </w:t>
      </w:r>
      <w:r w:rsidRPr="0005491A">
        <w:rPr>
          <w:i/>
        </w:rPr>
        <w:t>AT&amp;T-Plateau Wireless Order</w:t>
      </w:r>
      <w:r>
        <w:t xml:space="preserve">, 30 FCC Rcd at 5117, para. 23; </w:t>
      </w:r>
      <w:r w:rsidRPr="00943F32">
        <w:rPr>
          <w:i/>
        </w:rPr>
        <w:t>AT&amp;T-Leap Order</w:t>
      </w:r>
      <w:r w:rsidRPr="004F6CF3">
        <w:t xml:space="preserve">, </w:t>
      </w:r>
      <w:r w:rsidRPr="00943F32">
        <w:t>29 FCC Rcd at 2751</w:t>
      </w:r>
      <w:r>
        <w:t xml:space="preserve">, para. </w:t>
      </w:r>
      <w:r>
        <w:rPr>
          <w:rFonts w:eastAsia="Calibri"/>
        </w:rPr>
        <w:t xml:space="preserve">35.  </w:t>
      </w:r>
      <w:r>
        <w:t xml:space="preserve">The Commission has assessed </w:t>
      </w:r>
      <w:r w:rsidRPr="005211DB">
        <w:t xml:space="preserve">the </w:t>
      </w:r>
      <w:r>
        <w:t xml:space="preserve">competitive </w:t>
      </w:r>
      <w:r w:rsidRPr="005211DB">
        <w:t xml:space="preserve">effect of </w:t>
      </w:r>
      <w:r>
        <w:t>MVNOs</w:t>
      </w:r>
      <w:r w:rsidRPr="005211DB">
        <w:t xml:space="preserve"> and resellers</w:t>
      </w:r>
      <w:r>
        <w:t xml:space="preserve"> in prior transactions but noted that it will exclude MVNOs and resellers from consideration when computing initial concentration measures.  </w:t>
      </w:r>
      <w:r w:rsidRPr="00943F32">
        <w:rPr>
          <w:i/>
        </w:rPr>
        <w:t>See</w:t>
      </w:r>
      <w:r>
        <w:rPr>
          <w:i/>
        </w:rPr>
        <w:t>, e.g.,</w:t>
      </w:r>
      <w:r w:rsidRPr="00671D04">
        <w:rPr>
          <w:i/>
        </w:rPr>
        <w:t xml:space="preserve"> A</w:t>
      </w:r>
      <w:r>
        <w:rPr>
          <w:i/>
        </w:rPr>
        <w:t xml:space="preserve">T&amp;T-Plateau </w:t>
      </w:r>
      <w:r w:rsidRPr="007B4DA1">
        <w:rPr>
          <w:i/>
        </w:rPr>
        <w:t>Wireless Order</w:t>
      </w:r>
      <w:r>
        <w:t xml:space="preserve">, 30 FCC Rcd at 5117, para. 23 &amp; n.78; </w:t>
      </w:r>
      <w:r w:rsidRPr="007B4DA1">
        <w:rPr>
          <w:i/>
        </w:rPr>
        <w:t>AT</w:t>
      </w:r>
      <w:r w:rsidRPr="00671D04">
        <w:rPr>
          <w:i/>
        </w:rPr>
        <w:t xml:space="preserve">&amp;T-Leap Order, </w:t>
      </w:r>
      <w:r w:rsidRPr="00671D04">
        <w:t>29 FCC Rcd at 2752</w:t>
      </w:r>
      <w:r>
        <w:t>,</w:t>
      </w:r>
      <w:r w:rsidRPr="00671D04">
        <w:t xml:space="preserve"> </w:t>
      </w:r>
      <w:r>
        <w:t>para. 37.</w:t>
      </w:r>
    </w:p>
  </w:footnote>
  <w:footnote w:id="50">
    <w:p w14:paraId="7F2285FD" w14:textId="77777777" w:rsidR="00B53330" w:rsidRPr="00A5312F" w:rsidRDefault="00B53330" w:rsidP="00B53330">
      <w:pPr>
        <w:pStyle w:val="FootnoteText"/>
      </w:pPr>
      <w:r w:rsidRPr="0075707B">
        <w:rPr>
          <w:rStyle w:val="FootnoteReference"/>
        </w:rPr>
        <w:footnoteRef/>
      </w:r>
      <w:r w:rsidRPr="0075707B">
        <w:t xml:space="preserve"> </w:t>
      </w:r>
      <w:r w:rsidRPr="0009110A">
        <w:rPr>
          <w:i/>
        </w:rPr>
        <w:t>See</w:t>
      </w:r>
      <w:r w:rsidRPr="0009110A">
        <w:t>,</w:t>
      </w:r>
      <w:r w:rsidRPr="0009110A">
        <w:rPr>
          <w:i/>
        </w:rPr>
        <w:t xml:space="preserve"> e.g</w:t>
      </w:r>
      <w:r>
        <w:rPr>
          <w:i/>
        </w:rPr>
        <w:t>.</w:t>
      </w:r>
      <w:r w:rsidRPr="0009110A">
        <w:t>,</w:t>
      </w:r>
      <w:r w:rsidRPr="0009110A">
        <w:rPr>
          <w:i/>
        </w:rPr>
        <w:t xml:space="preserve"> </w:t>
      </w:r>
      <w:r w:rsidRPr="006E29EF">
        <w:rPr>
          <w:i/>
        </w:rPr>
        <w:t>AT&amp;T-CPI</w:t>
      </w:r>
      <w:r w:rsidRPr="006E29EF">
        <w:t xml:space="preserve"> </w:t>
      </w:r>
      <w:r w:rsidRPr="006E29EF">
        <w:rPr>
          <w:i/>
        </w:rPr>
        <w:t>Order</w:t>
      </w:r>
      <w:r>
        <w:t>, 31 FCC Rcd at 323,</w:t>
      </w:r>
      <w:r w:rsidRPr="00AC1A9B">
        <w:t xml:space="preserve"> </w:t>
      </w:r>
      <w:r>
        <w:t xml:space="preserve">para. 12; </w:t>
      </w:r>
      <w:r w:rsidRPr="0009110A">
        <w:rPr>
          <w:i/>
          <w:iCs/>
        </w:rPr>
        <w:t>AT&amp;T-Club 42 Order</w:t>
      </w:r>
      <w:r w:rsidRPr="0009110A">
        <w:rPr>
          <w:iCs/>
        </w:rPr>
        <w:t>, 30 FCC Rcd at 13065-66</w:t>
      </w:r>
      <w:r>
        <w:rPr>
          <w:iCs/>
        </w:rPr>
        <w:t xml:space="preserve">, para. </w:t>
      </w:r>
      <w:r w:rsidRPr="0009110A">
        <w:t xml:space="preserve">23; </w:t>
      </w:r>
      <w:r w:rsidRPr="0009110A">
        <w:rPr>
          <w:i/>
        </w:rPr>
        <w:t>AT&amp;T-Plateau Wireless Order</w:t>
      </w:r>
      <w:r w:rsidRPr="0009110A">
        <w:t>, 30 FCC Rcd at 5118</w:t>
      </w:r>
      <w:r>
        <w:t xml:space="preserve">, para. </w:t>
      </w:r>
      <w:r w:rsidRPr="0009110A">
        <w:t xml:space="preserve">24; </w:t>
      </w:r>
      <w:r w:rsidRPr="0009110A">
        <w:rPr>
          <w:i/>
        </w:rPr>
        <w:t>Mobile Spectrum Holdings Report and Order</w:t>
      </w:r>
      <w:r w:rsidRPr="00BB4737">
        <w:rPr>
          <w:rStyle w:val="StyleParaNumTimesNewRoman11ptChar"/>
          <w:sz w:val="20"/>
          <w:lang w:eastAsia="x-none"/>
        </w:rPr>
        <w:t>, 29 FCC Rcd at 6240</w:t>
      </w:r>
      <w:r>
        <w:rPr>
          <w:rStyle w:val="StyleParaNumTimesNewRoman11ptChar"/>
          <w:sz w:val="20"/>
          <w:lang w:eastAsia="x-none"/>
        </w:rPr>
        <w:t>, para.</w:t>
      </w:r>
      <w:r w:rsidRPr="00BB4737">
        <w:rPr>
          <w:rStyle w:val="StyleParaNumTimesNewRoman11ptChar"/>
          <w:sz w:val="20"/>
          <w:lang w:eastAsia="x-none"/>
        </w:rPr>
        <w:t xml:space="preserve"> 286.</w:t>
      </w:r>
    </w:p>
  </w:footnote>
  <w:footnote w:id="51">
    <w:p w14:paraId="6A7B2947" w14:textId="77777777" w:rsidR="00B53330" w:rsidRDefault="00B53330" w:rsidP="00B53330">
      <w:pPr>
        <w:pStyle w:val="FootnoteText"/>
      </w:pPr>
      <w:r>
        <w:rPr>
          <w:rStyle w:val="FootnoteReference"/>
        </w:rPr>
        <w:footnoteRef/>
      </w:r>
      <w:r>
        <w:t xml:space="preserve"> The</w:t>
      </w:r>
      <w:r w:rsidRPr="0075707B">
        <w:t xml:space="preserve"> initial HHI screen identifies, for further case-by-case market</w:t>
      </w:r>
      <w:r w:rsidRPr="009F0F3A">
        <w:t xml:space="preserve"> analysis, those markets in which, post-transaction:  (1) the HHI would be greater than 2800 and the change in HHI would be 100 or greater; or (2) the change in HHI would be 250 or greater, regardless of the level of the HHI.  </w:t>
      </w:r>
      <w:r>
        <w:rPr>
          <w:i/>
          <w:iCs/>
        </w:rPr>
        <w:t>See</w:t>
      </w:r>
      <w:r w:rsidRPr="0002735B">
        <w:rPr>
          <w:iCs/>
        </w:rPr>
        <w:t>,</w:t>
      </w:r>
      <w:r>
        <w:rPr>
          <w:i/>
          <w:iCs/>
        </w:rPr>
        <w:t xml:space="preserve"> e.g</w:t>
      </w:r>
      <w:r w:rsidRPr="00012E11">
        <w:rPr>
          <w:i/>
          <w:iCs/>
        </w:rPr>
        <w:t>.</w:t>
      </w:r>
      <w:r w:rsidRPr="0002735B">
        <w:rPr>
          <w:iCs/>
        </w:rPr>
        <w:t>,</w:t>
      </w:r>
      <w:r w:rsidRPr="00012E11">
        <w:rPr>
          <w:i/>
          <w:iCs/>
        </w:rPr>
        <w:t xml:space="preserve"> </w:t>
      </w:r>
      <w:r w:rsidRPr="006E29EF">
        <w:rPr>
          <w:i/>
        </w:rPr>
        <w:t>AT&amp;T-CPI</w:t>
      </w:r>
      <w:r w:rsidRPr="006E29EF">
        <w:t xml:space="preserve"> </w:t>
      </w:r>
      <w:r w:rsidRPr="006E29EF">
        <w:rPr>
          <w:i/>
        </w:rPr>
        <w:t>Order</w:t>
      </w:r>
      <w:r>
        <w:t>, 31 FCC Rcd at 323,</w:t>
      </w:r>
      <w:r w:rsidRPr="00AC1A9B">
        <w:t xml:space="preserve"> </w:t>
      </w:r>
      <w:r>
        <w:t xml:space="preserve">para. 13 &amp; n.41; </w:t>
      </w:r>
      <w:r w:rsidRPr="00A32537">
        <w:rPr>
          <w:i/>
        </w:rPr>
        <w:t>AT&amp;T-Plateau Wireless Order</w:t>
      </w:r>
      <w:r w:rsidRPr="00A32537">
        <w:t xml:space="preserve">, </w:t>
      </w:r>
      <w:r w:rsidRPr="00BE0754">
        <w:t>30 FCC Rcd at 5118</w:t>
      </w:r>
      <w:r>
        <w:t xml:space="preserve">, para. 24; </w:t>
      </w:r>
      <w:r w:rsidRPr="00A32537">
        <w:rPr>
          <w:i/>
        </w:rPr>
        <w:t>A</w:t>
      </w:r>
      <w:r w:rsidRPr="00921FBA">
        <w:rPr>
          <w:i/>
          <w:iCs/>
        </w:rPr>
        <w:t>T</w:t>
      </w:r>
      <w:r w:rsidRPr="00012E11">
        <w:rPr>
          <w:i/>
          <w:iCs/>
        </w:rPr>
        <w:t>&amp;T-Leap Order,</w:t>
      </w:r>
      <w:r w:rsidRPr="0025174A">
        <w:rPr>
          <w:i/>
          <w:iCs/>
        </w:rPr>
        <w:t xml:space="preserve"> </w:t>
      </w:r>
      <w:r>
        <w:t>29 FCC Rcd at 2753, para. 41 &amp; n.140</w:t>
      </w:r>
      <w:r w:rsidRPr="0025174A">
        <w:t>.</w:t>
      </w:r>
    </w:p>
  </w:footnote>
  <w:footnote w:id="52">
    <w:p w14:paraId="11EB7811" w14:textId="77777777" w:rsidR="00B53330" w:rsidRDefault="00B53330" w:rsidP="00B53330">
      <w:pPr>
        <w:pStyle w:val="FootnoteText"/>
      </w:pPr>
      <w:r w:rsidRPr="0075707B">
        <w:rPr>
          <w:rStyle w:val="FootnoteReference"/>
        </w:rPr>
        <w:footnoteRef/>
      </w:r>
      <w:r w:rsidRPr="0075707B">
        <w:t xml:space="preserve"> </w:t>
      </w:r>
      <w:r w:rsidRPr="00285276">
        <w:rPr>
          <w:i/>
        </w:rPr>
        <w:t xml:space="preserve">See, e.g., </w:t>
      </w:r>
      <w:r w:rsidRPr="006E29EF">
        <w:rPr>
          <w:i/>
        </w:rPr>
        <w:t>AT&amp;T-CPI</w:t>
      </w:r>
      <w:r w:rsidRPr="006E29EF">
        <w:t xml:space="preserve"> </w:t>
      </w:r>
      <w:r w:rsidRPr="006E29EF">
        <w:rPr>
          <w:i/>
        </w:rPr>
        <w:t>Order</w:t>
      </w:r>
      <w:r>
        <w:t>, 31 FCC Rcd at 323-24</w:t>
      </w:r>
      <w:r w:rsidRPr="00285276">
        <w:t>, para. 13</w:t>
      </w:r>
      <w:r>
        <w:t>;</w:t>
      </w:r>
      <w:r w:rsidRPr="00285276">
        <w:t xml:space="preserve"> </w:t>
      </w:r>
      <w:r w:rsidRPr="00285276">
        <w:rPr>
          <w:i/>
        </w:rPr>
        <w:t>AT&amp;T-Plateau Wireless Order</w:t>
      </w:r>
      <w:r w:rsidRPr="00285276">
        <w:t xml:space="preserve">, 30 FCC Rcd at 5114, para. 16; </w:t>
      </w:r>
      <w:r w:rsidRPr="00285276">
        <w:rPr>
          <w:i/>
          <w:iCs/>
        </w:rPr>
        <w:t>AT&amp;T-Leap Order</w:t>
      </w:r>
      <w:r w:rsidRPr="00285276">
        <w:rPr>
          <w:iCs/>
        </w:rPr>
        <w:t xml:space="preserve">, </w:t>
      </w:r>
      <w:r w:rsidRPr="00285276">
        <w:t xml:space="preserve">29 FCC Rcd at 2744-46, para. </w:t>
      </w:r>
      <w:r w:rsidRPr="00285276">
        <w:rPr>
          <w:bCs/>
        </w:rPr>
        <w:t xml:space="preserve">21.  </w:t>
      </w:r>
      <w:r w:rsidRPr="002326D8">
        <w:rPr>
          <w:rStyle w:val="StyleParaNumTimesNewRoman11ptChar"/>
          <w:sz w:val="20"/>
          <w:lang w:eastAsia="x-none"/>
        </w:rPr>
        <w:t xml:space="preserve">Unilateral effects arise when the merged firm finds it profitable to alter its behavior following the merger by increasing its price or otherwise harming competition.  </w:t>
      </w:r>
      <w:r w:rsidRPr="00285276">
        <w:t>Horizontal Merger Guidelines, U.S. Department of Justice and the Federal Trade Commission,</w:t>
      </w:r>
      <w:r w:rsidRPr="00285276">
        <w:rPr>
          <w:color w:val="000000"/>
        </w:rPr>
        <w:t xml:space="preserve"> </w:t>
      </w:r>
      <w:r w:rsidRPr="00285276">
        <w:t xml:space="preserve">August 19, 2010, </w:t>
      </w:r>
      <w:r w:rsidRPr="00285276">
        <w:rPr>
          <w:color w:val="000000"/>
        </w:rPr>
        <w:t>at §</w:t>
      </w:r>
      <w:r>
        <w:rPr>
          <w:color w:val="000000"/>
        </w:rPr>
        <w:t> </w:t>
      </w:r>
      <w:r w:rsidRPr="00285276">
        <w:rPr>
          <w:color w:val="000000"/>
        </w:rPr>
        <w:t>6, p. 20</w:t>
      </w:r>
      <w:r w:rsidRPr="00285276">
        <w:t xml:space="preserve"> (</w:t>
      </w:r>
      <w:r w:rsidRPr="00285276">
        <w:rPr>
          <w:i/>
        </w:rPr>
        <w:t>2010 DOJ/FTC</w:t>
      </w:r>
      <w:r w:rsidRPr="00285276">
        <w:t xml:space="preserve"> </w:t>
      </w:r>
      <w:r w:rsidRPr="00285276">
        <w:rPr>
          <w:i/>
        </w:rPr>
        <w:t>Horizontal Merger Guidelines</w:t>
      </w:r>
      <w:r w:rsidRPr="00285276">
        <w:t xml:space="preserve">).  </w:t>
      </w:r>
      <w:r w:rsidRPr="002326D8">
        <w:rPr>
          <w:rStyle w:val="StyleParaNumTimesNewRoman11ptChar"/>
          <w:sz w:val="20"/>
          <w:lang w:eastAsia="x-none"/>
        </w:rPr>
        <w:t>In the case of the provision of mobile wireless services, in addition to increasing prices, this might t</w:t>
      </w:r>
      <w:r w:rsidRPr="009C05C5">
        <w:rPr>
          <w:rStyle w:val="StyleParaNumTimesNewRoman11ptChar"/>
          <w:sz w:val="20"/>
          <w:lang w:eastAsia="x-none"/>
        </w:rPr>
        <w:t xml:space="preserve">ake the form of delaying improvements in service quality, adversely adjusting the features of a service offering without changing the price of the plan, or reducing the rate of new product development or other innovation in a relevant market.  </w:t>
      </w:r>
      <w:r w:rsidRPr="00285276">
        <w:rPr>
          <w:i/>
        </w:rPr>
        <w:t>See, e.g.</w:t>
      </w:r>
      <w:r w:rsidRPr="00285276">
        <w:t xml:space="preserve">, </w:t>
      </w:r>
      <w:r w:rsidRPr="00285276">
        <w:rPr>
          <w:i/>
        </w:rPr>
        <w:t>AT&amp;T-CPI</w:t>
      </w:r>
      <w:r w:rsidRPr="00285276">
        <w:t xml:space="preserve"> </w:t>
      </w:r>
      <w:r w:rsidRPr="00285276">
        <w:rPr>
          <w:i/>
        </w:rPr>
        <w:t>Order</w:t>
      </w:r>
      <w:r>
        <w:t>,</w:t>
      </w:r>
      <w:r w:rsidRPr="00730829">
        <w:t xml:space="preserve"> </w:t>
      </w:r>
      <w:r>
        <w:t>31 FCC Rcd at 323-24</w:t>
      </w:r>
      <w:r w:rsidRPr="00285276">
        <w:t xml:space="preserve">, para. 13 </w:t>
      </w:r>
      <w:r>
        <w:t xml:space="preserve">&amp; </w:t>
      </w:r>
      <w:r w:rsidRPr="00285276">
        <w:t>n.</w:t>
      </w:r>
      <w:r>
        <w:t> </w:t>
      </w:r>
      <w:r w:rsidRPr="00285276">
        <w:t>42</w:t>
      </w:r>
      <w:r>
        <w:t>;</w:t>
      </w:r>
      <w:r w:rsidRPr="00285276">
        <w:t xml:space="preserve"> </w:t>
      </w:r>
      <w:r w:rsidRPr="00285276">
        <w:rPr>
          <w:i/>
        </w:rPr>
        <w:t>AT&amp;T-Plateau Wireless Order</w:t>
      </w:r>
      <w:r w:rsidRPr="00285276">
        <w:t xml:space="preserve">, 30 FCC Rcd at 5119, para. 26; </w:t>
      </w:r>
      <w:r w:rsidRPr="00285276">
        <w:rPr>
          <w:i/>
        </w:rPr>
        <w:t xml:space="preserve">AT&amp;T-Leap Order, </w:t>
      </w:r>
      <w:r w:rsidRPr="00285276">
        <w:t>29 FCC Rcd at 2756-57, para. 49.</w:t>
      </w:r>
      <w:r>
        <w:t xml:space="preserve">  </w:t>
      </w:r>
    </w:p>
    <w:p w14:paraId="1169CD8A" w14:textId="77777777" w:rsidR="00B53330" w:rsidRPr="00285276" w:rsidRDefault="00B53330" w:rsidP="00B53330">
      <w:pPr>
        <w:pStyle w:val="FootnoteText"/>
      </w:pPr>
      <w:r w:rsidRPr="002326D8">
        <w:rPr>
          <w:rStyle w:val="StyleParaNumTimesNewRoman11ptChar"/>
          <w:sz w:val="20"/>
          <w:lang w:eastAsia="x-none"/>
        </w:rPr>
        <w:t xml:space="preserve">Coordinated effects arise when firms take actions that are profitable for each of them only as a result of the accommodating reactions of others.  </w:t>
      </w:r>
      <w:r w:rsidRPr="00285276">
        <w:t xml:space="preserve">A merger may diminish competition by enabling or encouraging post-merger coordinated interaction among firms in the relevant market that harms customers.  </w:t>
      </w:r>
      <w:r w:rsidRPr="00285276">
        <w:rPr>
          <w:i/>
        </w:rPr>
        <w:t>2010 DOJ/FTC</w:t>
      </w:r>
      <w:r w:rsidRPr="00285276">
        <w:t xml:space="preserve"> </w:t>
      </w:r>
      <w:r w:rsidRPr="00285276">
        <w:rPr>
          <w:i/>
        </w:rPr>
        <w:t>Horizontal Merger Guidelines</w:t>
      </w:r>
      <w:r w:rsidRPr="00285276">
        <w:t xml:space="preserve"> at</w:t>
      </w:r>
      <w:r w:rsidRPr="00285276">
        <w:rPr>
          <w:i/>
        </w:rPr>
        <w:t xml:space="preserve"> </w:t>
      </w:r>
      <w:r w:rsidRPr="00285276">
        <w:rPr>
          <w:color w:val="000000"/>
        </w:rPr>
        <w:t xml:space="preserve">§ 7, p. 24. </w:t>
      </w:r>
      <w:r w:rsidRPr="00285276">
        <w:t xml:space="preserve"> </w:t>
      </w:r>
      <w:r w:rsidRPr="00285276">
        <w:rPr>
          <w:i/>
        </w:rPr>
        <w:t>See also</w:t>
      </w:r>
      <w:r w:rsidRPr="00285276">
        <w:rPr>
          <w:i/>
          <w:color w:val="010101"/>
        </w:rPr>
        <w:t xml:space="preserve"> </w:t>
      </w:r>
      <w:r w:rsidRPr="00285276">
        <w:rPr>
          <w:i/>
        </w:rPr>
        <w:t>AT&amp;T-CPI</w:t>
      </w:r>
      <w:r w:rsidRPr="00285276">
        <w:t xml:space="preserve"> </w:t>
      </w:r>
      <w:r w:rsidRPr="00285276">
        <w:rPr>
          <w:i/>
        </w:rPr>
        <w:t>Order</w:t>
      </w:r>
      <w:r>
        <w:rPr>
          <w:i/>
        </w:rPr>
        <w:t xml:space="preserve">, </w:t>
      </w:r>
      <w:r>
        <w:t>31 FCC Rcd at 323-24,</w:t>
      </w:r>
      <w:r w:rsidRPr="00285276">
        <w:t xml:space="preserve"> para. 13 </w:t>
      </w:r>
      <w:r>
        <w:t xml:space="preserve">&amp; </w:t>
      </w:r>
      <w:r w:rsidRPr="00285276">
        <w:t>n. 42</w:t>
      </w:r>
      <w:r>
        <w:t>;</w:t>
      </w:r>
      <w:r w:rsidRPr="00285276">
        <w:t xml:space="preserve"> </w:t>
      </w:r>
      <w:r w:rsidRPr="00285276">
        <w:rPr>
          <w:i/>
        </w:rPr>
        <w:t>AT&amp;T-Plateau Wireless Order</w:t>
      </w:r>
      <w:r w:rsidRPr="00285276">
        <w:t xml:space="preserve">, 30 FCC Rcd at 5119, para. 26; </w:t>
      </w:r>
      <w:r w:rsidRPr="00285276">
        <w:rPr>
          <w:i/>
        </w:rPr>
        <w:t xml:space="preserve">AT&amp;T-Leap Order, </w:t>
      </w:r>
      <w:r w:rsidRPr="00285276">
        <w:t>29 FCC Rcd at 2756-57</w:t>
      </w:r>
      <w:r>
        <w:t>, para.</w:t>
      </w:r>
      <w:r w:rsidRPr="00285276">
        <w:t xml:space="preserve"> 49.  </w:t>
      </w:r>
      <w:r w:rsidRPr="002326D8">
        <w:rPr>
          <w:rStyle w:val="StyleParaNumTimesNewRoman11ptChar"/>
          <w:sz w:val="20"/>
          <w:lang w:eastAsia="x-none"/>
        </w:rPr>
        <w:t xml:space="preserve">Either or both unilateral and coordinated effects may arise from a proposed transaction, and the distinction between them is not always clear cut.  </w:t>
      </w:r>
      <w:r w:rsidRPr="00285276">
        <w:rPr>
          <w:i/>
        </w:rPr>
        <w:t>See, e.g.,</w:t>
      </w:r>
      <w:r w:rsidRPr="00285276">
        <w:rPr>
          <w:i/>
          <w:color w:val="010101"/>
        </w:rPr>
        <w:t xml:space="preserve"> </w:t>
      </w:r>
      <w:r w:rsidRPr="00285276">
        <w:rPr>
          <w:i/>
        </w:rPr>
        <w:t>AT&amp;T-CPI</w:t>
      </w:r>
      <w:r w:rsidRPr="00285276">
        <w:t xml:space="preserve"> </w:t>
      </w:r>
      <w:r w:rsidRPr="00285276">
        <w:rPr>
          <w:i/>
        </w:rPr>
        <w:t>Order</w:t>
      </w:r>
      <w:r>
        <w:t>,</w:t>
      </w:r>
      <w:r w:rsidRPr="009A65CB">
        <w:t xml:space="preserve"> </w:t>
      </w:r>
      <w:r>
        <w:t>31 FCC Rcd at 323-24</w:t>
      </w:r>
      <w:r w:rsidRPr="00285276">
        <w:t xml:space="preserve">, para. 13 </w:t>
      </w:r>
      <w:r>
        <w:t xml:space="preserve">&amp; </w:t>
      </w:r>
      <w:r w:rsidRPr="00285276">
        <w:t>n. 42</w:t>
      </w:r>
      <w:r>
        <w:t xml:space="preserve">; </w:t>
      </w:r>
      <w:r w:rsidRPr="00285276">
        <w:rPr>
          <w:i/>
        </w:rPr>
        <w:t>AT&amp;T-Plateau Wireless Order</w:t>
      </w:r>
      <w:r w:rsidRPr="00285276">
        <w:t xml:space="preserve">, 30 FCC Rcd at 5119, para. 26; </w:t>
      </w:r>
      <w:r w:rsidRPr="00285276">
        <w:rPr>
          <w:i/>
        </w:rPr>
        <w:t xml:space="preserve">AT&amp;T-Leap Order, </w:t>
      </w:r>
      <w:r w:rsidRPr="00285276">
        <w:t>29 FCC Rcd at 2757, para. 49.</w:t>
      </w:r>
    </w:p>
  </w:footnote>
  <w:footnote w:id="53">
    <w:p w14:paraId="22FEE4CD" w14:textId="77777777" w:rsidR="00B53330" w:rsidRDefault="00B53330" w:rsidP="00B53330">
      <w:pPr>
        <w:pStyle w:val="FootnoteText"/>
      </w:pPr>
      <w:r>
        <w:rPr>
          <w:rStyle w:val="FootnoteReference"/>
        </w:rPr>
        <w:footnoteRef/>
      </w:r>
      <w:r>
        <w:t xml:space="preserve"> As we are newly adding 15 megahertz of AWS-3 spectrum to the screen, the trigger is increased from its current 194 megahertz to 199 megahertz</w:t>
      </w:r>
      <w:r>
        <w:rPr>
          <w:iCs/>
        </w:rPr>
        <w:t xml:space="preserve"> in those areas where AWS-1 and BRS/EBS spectrum are available.</w:t>
      </w:r>
    </w:p>
  </w:footnote>
  <w:footnote w:id="54">
    <w:p w14:paraId="279C52C2" w14:textId="77777777" w:rsidR="00B53330" w:rsidRPr="00A5312F" w:rsidRDefault="00B53330" w:rsidP="00B53330">
      <w:pPr>
        <w:pStyle w:val="FootnoteText"/>
      </w:pPr>
      <w:r w:rsidRPr="0075707B">
        <w:rPr>
          <w:rStyle w:val="FootnoteReference"/>
        </w:rPr>
        <w:footnoteRef/>
      </w:r>
      <w:r w:rsidRPr="0075707B">
        <w:t xml:space="preserve"> </w:t>
      </w:r>
      <w:r w:rsidRPr="00D84F5E">
        <w:rPr>
          <w:i/>
        </w:rPr>
        <w:t>See</w:t>
      </w:r>
      <w:r w:rsidRPr="00D84F5E">
        <w:t>,</w:t>
      </w:r>
      <w:r w:rsidRPr="00D84F5E">
        <w:rPr>
          <w:i/>
        </w:rPr>
        <w:t xml:space="preserve"> e.g.</w:t>
      </w:r>
      <w:r w:rsidRPr="00D84F5E">
        <w:t>,</w:t>
      </w:r>
      <w:r w:rsidRPr="00D84F5E">
        <w:rPr>
          <w:iCs/>
        </w:rPr>
        <w:t xml:space="preserve"> </w:t>
      </w:r>
      <w:r w:rsidRPr="00D84F5E">
        <w:rPr>
          <w:i/>
        </w:rPr>
        <w:t>AT&amp;T-CPI</w:t>
      </w:r>
      <w:r w:rsidRPr="00D84F5E">
        <w:t xml:space="preserve"> </w:t>
      </w:r>
      <w:r w:rsidRPr="00D84F5E">
        <w:rPr>
          <w:i/>
        </w:rPr>
        <w:t>Order</w:t>
      </w:r>
      <w:r>
        <w:t>,</w:t>
      </w:r>
      <w:r w:rsidRPr="00E21768">
        <w:t xml:space="preserve"> </w:t>
      </w:r>
      <w:r>
        <w:t>31 FCC Rcd at 323-24</w:t>
      </w:r>
      <w:r w:rsidRPr="00D84F5E">
        <w:t xml:space="preserve">, para. 13; </w:t>
      </w:r>
      <w:r w:rsidRPr="00D84F5E">
        <w:rPr>
          <w:i/>
          <w:iCs/>
        </w:rPr>
        <w:t>AT&amp;T-Club 42 Order</w:t>
      </w:r>
      <w:r w:rsidRPr="00D84F5E">
        <w:rPr>
          <w:iCs/>
        </w:rPr>
        <w:t xml:space="preserve">, 30 FCC Rcd at 13065-66, para. </w:t>
      </w:r>
      <w:r w:rsidRPr="00D84F5E">
        <w:t xml:space="preserve">23; </w:t>
      </w:r>
      <w:r w:rsidRPr="00D84F5E">
        <w:rPr>
          <w:i/>
        </w:rPr>
        <w:t>AT&amp;T</w:t>
      </w:r>
      <w:r w:rsidRPr="00D84F5E">
        <w:rPr>
          <w:i/>
        </w:rPr>
        <w:noBreakHyphen/>
        <w:t>Plateau Wireless Order</w:t>
      </w:r>
      <w:r w:rsidRPr="00D84F5E">
        <w:t>, 30 FCC Rcd at 5118, para. 24</w:t>
      </w:r>
      <w:r w:rsidRPr="00D84F5E">
        <w:rPr>
          <w:iCs/>
        </w:rPr>
        <w:t xml:space="preserve">.  </w:t>
      </w:r>
      <w:r w:rsidRPr="00D84F5E">
        <w:t xml:space="preserve">In instances where an applicant is gaining spectrum below 1 GHz, </w:t>
      </w:r>
      <w:r w:rsidRPr="00D84F5E">
        <w:rPr>
          <w:bCs/>
        </w:rPr>
        <w:t xml:space="preserve">we also carefully examine the possible competitive effects resulting from an increase in below-1-GHz spectrum holdings that would be </w:t>
      </w:r>
      <w:r w:rsidRPr="00D84F5E">
        <w:t xml:space="preserve">above the threshold identified in the </w:t>
      </w:r>
      <w:r w:rsidRPr="00D84F5E">
        <w:rPr>
          <w:i/>
        </w:rPr>
        <w:t>Mobile Spectrum Holdings Report and Order</w:t>
      </w:r>
      <w:r w:rsidRPr="00D84F5E">
        <w:t xml:space="preserve">.  </w:t>
      </w:r>
      <w:r w:rsidRPr="00D84F5E">
        <w:rPr>
          <w:i/>
        </w:rPr>
        <w:t>Mobile Spectrum Holdings Report and Order</w:t>
      </w:r>
      <w:r w:rsidRPr="00D84F5E">
        <w:rPr>
          <w:rStyle w:val="StyleParaNumTimesNewRoman11ptChar"/>
          <w:sz w:val="20"/>
          <w:lang w:eastAsia="x-none"/>
        </w:rPr>
        <w:t xml:space="preserve">, 29 FCC Rcd at </w:t>
      </w:r>
      <w:r w:rsidRPr="00D84F5E">
        <w:t xml:space="preserve">6233, </w:t>
      </w:r>
      <w:r w:rsidRPr="00D84F5E">
        <w:rPr>
          <w:bCs/>
        </w:rPr>
        <w:t>6240,</w:t>
      </w:r>
      <w:r>
        <w:rPr>
          <w:bCs/>
        </w:rPr>
        <w:t xml:space="preserve"> </w:t>
      </w:r>
      <w:r w:rsidRPr="00D84F5E">
        <w:t>para</w:t>
      </w:r>
      <w:r>
        <w:t>s</w:t>
      </w:r>
      <w:r w:rsidRPr="00D84F5E">
        <w:t xml:space="preserve">. </w:t>
      </w:r>
      <w:r w:rsidRPr="00D84F5E">
        <w:rPr>
          <w:bCs/>
        </w:rPr>
        <w:t>267, 286-88</w:t>
      </w:r>
      <w:r>
        <w:rPr>
          <w:bCs/>
        </w:rPr>
        <w:t xml:space="preserve">; </w:t>
      </w:r>
      <w:r>
        <w:rPr>
          <w:rStyle w:val="StyleParaNumTimesNewRoman11ptChar"/>
          <w:i/>
          <w:sz w:val="20"/>
          <w:lang w:eastAsia="x-none"/>
        </w:rPr>
        <w:t>s</w:t>
      </w:r>
      <w:r w:rsidRPr="003C011A">
        <w:rPr>
          <w:rStyle w:val="StyleParaNumTimesNewRoman11ptChar"/>
          <w:i/>
          <w:sz w:val="20"/>
          <w:lang w:eastAsia="x-none"/>
        </w:rPr>
        <w:t>ee also, e.g.,</w:t>
      </w:r>
      <w:r w:rsidRPr="00D84F5E">
        <w:t xml:space="preserve"> </w:t>
      </w:r>
      <w:r w:rsidRPr="00D84F5E">
        <w:rPr>
          <w:i/>
        </w:rPr>
        <w:t>AT&amp;T-CPI</w:t>
      </w:r>
      <w:r w:rsidRPr="00D84F5E">
        <w:t xml:space="preserve"> </w:t>
      </w:r>
      <w:r w:rsidRPr="00D84F5E">
        <w:rPr>
          <w:i/>
        </w:rPr>
        <w:t>Order</w:t>
      </w:r>
      <w:r>
        <w:t xml:space="preserve">, 31 FCC Rcd at 323-24, </w:t>
      </w:r>
      <w:r w:rsidRPr="00D84F5E">
        <w:t xml:space="preserve">para. 13; </w:t>
      </w:r>
      <w:r w:rsidRPr="00D84F5E">
        <w:rPr>
          <w:i/>
          <w:iCs/>
        </w:rPr>
        <w:t>AT&amp;T-Club 42 Order</w:t>
      </w:r>
      <w:r w:rsidRPr="00D84F5E">
        <w:rPr>
          <w:iCs/>
        </w:rPr>
        <w:t>, 30 FCC Rcd at 13065-66, para.</w:t>
      </w:r>
      <w:r w:rsidRPr="00D84F5E">
        <w:t xml:space="preserve"> 23; </w:t>
      </w:r>
      <w:r w:rsidRPr="00D84F5E">
        <w:rPr>
          <w:i/>
        </w:rPr>
        <w:t>AT&amp;T-Plateau Wireless Order</w:t>
      </w:r>
      <w:r w:rsidRPr="00D84F5E">
        <w:t>, 30 FCC Rcd at 5118</w:t>
      </w:r>
      <w:r>
        <w:t>,</w:t>
      </w:r>
      <w:r w:rsidRPr="00D84F5E">
        <w:t xml:space="preserve"> </w:t>
      </w:r>
      <w:r>
        <w:t>para.</w:t>
      </w:r>
      <w:r w:rsidRPr="00D84F5E">
        <w:t xml:space="preserve"> 24.  No low-band spectrum is being assigned in the instant transaction and </w:t>
      </w:r>
      <w:r>
        <w:t xml:space="preserve">therefore </w:t>
      </w:r>
      <w:r w:rsidRPr="00D84F5E">
        <w:t>we do not apply enhanced factor review</w:t>
      </w:r>
      <w:r>
        <w:t>.</w:t>
      </w:r>
    </w:p>
  </w:footnote>
  <w:footnote w:id="55">
    <w:p w14:paraId="331F9E7D" w14:textId="77777777" w:rsidR="00B53330" w:rsidRDefault="00B53330" w:rsidP="00B53330">
      <w:pPr>
        <w:pStyle w:val="FootnoteText"/>
      </w:pPr>
      <w:r>
        <w:rPr>
          <w:rStyle w:val="FootnoteReference"/>
        </w:rPr>
        <w:footnoteRef/>
      </w:r>
      <w:r>
        <w:t xml:space="preserve"> The CMAs triggered by the newly revised spectrum screen are:  CMA 157 (Roanoke, VA), CMA 203 (Lynchburg, VA), </w:t>
      </w:r>
      <w:r w:rsidRPr="00382FA5">
        <w:t>CMA</w:t>
      </w:r>
      <w:r>
        <w:t xml:space="preserve"> </w:t>
      </w:r>
      <w:r w:rsidRPr="00382FA5">
        <w:t xml:space="preserve">225 </w:t>
      </w:r>
      <w:r>
        <w:t>(</w:t>
      </w:r>
      <w:r w:rsidRPr="00382FA5">
        <w:t>Altoona, PA</w:t>
      </w:r>
      <w:r>
        <w:t xml:space="preserve">), CMA 256 (Charlottesville, VA), CMA 622 (Pennsylvania 11 – Huntingdon), CMA 683 (Virginia 3 – Giles), CMA 684 (Virginia 4 – Bedford), CMA 685 (Virginia 5 – Bath), and CMA 686 (Virginia 6 – Highland).  </w:t>
      </w:r>
    </w:p>
  </w:footnote>
  <w:footnote w:id="56">
    <w:p w14:paraId="5F0FFC39" w14:textId="77777777" w:rsidR="00B53330" w:rsidRDefault="00B53330" w:rsidP="00B53330">
      <w:pPr>
        <w:pStyle w:val="FootnoteText"/>
      </w:pPr>
      <w:r>
        <w:rPr>
          <w:rStyle w:val="FootnoteReference"/>
        </w:rPr>
        <w:footnoteRef/>
      </w:r>
      <w:r>
        <w:t xml:space="preserve"> We note that the following six markets in Virginia trigger both the HHI screen and the spectrum screen:  CMA 157 (Roanoke, VA), CMA 203 (Lynchburg, VA), CMA 256 (Charlottesville, VA), CMA 684 (Virginia 4 – Bedford), CMA 685 (Virginia 5 – Bath), and CMA 686 (Virginia 6 – Highland).</w:t>
      </w:r>
    </w:p>
  </w:footnote>
  <w:footnote w:id="57">
    <w:p w14:paraId="034BF63F" w14:textId="77777777" w:rsidR="00B53330" w:rsidRDefault="00B53330" w:rsidP="00B53330">
      <w:pPr>
        <w:pStyle w:val="FootnoteText"/>
      </w:pPr>
      <w:r>
        <w:rPr>
          <w:rStyle w:val="FootnoteReference"/>
        </w:rPr>
        <w:footnoteRef/>
      </w:r>
      <w:r>
        <w:t xml:space="preserve"> Public Interest Statement at 10.</w:t>
      </w:r>
    </w:p>
  </w:footnote>
  <w:footnote w:id="58">
    <w:p w14:paraId="143272B5" w14:textId="77777777" w:rsidR="00B53330" w:rsidRDefault="00B53330" w:rsidP="00B53330">
      <w:pPr>
        <w:pStyle w:val="FootnoteText"/>
      </w:pPr>
      <w:r>
        <w:rPr>
          <w:rStyle w:val="FootnoteReference"/>
        </w:rPr>
        <w:footnoteRef/>
      </w:r>
      <w:r>
        <w:t xml:space="preserve"> </w:t>
      </w:r>
      <w:r w:rsidRPr="00936DA3">
        <w:rPr>
          <w:i/>
        </w:rPr>
        <w:t>Id</w:t>
      </w:r>
      <w:r>
        <w:t>.</w:t>
      </w:r>
    </w:p>
  </w:footnote>
  <w:footnote w:id="59">
    <w:p w14:paraId="6E67367C" w14:textId="77777777" w:rsidR="00B53330" w:rsidRDefault="00B53330" w:rsidP="00B53330">
      <w:pPr>
        <w:pStyle w:val="FootnoteText"/>
      </w:pPr>
      <w:r>
        <w:rPr>
          <w:rStyle w:val="FootnoteReference"/>
        </w:rPr>
        <w:footnoteRef/>
      </w:r>
      <w:r>
        <w:t xml:space="preserve"> </w:t>
      </w:r>
      <w:r w:rsidRPr="00733906">
        <w:rPr>
          <w:i/>
        </w:rPr>
        <w:t>Id</w:t>
      </w:r>
      <w:r>
        <w:t>. at 10-11 &amp; n. 29.</w:t>
      </w:r>
    </w:p>
  </w:footnote>
  <w:footnote w:id="60">
    <w:p w14:paraId="08A234C0" w14:textId="77777777" w:rsidR="00B53330" w:rsidRDefault="00B53330" w:rsidP="00B53330">
      <w:pPr>
        <w:pStyle w:val="FootnoteText"/>
      </w:pPr>
      <w:r>
        <w:rPr>
          <w:rStyle w:val="FootnoteReference"/>
        </w:rPr>
        <w:footnoteRef/>
      </w:r>
      <w:r>
        <w:t xml:space="preserve"> </w:t>
      </w:r>
      <w:r w:rsidRPr="00733906">
        <w:rPr>
          <w:i/>
        </w:rPr>
        <w:t>Id</w:t>
      </w:r>
      <w:r>
        <w:t>. at 11.</w:t>
      </w:r>
    </w:p>
  </w:footnote>
  <w:footnote w:id="61">
    <w:p w14:paraId="51CE6D69" w14:textId="77777777" w:rsidR="00B53330" w:rsidRDefault="00B53330" w:rsidP="00B53330">
      <w:pPr>
        <w:pStyle w:val="FootnoteText"/>
      </w:pPr>
      <w:r>
        <w:rPr>
          <w:rStyle w:val="FootnoteReference"/>
        </w:rPr>
        <w:footnoteRef/>
      </w:r>
      <w:r>
        <w:t xml:space="preserve"> </w:t>
      </w:r>
      <w:r w:rsidRPr="00733906">
        <w:rPr>
          <w:i/>
        </w:rPr>
        <w:t>Id</w:t>
      </w:r>
      <w:r>
        <w:t>. at 11-12.</w:t>
      </w:r>
    </w:p>
  </w:footnote>
  <w:footnote w:id="62">
    <w:p w14:paraId="77482FCE" w14:textId="77777777" w:rsidR="00B53330" w:rsidRDefault="00B53330" w:rsidP="00B53330">
      <w:pPr>
        <w:pStyle w:val="FootnoteText"/>
      </w:pPr>
      <w:r>
        <w:rPr>
          <w:rStyle w:val="FootnoteReference"/>
        </w:rPr>
        <w:footnoteRef/>
      </w:r>
      <w:r>
        <w:t xml:space="preserve"> </w:t>
      </w:r>
      <w:r w:rsidRPr="00733906">
        <w:rPr>
          <w:i/>
        </w:rPr>
        <w:t>Id</w:t>
      </w:r>
      <w:r>
        <w:t>. at 6-7.</w:t>
      </w:r>
    </w:p>
  </w:footnote>
  <w:footnote w:id="63">
    <w:p w14:paraId="275EE9CC" w14:textId="77777777" w:rsidR="00B53330" w:rsidRDefault="00B53330" w:rsidP="00B53330">
      <w:pPr>
        <w:pStyle w:val="FootnoteText"/>
      </w:pPr>
      <w:r>
        <w:rPr>
          <w:rStyle w:val="FootnoteReference"/>
        </w:rPr>
        <w:footnoteRef/>
      </w:r>
      <w:r>
        <w:t xml:space="preserve"> </w:t>
      </w:r>
      <w:r w:rsidRPr="00733906">
        <w:rPr>
          <w:i/>
        </w:rPr>
        <w:t>Id</w:t>
      </w:r>
      <w:r>
        <w:t>. at 6-7.</w:t>
      </w:r>
    </w:p>
  </w:footnote>
  <w:footnote w:id="64">
    <w:p w14:paraId="7F3C099A" w14:textId="77777777" w:rsidR="00B53330" w:rsidRDefault="00B53330" w:rsidP="00B53330">
      <w:pPr>
        <w:pStyle w:val="FootnoteText"/>
      </w:pPr>
      <w:r>
        <w:rPr>
          <w:rStyle w:val="FootnoteReference"/>
        </w:rPr>
        <w:footnoteRef/>
      </w:r>
      <w:r>
        <w:t xml:space="preserve"> </w:t>
      </w:r>
      <w:r w:rsidRPr="00733906">
        <w:rPr>
          <w:i/>
        </w:rPr>
        <w:t>Id</w:t>
      </w:r>
      <w:r>
        <w:t>. at 7-8.</w:t>
      </w:r>
    </w:p>
  </w:footnote>
  <w:footnote w:id="65">
    <w:p w14:paraId="3D4958A0" w14:textId="77777777" w:rsidR="00B53330" w:rsidRDefault="00B53330" w:rsidP="00B53330">
      <w:pPr>
        <w:pStyle w:val="FootnoteText"/>
      </w:pPr>
      <w:r>
        <w:rPr>
          <w:rStyle w:val="FootnoteReference"/>
        </w:rPr>
        <w:footnoteRef/>
      </w:r>
      <w:r>
        <w:t xml:space="preserve"> </w:t>
      </w:r>
      <w:r>
        <w:rPr>
          <w:i/>
        </w:rPr>
        <w:t>Id.</w:t>
      </w:r>
      <w:r>
        <w:t xml:space="preserve"> at 7.  </w:t>
      </w:r>
      <w:r w:rsidRPr="00606338">
        <w:t>The Applicants note that Shentel does not hold any spectrum licenses and only provides wireless service through its affiliate relationship with Sprint.</w:t>
      </w:r>
      <w:r>
        <w:t xml:space="preserve">  </w:t>
      </w:r>
      <w:r w:rsidRPr="00606338">
        <w:rPr>
          <w:i/>
        </w:rPr>
        <w:t>Id.</w:t>
      </w:r>
      <w:r>
        <w:t xml:space="preserve"> </w:t>
      </w:r>
    </w:p>
  </w:footnote>
  <w:footnote w:id="66">
    <w:p w14:paraId="41D9B962" w14:textId="77777777" w:rsidR="00B53330" w:rsidRDefault="00B53330" w:rsidP="00B53330">
      <w:pPr>
        <w:pStyle w:val="FootnoteText"/>
      </w:pPr>
      <w:r>
        <w:rPr>
          <w:rStyle w:val="FootnoteReference"/>
        </w:rPr>
        <w:footnoteRef/>
      </w:r>
      <w:r>
        <w:t xml:space="preserve"> </w:t>
      </w:r>
      <w:r w:rsidRPr="00733906">
        <w:rPr>
          <w:i/>
        </w:rPr>
        <w:t>Id</w:t>
      </w:r>
      <w:r>
        <w:t>. at 8.</w:t>
      </w:r>
    </w:p>
  </w:footnote>
  <w:footnote w:id="67">
    <w:p w14:paraId="58A9B479" w14:textId="77777777" w:rsidR="00B53330" w:rsidRDefault="00B53330" w:rsidP="00B53330">
      <w:pPr>
        <w:pStyle w:val="FootnoteText"/>
      </w:pPr>
      <w:r>
        <w:rPr>
          <w:rStyle w:val="FootnoteReference"/>
        </w:rPr>
        <w:footnoteRef/>
      </w:r>
      <w:r>
        <w:t xml:space="preserve"> </w:t>
      </w:r>
      <w:r w:rsidRPr="00D22B64">
        <w:t>We derive market shares and HHIs from our analysis of data compiled in our</w:t>
      </w:r>
      <w:r>
        <w:t xml:space="preserve"> June 2015</w:t>
      </w:r>
      <w:r w:rsidRPr="00D22B64">
        <w:t xml:space="preserve"> NRUF and LNP database</w:t>
      </w:r>
      <w:r>
        <w:t xml:space="preserve">, </w:t>
      </w:r>
      <w:r w:rsidRPr="00D22B64">
        <w:t xml:space="preserve">network coverage from </w:t>
      </w:r>
      <w:r>
        <w:t xml:space="preserve">July 2015 </w:t>
      </w:r>
      <w:r w:rsidRPr="00D22B64">
        <w:t xml:space="preserve">Mosaik data and 2010 U.S. Census data, and spectrum holdings from our licensing databases and the Applications. </w:t>
      </w:r>
      <w:r>
        <w:t xml:space="preserve"> </w:t>
      </w:r>
      <w:r w:rsidRPr="00D22B64">
        <w:t>We also utilized and analyzed additional data as provided by the Applicants through our information requests.</w:t>
      </w:r>
      <w:r>
        <w:t xml:space="preserve">  </w:t>
      </w:r>
      <w:r>
        <w:rPr>
          <w:i/>
        </w:rPr>
        <w:t xml:space="preserve">See, e.g., </w:t>
      </w:r>
      <w:r w:rsidRPr="006E29EF">
        <w:rPr>
          <w:i/>
        </w:rPr>
        <w:t>AT&amp;T-CPI</w:t>
      </w:r>
      <w:r w:rsidRPr="006E29EF">
        <w:t xml:space="preserve"> </w:t>
      </w:r>
      <w:r w:rsidRPr="006E29EF">
        <w:rPr>
          <w:i/>
        </w:rPr>
        <w:t>Order</w:t>
      </w:r>
      <w:r>
        <w:t>, 31 FCC Rcd at 325,</w:t>
      </w:r>
      <w:r w:rsidRPr="00AC1A9B">
        <w:t xml:space="preserve"> </w:t>
      </w:r>
      <w:r>
        <w:t xml:space="preserve">para. 16 &amp; n.51; </w:t>
      </w:r>
      <w:r w:rsidRPr="007C0B35">
        <w:rPr>
          <w:i/>
        </w:rPr>
        <w:t>AT</w:t>
      </w:r>
      <w:r w:rsidRPr="009B3B62">
        <w:rPr>
          <w:i/>
        </w:rPr>
        <w:t>&amp;T-Plateau Wireless Order</w:t>
      </w:r>
      <w:r>
        <w:t>, 30 FCC Rcd at 5120, para. 29 &amp; n.98</w:t>
      </w:r>
      <w:r>
        <w:rPr>
          <w:iCs/>
        </w:rPr>
        <w:t xml:space="preserve">.  </w:t>
      </w:r>
    </w:p>
  </w:footnote>
  <w:footnote w:id="68">
    <w:p w14:paraId="017D77ED" w14:textId="77777777" w:rsidR="00B53330" w:rsidRPr="000F3FBF" w:rsidRDefault="00B53330" w:rsidP="00B53330">
      <w:pPr>
        <w:pStyle w:val="FootnoteText"/>
      </w:pPr>
      <w:r>
        <w:rPr>
          <w:rStyle w:val="FootnoteReference"/>
        </w:rPr>
        <w:footnoteRef/>
      </w:r>
      <w:r>
        <w:t xml:space="preserve"> </w:t>
      </w:r>
      <w:r>
        <w:rPr>
          <w:i/>
        </w:rPr>
        <w:t xml:space="preserve">See supra </w:t>
      </w:r>
      <w:r>
        <w:t>para. 19.</w:t>
      </w:r>
    </w:p>
  </w:footnote>
  <w:footnote w:id="69">
    <w:p w14:paraId="456E7D23" w14:textId="77777777" w:rsidR="00B53330" w:rsidRDefault="00B53330" w:rsidP="00B53330">
      <w:pPr>
        <w:pStyle w:val="FootnoteText"/>
      </w:pPr>
      <w:r>
        <w:rPr>
          <w:rStyle w:val="FootnoteReference"/>
        </w:rPr>
        <w:footnoteRef/>
      </w:r>
      <w:r>
        <w:t xml:space="preserve"> While NTELOS has various agreements with Sprint, it has operated as an independent facilities-based service provider – providing an NTELOS-branded service with NTELOS pricing plans in competition with Sprint offerings.</w:t>
      </w:r>
    </w:p>
  </w:footnote>
  <w:footnote w:id="70">
    <w:p w14:paraId="3AC390D7" w14:textId="77777777" w:rsidR="00B53330" w:rsidRDefault="00B53330" w:rsidP="00B53330">
      <w:pPr>
        <w:pStyle w:val="FootnoteText"/>
      </w:pPr>
      <w:r>
        <w:rPr>
          <w:rStyle w:val="FootnoteReference"/>
        </w:rPr>
        <w:footnoteRef/>
      </w:r>
      <w:r>
        <w:t xml:space="preserve"> As a result of the instant transaction, Sprint</w:t>
      </w:r>
      <w:r w:rsidRPr="00DA6509">
        <w:t xml:space="preserve"> would also acquire </w:t>
      </w:r>
      <w:r>
        <w:t>an additional 30 megahertz to 105.3 megahertz of spectrum in at least one county in the following five markets:  CMA 681 (Virginia 1 – Lee), CMA 682 (Virginia 2 – Tazewell), CMA 687 (Virginia 7 – Buckingham), CMA 688 (Virginia 8 – Amelia), and CMA 691 (Virginia 11 – Madison).  These markets do not trigger our two-part screen</w:t>
      </w:r>
      <w:r w:rsidRPr="005E672D">
        <w:t>, nor do we find any particular factor that would lead us to undertake further competitive review.</w:t>
      </w:r>
      <w:r>
        <w:t xml:space="preserve">  Further, in CMA 59 (Richmond, VA), NTELOS is currently leasing spectrum from Sprint in Goochland County, and consequently, there is no increase in Sprint’s attributable spectrum holdings as a result of the proposed transaction in this local market.</w:t>
      </w:r>
    </w:p>
  </w:footnote>
  <w:footnote w:id="71">
    <w:p w14:paraId="7B986756" w14:textId="77777777" w:rsidR="00B53330" w:rsidRDefault="00B53330" w:rsidP="00B53330">
      <w:pPr>
        <w:pStyle w:val="FootnoteText"/>
      </w:pPr>
      <w:r>
        <w:rPr>
          <w:rStyle w:val="FootnoteReference"/>
        </w:rPr>
        <w:footnoteRef/>
      </w:r>
      <w:r>
        <w:t xml:space="preserve"> </w:t>
      </w:r>
      <w:r w:rsidRPr="001B16D0">
        <w:t>Roanoke</w:t>
      </w:r>
      <w:r>
        <w:t xml:space="preserve"> is a non-rural market with a population of approximately 253,000 and a population density of 214.  </w:t>
      </w:r>
      <w:r w:rsidRPr="00B92086">
        <w:t>Lynchburg</w:t>
      </w:r>
      <w:r>
        <w:t xml:space="preserve"> is a non-rural market with a population of approximately 178,000 and a population density of 130.  </w:t>
      </w:r>
      <w:r w:rsidRPr="00704CDB">
        <w:t>Charlottesville</w:t>
      </w:r>
      <w:r>
        <w:t xml:space="preserve"> is a non-rural market with a population of approximately 187,000 and a population density of 159.</w:t>
      </w:r>
      <w:r>
        <w:rPr>
          <w:bCs/>
        </w:rPr>
        <w:t xml:space="preserve">  </w:t>
      </w:r>
      <w:r w:rsidRPr="00F4710D">
        <w:t xml:space="preserve">Virginia </w:t>
      </w:r>
      <w:r>
        <w:t>4</w:t>
      </w:r>
      <w:r w:rsidRPr="00F4710D">
        <w:t xml:space="preserve"> – B</w:t>
      </w:r>
      <w:r>
        <w:t xml:space="preserve">edford is a non-rural market with a population of approximately 199,000 and a population density of 108.  </w:t>
      </w:r>
      <w:r w:rsidRPr="00F4710D">
        <w:t>Virginia 5 – Bath</w:t>
      </w:r>
      <w:r>
        <w:t xml:space="preserve"> is a rural market with a population of approximately 63,000 and a population density of 40.  Virginia 6 – Highland is a rural market with a population of approximately 261,000 and a population density of 95.  </w:t>
      </w:r>
    </w:p>
  </w:footnote>
  <w:footnote w:id="72">
    <w:p w14:paraId="20C14947" w14:textId="77777777" w:rsidR="00B53330" w:rsidRDefault="00B53330" w:rsidP="00B53330">
      <w:pPr>
        <w:pStyle w:val="FootnoteText"/>
      </w:pPr>
      <w:r>
        <w:rPr>
          <w:rStyle w:val="FootnoteReference"/>
        </w:rPr>
        <w:footnoteRef/>
      </w:r>
      <w:r>
        <w:t xml:space="preserve"> </w:t>
      </w:r>
      <w:r w:rsidRPr="00AC6C98">
        <w:t>Danville</w:t>
      </w:r>
      <w:r>
        <w:t xml:space="preserve"> is a non-rural market with a population of approximately 107,000 and a population density of 105.  Virginia 10 – Frederick is a non-rural market with a population of approximately 295,000 and a population density of 116.  </w:t>
      </w:r>
      <w:r w:rsidRPr="00C02BFF">
        <w:t>Virginia 3 – Giles</w:t>
      </w:r>
      <w:r>
        <w:t xml:space="preserve"> is a rural market with a population of approximately 227,000 and a population density of 94.  </w:t>
      </w:r>
    </w:p>
  </w:footnote>
  <w:footnote w:id="73">
    <w:p w14:paraId="3224E629" w14:textId="77777777" w:rsidR="00B53330" w:rsidRPr="00936DA3" w:rsidRDefault="00B53330" w:rsidP="00B53330">
      <w:pPr>
        <w:pStyle w:val="FootnoteText"/>
        <w:rPr>
          <w:b/>
        </w:rPr>
      </w:pPr>
      <w:r>
        <w:rPr>
          <w:rStyle w:val="FootnoteReference"/>
        </w:rPr>
        <w:footnoteRef/>
      </w:r>
      <w:r>
        <w:t xml:space="preserve"> AT&amp;T’s spectrum holdings range from 68 megahertz to 98 megahertz, while T-Mobile’s spectrum holdings range from 30 megahertz to 60 megahertz, USCC’s spectrum holdings range from 12 megahertz to 49 megahertz, and Verizon Wireless’s holdings range from 97 megahertz to 132 megahertz.  In addition, DISH holds 66 megahertz to 71 megahertz across these markets, while Continuum 700 currently holds 12 megahertz of spectrum in Charlottesville, and parts of Virginia 6 – Highland, and Cavalier Wireless currently holds 12 megahertz of spectrum in all or parts of Virginia 3 – Giles, Virginia 4 – Bedford, Virginia 5 – Bath, and Virginia 6 – Highland.  </w:t>
      </w:r>
    </w:p>
  </w:footnote>
  <w:footnote w:id="74">
    <w:p w14:paraId="4C9E83AB" w14:textId="0C50434F" w:rsidR="00B53330" w:rsidRDefault="00B53330" w:rsidP="00B53330">
      <w:pPr>
        <w:pStyle w:val="FootnoteText"/>
      </w:pPr>
      <w:r>
        <w:rPr>
          <w:rStyle w:val="FootnoteReference"/>
        </w:rPr>
        <w:footnoteRef/>
      </w:r>
      <w:r>
        <w:t xml:space="preserve"> </w:t>
      </w:r>
      <w:r w:rsidRPr="00E54D7C">
        <w:t>The post-</w:t>
      </w:r>
      <w:r>
        <w:t>transaction</w:t>
      </w:r>
      <w:r w:rsidRPr="00E54D7C">
        <w:t xml:space="preserve"> HHI in </w:t>
      </w:r>
      <w:r>
        <w:t xml:space="preserve">each of </w:t>
      </w:r>
      <w:r w:rsidRPr="00053890">
        <w:t xml:space="preserve">Roanoke, Lynchburg, </w:t>
      </w:r>
      <w:r w:rsidRPr="006E29EF">
        <w:t xml:space="preserve">Charlottesville, </w:t>
      </w:r>
      <w:r>
        <w:t xml:space="preserve">Danville, Virginia 4 – Bedford, </w:t>
      </w:r>
      <w:r w:rsidRPr="006E29EF">
        <w:t>Virginia 5 – Bath,</w:t>
      </w:r>
      <w:r w:rsidRPr="00053890">
        <w:t xml:space="preserve"> </w:t>
      </w:r>
      <w:r w:rsidRPr="006E29EF">
        <w:t>Virginia 6 – Highland</w:t>
      </w:r>
      <w:r>
        <w:t xml:space="preserve">, and Virginia 10 –Frederick would be </w:t>
      </w:r>
      <w:r w:rsidRPr="002A5C93">
        <w:rPr>
          <w:b/>
        </w:rPr>
        <w:t>[</w:t>
      </w:r>
      <w:r w:rsidR="00D87AC4">
        <w:rPr>
          <w:b/>
        </w:rPr>
        <w:t>REDACTED</w:t>
      </w:r>
      <w:r w:rsidRPr="002A5C93">
        <w:rPr>
          <w:b/>
        </w:rPr>
        <w:t>]</w:t>
      </w:r>
      <w:r>
        <w:t>,</w:t>
      </w:r>
      <w:r>
        <w:rPr>
          <w:b/>
        </w:rPr>
        <w:t xml:space="preserve"> </w:t>
      </w:r>
      <w:r>
        <w:t>respectively</w:t>
      </w:r>
      <w:r w:rsidRPr="00E54D7C">
        <w:t xml:space="preserve">, </w:t>
      </w:r>
      <w:r>
        <w:t>with a change in the HHI of</w:t>
      </w:r>
      <w:r w:rsidRPr="00E54D7C">
        <w:t xml:space="preserve"> </w:t>
      </w:r>
      <w:r w:rsidRPr="002A5C93">
        <w:rPr>
          <w:b/>
        </w:rPr>
        <w:t>[</w:t>
      </w:r>
      <w:r w:rsidR="00D87AC4">
        <w:rPr>
          <w:b/>
        </w:rPr>
        <w:t>REDACTED</w:t>
      </w:r>
      <w:r w:rsidRPr="002A5C93">
        <w:rPr>
          <w:b/>
        </w:rPr>
        <w:t>]</w:t>
      </w:r>
      <w:r>
        <w:t xml:space="preserve">, respectively, in these eight markets.  </w:t>
      </w:r>
    </w:p>
  </w:footnote>
  <w:footnote w:id="75">
    <w:p w14:paraId="782E099D" w14:textId="77777777" w:rsidR="00B53330" w:rsidRDefault="00B53330" w:rsidP="00B53330">
      <w:pPr>
        <w:pStyle w:val="FootnoteText"/>
      </w:pPr>
      <w:r>
        <w:rPr>
          <w:rStyle w:val="FootnoteReference"/>
        </w:rPr>
        <w:footnoteRef/>
      </w:r>
      <w:r>
        <w:t xml:space="preserve"> While Virginia 10 – Frederick does trigger the HHI screen, NTELOS does not have a significant market share or significant 3G or better coverage in this market.  Accordingly, there would be no reduction in the number of significant service providers as a result of the proposed transaction.  We find no reason for further competitive review of this particular market.</w:t>
      </w:r>
    </w:p>
  </w:footnote>
  <w:footnote w:id="76">
    <w:p w14:paraId="1933CBB7" w14:textId="5FE1C0BD" w:rsidR="00B53330" w:rsidRDefault="00B53330" w:rsidP="00B53330">
      <w:pPr>
        <w:pStyle w:val="FootnoteText"/>
      </w:pPr>
      <w:r>
        <w:rPr>
          <w:rStyle w:val="FootnoteReference"/>
        </w:rPr>
        <w:footnoteRef/>
      </w:r>
      <w:r>
        <w:t xml:space="preserve"> Across </w:t>
      </w:r>
      <w:r w:rsidRPr="00053890">
        <w:t xml:space="preserve">Roanoke, Lynchburg, </w:t>
      </w:r>
      <w:r w:rsidRPr="006E29EF">
        <w:t xml:space="preserve">Charlottesville, </w:t>
      </w:r>
      <w:r>
        <w:t xml:space="preserve">Danville, Virginia 4 – Bedford, </w:t>
      </w:r>
      <w:r w:rsidRPr="006E29EF">
        <w:t>Virginia 5 – Bath,</w:t>
      </w:r>
      <w:r w:rsidRPr="00053890">
        <w:t xml:space="preserve"> </w:t>
      </w:r>
      <w:r>
        <w:t xml:space="preserve">and </w:t>
      </w:r>
      <w:r w:rsidRPr="006E29EF">
        <w:t>Virginia 6 – Highland</w:t>
      </w:r>
      <w:r>
        <w:t>,</w:t>
      </w:r>
      <w:r>
        <w:rPr>
          <w:szCs w:val="22"/>
        </w:rPr>
        <w:t xml:space="preserve"> AT&amp;T</w:t>
      </w:r>
      <w:r>
        <w:t xml:space="preserve">’s market share ranges from approximately </w:t>
      </w:r>
      <w:r w:rsidRPr="00F9068D">
        <w:rPr>
          <w:b/>
          <w:bCs/>
        </w:rPr>
        <w:t>[</w:t>
      </w:r>
      <w:r w:rsidR="00D87AC4">
        <w:rPr>
          <w:b/>
          <w:bCs/>
        </w:rPr>
        <w:t>REDACTED</w:t>
      </w:r>
      <w:r w:rsidRPr="00F9068D">
        <w:rPr>
          <w:b/>
          <w:bCs/>
        </w:rPr>
        <w:t>]</w:t>
      </w:r>
      <w:r w:rsidRPr="001557C8">
        <w:rPr>
          <w:szCs w:val="22"/>
        </w:rPr>
        <w:t xml:space="preserve">%, </w:t>
      </w:r>
      <w:r>
        <w:rPr>
          <w:szCs w:val="22"/>
        </w:rPr>
        <w:t xml:space="preserve">while </w:t>
      </w:r>
      <w:r>
        <w:t xml:space="preserve">Verizon Wireless’s market share ranges from approximately </w:t>
      </w:r>
      <w:r w:rsidRPr="00F9068D">
        <w:rPr>
          <w:b/>
          <w:bCs/>
        </w:rPr>
        <w:t>[</w:t>
      </w:r>
      <w:r w:rsidR="00D87AC4">
        <w:rPr>
          <w:b/>
          <w:bCs/>
        </w:rPr>
        <w:t>REDACTED</w:t>
      </w:r>
      <w:r w:rsidRPr="00F9068D">
        <w:rPr>
          <w:b/>
          <w:bCs/>
        </w:rPr>
        <w:t>]</w:t>
      </w:r>
      <w:r w:rsidRPr="001557C8">
        <w:rPr>
          <w:szCs w:val="22"/>
        </w:rPr>
        <w:t>%</w:t>
      </w:r>
      <w:r>
        <w:rPr>
          <w:szCs w:val="22"/>
        </w:rPr>
        <w:t xml:space="preserve">. </w:t>
      </w:r>
      <w:r w:rsidRPr="001557C8">
        <w:rPr>
          <w:szCs w:val="22"/>
        </w:rPr>
        <w:t xml:space="preserve"> </w:t>
      </w:r>
      <w:r>
        <w:t xml:space="preserve">T-Mobile’s market share in the six markets in which it has at least some market presence ranges from approximately </w:t>
      </w:r>
      <w:r w:rsidRPr="00F9068D">
        <w:rPr>
          <w:b/>
          <w:bCs/>
        </w:rPr>
        <w:t>[</w:t>
      </w:r>
      <w:r w:rsidR="00D87AC4">
        <w:rPr>
          <w:b/>
          <w:bCs/>
        </w:rPr>
        <w:t>REDACTED</w:t>
      </w:r>
      <w:r w:rsidRPr="00F9068D">
        <w:rPr>
          <w:b/>
          <w:bCs/>
        </w:rPr>
        <w:t>]</w:t>
      </w:r>
      <w:r w:rsidRPr="001557C8">
        <w:rPr>
          <w:szCs w:val="22"/>
        </w:rPr>
        <w:t xml:space="preserve">%, </w:t>
      </w:r>
      <w:r>
        <w:rPr>
          <w:szCs w:val="22"/>
        </w:rPr>
        <w:t xml:space="preserve">while </w:t>
      </w:r>
      <w:r>
        <w:t xml:space="preserve">USCC’s market share in the five markets in which it has a significant market share ranges from approximately </w:t>
      </w:r>
      <w:r w:rsidRPr="00F9068D">
        <w:rPr>
          <w:b/>
          <w:bCs/>
        </w:rPr>
        <w:t>[</w:t>
      </w:r>
      <w:r w:rsidR="00D87AC4">
        <w:rPr>
          <w:b/>
          <w:bCs/>
        </w:rPr>
        <w:t>REDACTED</w:t>
      </w:r>
      <w:r w:rsidRPr="00F9068D">
        <w:rPr>
          <w:b/>
          <w:bCs/>
        </w:rPr>
        <w:t>]</w:t>
      </w:r>
      <w:r>
        <w:rPr>
          <w:szCs w:val="22"/>
        </w:rPr>
        <w:t>%</w:t>
      </w:r>
      <w:r w:rsidRPr="001557C8">
        <w:rPr>
          <w:szCs w:val="22"/>
        </w:rPr>
        <w:t>.</w:t>
      </w:r>
      <w:r>
        <w:rPr>
          <w:szCs w:val="22"/>
        </w:rPr>
        <w:t xml:space="preserve">  In each of these markets, there would be at least three other service providers with a significant market share post-transaction.</w:t>
      </w:r>
    </w:p>
  </w:footnote>
  <w:footnote w:id="77">
    <w:p w14:paraId="731AF2BC" w14:textId="4E18F76E" w:rsidR="00B53330" w:rsidRPr="00406B42" w:rsidRDefault="00B53330" w:rsidP="00B53330">
      <w:pPr>
        <w:spacing w:after="120"/>
        <w:rPr>
          <w:sz w:val="20"/>
        </w:rPr>
      </w:pPr>
      <w:r w:rsidRPr="00406B42">
        <w:rPr>
          <w:rStyle w:val="FootnoteReference"/>
        </w:rPr>
        <w:footnoteRef/>
      </w:r>
      <w:r w:rsidRPr="00BB5F2E">
        <w:rPr>
          <w:sz w:val="20"/>
        </w:rPr>
        <w:t xml:space="preserve"> </w:t>
      </w:r>
      <w:r w:rsidRPr="00942938">
        <w:rPr>
          <w:sz w:val="20"/>
        </w:rPr>
        <w:t>In Danville and Virginia 6 – Highland, a</w:t>
      </w:r>
      <w:r w:rsidRPr="00942938">
        <w:rPr>
          <w:sz w:val="20"/>
          <w:lang w:eastAsia="zh-CN"/>
        </w:rPr>
        <w:t>pproximately</w:t>
      </w:r>
      <w:r w:rsidRPr="00942938">
        <w:rPr>
          <w:sz w:val="20"/>
        </w:rPr>
        <w:t xml:space="preserve"> </w:t>
      </w:r>
      <w:r w:rsidRPr="00942938">
        <w:rPr>
          <w:b/>
          <w:bCs/>
          <w:sz w:val="20"/>
        </w:rPr>
        <w:t>[</w:t>
      </w:r>
      <w:r w:rsidR="00D87AC4">
        <w:rPr>
          <w:b/>
          <w:bCs/>
          <w:sz w:val="20"/>
        </w:rPr>
        <w:t>REDACTED</w:t>
      </w:r>
      <w:r w:rsidRPr="00942938">
        <w:rPr>
          <w:b/>
          <w:bCs/>
          <w:sz w:val="20"/>
        </w:rPr>
        <w:t>]</w:t>
      </w:r>
      <w:r w:rsidRPr="00942938">
        <w:rPr>
          <w:sz w:val="20"/>
        </w:rPr>
        <w:t xml:space="preserve">% of </w:t>
      </w:r>
      <w:r>
        <w:rPr>
          <w:sz w:val="20"/>
        </w:rPr>
        <w:t>NTELOS</w:t>
      </w:r>
      <w:r w:rsidRPr="00942938">
        <w:rPr>
          <w:sz w:val="20"/>
        </w:rPr>
        <w:t>’s subscribers who ported out ported to Sprint</w:t>
      </w:r>
      <w:r>
        <w:rPr>
          <w:sz w:val="20"/>
        </w:rPr>
        <w:t>, more than to any other service provider,</w:t>
      </w:r>
      <w:r w:rsidRPr="00942938">
        <w:rPr>
          <w:sz w:val="20"/>
        </w:rPr>
        <w:t xml:space="preserve"> and approximately </w:t>
      </w:r>
      <w:r w:rsidRPr="00942938">
        <w:rPr>
          <w:b/>
          <w:bCs/>
          <w:sz w:val="20"/>
        </w:rPr>
        <w:t>[</w:t>
      </w:r>
      <w:r w:rsidR="00D87AC4">
        <w:rPr>
          <w:b/>
          <w:bCs/>
          <w:sz w:val="20"/>
        </w:rPr>
        <w:t>REDACTED</w:t>
      </w:r>
      <w:r w:rsidRPr="00942938">
        <w:rPr>
          <w:b/>
          <w:bCs/>
          <w:sz w:val="20"/>
        </w:rPr>
        <w:t>]</w:t>
      </w:r>
      <w:r w:rsidRPr="00942938">
        <w:rPr>
          <w:sz w:val="20"/>
        </w:rPr>
        <w:t xml:space="preserve">% of Sprint’s subscribers who ported out ported to </w:t>
      </w:r>
      <w:r>
        <w:rPr>
          <w:sz w:val="20"/>
        </w:rPr>
        <w:t>NTELOS</w:t>
      </w:r>
      <w:r w:rsidRPr="00942938">
        <w:rPr>
          <w:sz w:val="20"/>
        </w:rPr>
        <w:t>.</w:t>
      </w:r>
      <w:r>
        <w:rPr>
          <w:sz w:val="20"/>
        </w:rPr>
        <w:t xml:space="preserve">  </w:t>
      </w:r>
      <w:r w:rsidRPr="00BB5F2E">
        <w:rPr>
          <w:sz w:val="20"/>
        </w:rPr>
        <w:t xml:space="preserve">In </w:t>
      </w:r>
      <w:r>
        <w:rPr>
          <w:sz w:val="20"/>
        </w:rPr>
        <w:t xml:space="preserve">each of </w:t>
      </w:r>
      <w:r w:rsidRPr="00BB5F2E">
        <w:rPr>
          <w:sz w:val="20"/>
        </w:rPr>
        <w:t>Roanoke, Lynchburg, Charlottesville, Virginia 3 – Giles</w:t>
      </w:r>
      <w:r>
        <w:rPr>
          <w:sz w:val="20"/>
        </w:rPr>
        <w:t>,</w:t>
      </w:r>
      <w:r w:rsidRPr="00BB5F2E">
        <w:rPr>
          <w:sz w:val="20"/>
        </w:rPr>
        <w:t xml:space="preserve"> Virginia 4 – Bedford, and Virginia 5 – Bath, a</w:t>
      </w:r>
      <w:r w:rsidRPr="00BB5F2E">
        <w:rPr>
          <w:sz w:val="20"/>
          <w:lang w:eastAsia="zh-CN"/>
        </w:rPr>
        <w:t>pproximately</w:t>
      </w:r>
      <w:r w:rsidRPr="00BB5F2E">
        <w:rPr>
          <w:sz w:val="20"/>
        </w:rPr>
        <w:t xml:space="preserve"> </w:t>
      </w:r>
      <w:r w:rsidRPr="00BB5F2E">
        <w:rPr>
          <w:b/>
          <w:bCs/>
          <w:sz w:val="20"/>
        </w:rPr>
        <w:t>[</w:t>
      </w:r>
      <w:r w:rsidR="00D87AC4">
        <w:rPr>
          <w:b/>
          <w:bCs/>
          <w:sz w:val="20"/>
        </w:rPr>
        <w:t>REDACTED</w:t>
      </w:r>
      <w:r w:rsidRPr="00BB5F2E">
        <w:rPr>
          <w:b/>
          <w:bCs/>
          <w:sz w:val="20"/>
        </w:rPr>
        <w:t>]</w:t>
      </w:r>
      <w:r w:rsidRPr="00BB5F2E">
        <w:rPr>
          <w:sz w:val="20"/>
        </w:rPr>
        <w:t xml:space="preserve">% of </w:t>
      </w:r>
      <w:r>
        <w:rPr>
          <w:sz w:val="20"/>
        </w:rPr>
        <w:t>NTELOS</w:t>
      </w:r>
      <w:r w:rsidRPr="00BB5F2E">
        <w:rPr>
          <w:sz w:val="20"/>
        </w:rPr>
        <w:t xml:space="preserve">’s subscribers who ported out ported to Sprint and approximately </w:t>
      </w:r>
      <w:r w:rsidRPr="00BB5F2E">
        <w:rPr>
          <w:b/>
          <w:bCs/>
          <w:sz w:val="20"/>
        </w:rPr>
        <w:t>[</w:t>
      </w:r>
      <w:r w:rsidR="00D87AC4">
        <w:rPr>
          <w:b/>
          <w:bCs/>
          <w:sz w:val="20"/>
        </w:rPr>
        <w:t>REDACTED</w:t>
      </w:r>
      <w:r w:rsidRPr="00BB5F2E">
        <w:rPr>
          <w:b/>
          <w:bCs/>
          <w:sz w:val="20"/>
        </w:rPr>
        <w:t>]</w:t>
      </w:r>
      <w:r w:rsidRPr="00BB5F2E">
        <w:rPr>
          <w:sz w:val="20"/>
        </w:rPr>
        <w:t xml:space="preserve">% of Sprint’s subscribers who ported out ported to </w:t>
      </w:r>
      <w:r>
        <w:rPr>
          <w:sz w:val="20"/>
        </w:rPr>
        <w:t>NTELOS</w:t>
      </w:r>
      <w:r w:rsidRPr="00BB5F2E">
        <w:rPr>
          <w:sz w:val="20"/>
        </w:rPr>
        <w:t>.</w:t>
      </w:r>
      <w:r>
        <w:rPr>
          <w:sz w:val="20"/>
        </w:rPr>
        <w:t xml:space="preserve">  2014 LNP data; </w:t>
      </w:r>
      <w:r w:rsidRPr="00BB5F2E">
        <w:rPr>
          <w:sz w:val="20"/>
        </w:rPr>
        <w:t xml:space="preserve">NTLS-001072; </w:t>
      </w:r>
      <w:r>
        <w:rPr>
          <w:sz w:val="20"/>
        </w:rPr>
        <w:t>Letter from James B. Goldstein, Senior Counsel, Government Affairs, Sprint Corporation, to Marlene H. Dortch, Secretary, Federal Communications Commission (</w:t>
      </w:r>
      <w:r w:rsidRPr="00BB5F2E">
        <w:rPr>
          <w:sz w:val="20"/>
        </w:rPr>
        <w:t>Feb</w:t>
      </w:r>
      <w:r>
        <w:rPr>
          <w:sz w:val="20"/>
        </w:rPr>
        <w:t xml:space="preserve">. </w:t>
      </w:r>
      <w:r w:rsidRPr="00BB5F2E">
        <w:rPr>
          <w:sz w:val="20"/>
        </w:rPr>
        <w:t>12, 2016</w:t>
      </w:r>
      <w:r>
        <w:rPr>
          <w:sz w:val="20"/>
        </w:rPr>
        <w:t>)</w:t>
      </w:r>
      <w:r w:rsidRPr="00BB5F2E">
        <w:rPr>
          <w:sz w:val="20"/>
        </w:rPr>
        <w:t xml:space="preserve"> (Sprint Amended Information Request Response)</w:t>
      </w:r>
      <w:r>
        <w:rPr>
          <w:sz w:val="20"/>
        </w:rPr>
        <w:t>.</w:t>
      </w:r>
    </w:p>
  </w:footnote>
  <w:footnote w:id="78">
    <w:p w14:paraId="6BDF0C88" w14:textId="77777777" w:rsidR="00B53330" w:rsidRDefault="00B53330" w:rsidP="00B53330">
      <w:pPr>
        <w:pStyle w:val="FootnoteText"/>
      </w:pPr>
      <w:r>
        <w:rPr>
          <w:rStyle w:val="FootnoteReference"/>
        </w:rPr>
        <w:footnoteRef/>
      </w:r>
      <w:r>
        <w:t xml:space="preserve"> It has previously been found that coverage of 70% or more of the population and 50% or more of the land area is presumptively sufficient for a service provider to have a competitive presence in the market.  </w:t>
      </w:r>
      <w:r>
        <w:rPr>
          <w:i/>
        </w:rPr>
        <w:t>See</w:t>
      </w:r>
      <w:r w:rsidRPr="0002735B">
        <w:t>,</w:t>
      </w:r>
      <w:r>
        <w:rPr>
          <w:i/>
        </w:rPr>
        <w:t xml:space="preserve"> e.g.</w:t>
      </w:r>
      <w:r w:rsidRPr="0002735B">
        <w:t>,</w:t>
      </w:r>
      <w:r>
        <w:rPr>
          <w:i/>
        </w:rPr>
        <w:t xml:space="preserve"> </w:t>
      </w:r>
      <w:r w:rsidRPr="006E29EF">
        <w:rPr>
          <w:i/>
        </w:rPr>
        <w:t>AT&amp;T-CPI</w:t>
      </w:r>
      <w:r w:rsidRPr="006E29EF">
        <w:t xml:space="preserve"> </w:t>
      </w:r>
      <w:r w:rsidRPr="006E29EF">
        <w:rPr>
          <w:i/>
        </w:rPr>
        <w:t>Order</w:t>
      </w:r>
      <w:r>
        <w:t>, 31 FCC Rcd at 325-26,</w:t>
      </w:r>
      <w:r w:rsidRPr="00AC1A9B">
        <w:t xml:space="preserve"> </w:t>
      </w:r>
      <w:r>
        <w:t xml:space="preserve">para. 18 &amp; n.56; </w:t>
      </w:r>
      <w:r w:rsidRPr="009B3B62">
        <w:rPr>
          <w:i/>
        </w:rPr>
        <w:t>AT&amp;T-Plateau Wireless Order</w:t>
      </w:r>
      <w:r>
        <w:t xml:space="preserve">, </w:t>
      </w:r>
      <w:r w:rsidRPr="00191EEE">
        <w:t>30 FCC Rcd at 5121</w:t>
      </w:r>
      <w:r>
        <w:t>, para. 31 &amp;</w:t>
      </w:r>
      <w:r w:rsidRPr="00191EEE">
        <w:t xml:space="preserve"> </w:t>
      </w:r>
      <w:r>
        <w:t xml:space="preserve">n.102; </w:t>
      </w:r>
      <w:r>
        <w:rPr>
          <w:i/>
        </w:rPr>
        <w:t>AT&amp;T-Leap Order</w:t>
      </w:r>
      <w:r>
        <w:t>, 29 FCC Rcd at 2770, para. 81 &amp; n.279.</w:t>
      </w:r>
    </w:p>
  </w:footnote>
  <w:footnote w:id="79">
    <w:p w14:paraId="66F0AF85" w14:textId="77777777" w:rsidR="00B53330" w:rsidRDefault="00B53330" w:rsidP="00B53330">
      <w:pPr>
        <w:pStyle w:val="FootnoteText"/>
      </w:pPr>
      <w:r>
        <w:rPr>
          <w:rStyle w:val="FootnoteReference"/>
        </w:rPr>
        <w:footnoteRef/>
      </w:r>
      <w:r>
        <w:t xml:space="preserve"> In Virginia 3 – Giles, NTELOS covers approximately 68% of the population with 3G, while in the other seven markets in this cluster, its 3G population coverage is at least approximately 73%.  NTELOS does not have significant 3G land area coverage in any of these markets, with the exception of Virginia 4 – Bedford, in which it covers approximately 53% of the land area.  Otherwise, its 3G land area coverage ranges from approximately 26% to 45%.  </w:t>
      </w:r>
    </w:p>
    <w:p w14:paraId="3A8A73BC" w14:textId="354C2DE9" w:rsidR="00B53330" w:rsidRDefault="00B53330" w:rsidP="00B53330">
      <w:pPr>
        <w:pStyle w:val="FootnoteText"/>
      </w:pPr>
      <w:r>
        <w:t xml:space="preserve">According to our analysis of the data submitted by the Applicants, </w:t>
      </w:r>
      <w:r w:rsidRPr="0054420E">
        <w:rPr>
          <w:szCs w:val="22"/>
        </w:rPr>
        <w:t xml:space="preserve">in </w:t>
      </w:r>
      <w:r>
        <w:rPr>
          <w:szCs w:val="22"/>
        </w:rPr>
        <w:t xml:space="preserve">each of </w:t>
      </w:r>
      <w:r w:rsidRPr="00053890">
        <w:t xml:space="preserve">Roanoke, Lynchburg, </w:t>
      </w:r>
      <w:r w:rsidRPr="006E29EF">
        <w:t xml:space="preserve">Charlottesville, </w:t>
      </w:r>
      <w:r>
        <w:t xml:space="preserve">Danville, Virginia 3 – Giles, Virginia 4 – Bedford, </w:t>
      </w:r>
      <w:r w:rsidRPr="006E29EF">
        <w:t>Virginia 5 – Bath,</w:t>
      </w:r>
      <w:r w:rsidRPr="00053890">
        <w:t xml:space="preserve"> </w:t>
      </w:r>
      <w:r>
        <w:t xml:space="preserve">and </w:t>
      </w:r>
      <w:r w:rsidRPr="006E29EF">
        <w:t>Virginia 6 – Highland</w:t>
      </w:r>
      <w:r>
        <w:t xml:space="preserve">, NTELOS covers approximately </w:t>
      </w:r>
      <w:r w:rsidRPr="00075569">
        <w:rPr>
          <w:b/>
        </w:rPr>
        <w:t>[</w:t>
      </w:r>
      <w:r w:rsidR="00D87AC4">
        <w:rPr>
          <w:b/>
        </w:rPr>
        <w:t>REDACTED</w:t>
      </w:r>
      <w:r w:rsidRPr="00D7220E">
        <w:rPr>
          <w:b/>
        </w:rPr>
        <w:t>]</w:t>
      </w:r>
      <w:r>
        <w:t xml:space="preserve">% of the population with 3G, and approximately </w:t>
      </w:r>
      <w:r w:rsidRPr="00D7220E">
        <w:rPr>
          <w:b/>
        </w:rPr>
        <w:t>[</w:t>
      </w:r>
      <w:r w:rsidR="00D87AC4">
        <w:rPr>
          <w:b/>
        </w:rPr>
        <w:t>REDACTED</w:t>
      </w:r>
      <w:r w:rsidRPr="00D7220E">
        <w:rPr>
          <w:b/>
        </w:rPr>
        <w:t>]</w:t>
      </w:r>
      <w:r>
        <w:t>% of the land area.  NTELOS Information Request Response at 6, NTLS-001066, NTLS-001067, NTLS-001068.</w:t>
      </w:r>
    </w:p>
  </w:footnote>
  <w:footnote w:id="80">
    <w:p w14:paraId="6C86B4C8" w14:textId="2A2A1EC4" w:rsidR="00B53330" w:rsidRDefault="00B53330" w:rsidP="00B53330">
      <w:pPr>
        <w:pStyle w:val="FootnoteText"/>
      </w:pPr>
      <w:r>
        <w:rPr>
          <w:rStyle w:val="FootnoteReference"/>
        </w:rPr>
        <w:footnoteRef/>
      </w:r>
      <w:r>
        <w:t xml:space="preserve"> According to our analysis of the data submitted by the Applicants, </w:t>
      </w:r>
      <w:r w:rsidRPr="0054420E">
        <w:rPr>
          <w:szCs w:val="22"/>
        </w:rPr>
        <w:t xml:space="preserve">in </w:t>
      </w:r>
      <w:r>
        <w:rPr>
          <w:szCs w:val="22"/>
        </w:rPr>
        <w:t xml:space="preserve">each of </w:t>
      </w:r>
      <w:r w:rsidRPr="00053890">
        <w:t xml:space="preserve">Roanoke, Lynchburg, </w:t>
      </w:r>
      <w:r w:rsidRPr="006E29EF">
        <w:t xml:space="preserve">Charlottesville, </w:t>
      </w:r>
      <w:r>
        <w:t xml:space="preserve">Danville, Virginia 3 – Giles, Virginia 4 – Bedford, </w:t>
      </w:r>
      <w:r w:rsidRPr="006E29EF">
        <w:t>Virginia 5 – Bath,</w:t>
      </w:r>
      <w:r w:rsidRPr="00053890">
        <w:t xml:space="preserve"> </w:t>
      </w:r>
      <w:r>
        <w:t xml:space="preserve">and </w:t>
      </w:r>
      <w:r w:rsidRPr="006E29EF">
        <w:t>Virginia 6 – Highland</w:t>
      </w:r>
      <w:r>
        <w:t>, NTELOS covers approximately</w:t>
      </w:r>
      <w:r w:rsidRPr="00075569">
        <w:rPr>
          <w:b/>
        </w:rPr>
        <w:t xml:space="preserve"> [</w:t>
      </w:r>
      <w:r w:rsidR="00D87AC4">
        <w:rPr>
          <w:b/>
        </w:rPr>
        <w:t>REDACTED</w:t>
      </w:r>
      <w:r w:rsidRPr="00D7220E">
        <w:rPr>
          <w:b/>
        </w:rPr>
        <w:t>]</w:t>
      </w:r>
      <w:r>
        <w:t xml:space="preserve">% of the population with LTE, while the comparable LTE land area percentages are approximately </w:t>
      </w:r>
      <w:r w:rsidRPr="00D7220E">
        <w:rPr>
          <w:b/>
        </w:rPr>
        <w:t>[</w:t>
      </w:r>
      <w:r w:rsidR="00D87AC4">
        <w:rPr>
          <w:b/>
        </w:rPr>
        <w:t>REDACTED</w:t>
      </w:r>
      <w:r w:rsidRPr="00D7220E">
        <w:rPr>
          <w:b/>
        </w:rPr>
        <w:t>]</w:t>
      </w:r>
      <w:r>
        <w:t>%, respectively.  NTELOS Information Request Response at 6, NTLS-001066, NTLS-001067, NTLS-001068.</w:t>
      </w:r>
    </w:p>
  </w:footnote>
  <w:footnote w:id="81">
    <w:p w14:paraId="06D2536C" w14:textId="77777777" w:rsidR="00B53330" w:rsidRDefault="00B53330" w:rsidP="00B53330">
      <w:pPr>
        <w:pStyle w:val="FootnoteText"/>
      </w:pPr>
      <w:r>
        <w:rPr>
          <w:rStyle w:val="FootnoteReference"/>
        </w:rPr>
        <w:footnoteRef/>
      </w:r>
      <w:r>
        <w:t xml:space="preserve"> In terms of their respective 3G networks, </w:t>
      </w:r>
      <w:r w:rsidRPr="00053890">
        <w:t>AT&amp;T covers at least approximately 9</w:t>
      </w:r>
      <w:r>
        <w:t>0%</w:t>
      </w:r>
      <w:r w:rsidRPr="00053890">
        <w:t xml:space="preserve"> of the population and </w:t>
      </w:r>
      <w:r>
        <w:t>63%</w:t>
      </w:r>
      <w:r w:rsidRPr="00053890">
        <w:t xml:space="preserve"> of the land area</w:t>
      </w:r>
      <w:r>
        <w:t>, while</w:t>
      </w:r>
      <w:r w:rsidRPr="00053890">
        <w:t xml:space="preserve"> Verizon Wireless covers at least </w:t>
      </w:r>
      <w:r w:rsidRPr="00053890">
        <w:rPr>
          <w:szCs w:val="22"/>
        </w:rPr>
        <w:t>approximately</w:t>
      </w:r>
      <w:r w:rsidRPr="00053890">
        <w:t xml:space="preserve"> </w:t>
      </w:r>
      <w:r>
        <w:t>89%</w:t>
      </w:r>
      <w:r w:rsidRPr="00053890">
        <w:t xml:space="preserve"> of the population and </w:t>
      </w:r>
      <w:r>
        <w:t>59%</w:t>
      </w:r>
      <w:r w:rsidRPr="00053890">
        <w:t xml:space="preserve"> of the land area</w:t>
      </w:r>
      <w:r>
        <w:t>.</w:t>
      </w:r>
    </w:p>
  </w:footnote>
  <w:footnote w:id="82">
    <w:p w14:paraId="4DD705F7" w14:textId="77777777" w:rsidR="00B53330" w:rsidRDefault="00B53330" w:rsidP="00B53330">
      <w:pPr>
        <w:pStyle w:val="FootnoteText"/>
      </w:pPr>
      <w:r>
        <w:rPr>
          <w:rStyle w:val="FootnoteReference"/>
        </w:rPr>
        <w:footnoteRef/>
      </w:r>
      <w:r>
        <w:t xml:space="preserve"> </w:t>
      </w:r>
      <w:r>
        <w:rPr>
          <w:szCs w:val="22"/>
        </w:rPr>
        <w:t>In terms of their respective LTE networks, in the four markets in which A&amp;T has significant LTE coverage, it c</w:t>
      </w:r>
      <w:r>
        <w:t xml:space="preserve">overs </w:t>
      </w:r>
      <w:r w:rsidRPr="00053890">
        <w:t xml:space="preserve">at least approximately </w:t>
      </w:r>
      <w:r>
        <w:t>94%</w:t>
      </w:r>
      <w:r w:rsidRPr="00053890">
        <w:t xml:space="preserve"> of the population and 6</w:t>
      </w:r>
      <w:r>
        <w:t>3%</w:t>
      </w:r>
      <w:r w:rsidRPr="00053890">
        <w:t xml:space="preserve"> of the land area</w:t>
      </w:r>
      <w:r>
        <w:t xml:space="preserve"> while,</w:t>
      </w:r>
      <w:r w:rsidRPr="00053890">
        <w:t xml:space="preserve"> </w:t>
      </w:r>
      <w:r>
        <w:t xml:space="preserve">with the exception of Virginia 5 – Bath, </w:t>
      </w:r>
      <w:r w:rsidRPr="00053890">
        <w:t xml:space="preserve">Verizon Wireless covers </w:t>
      </w:r>
      <w:r>
        <w:t xml:space="preserve">at </w:t>
      </w:r>
      <w:r w:rsidRPr="00053890">
        <w:t xml:space="preserve">least approximately </w:t>
      </w:r>
      <w:r>
        <w:t>91%</w:t>
      </w:r>
      <w:r w:rsidRPr="00053890">
        <w:t xml:space="preserve"> of the population and </w:t>
      </w:r>
      <w:r>
        <w:t>62%</w:t>
      </w:r>
      <w:r w:rsidRPr="00053890">
        <w:t xml:space="preserve"> of the land area with LTE.</w:t>
      </w:r>
      <w:r>
        <w:t xml:space="preserve">  In addition, AT&amp;T has significant LTE population coverage and close to significant land area coverage in Roanoke, covering approximately 95% of the population and 48% of the land area, while Verizon Wireless has significant LTE population coverage</w:t>
      </w:r>
      <w:r w:rsidRPr="00873633">
        <w:t xml:space="preserve"> </w:t>
      </w:r>
      <w:r>
        <w:t>and close to significant land area coverage in Virginia 5 – Bath, covering approximately 85% of the population and 49% of the land area with LTE.  Further, in each of Virginia 3 – Giles, Virginia 4 – Bedford, and Virginia 5 – Bath, AT&amp;T covers at least approximately 53% of the population and 32% of the land area with LTE.</w:t>
      </w:r>
    </w:p>
  </w:footnote>
  <w:footnote w:id="83">
    <w:p w14:paraId="4D0CA341" w14:textId="77777777" w:rsidR="00B53330" w:rsidRDefault="00B53330" w:rsidP="00B53330">
      <w:pPr>
        <w:pStyle w:val="FootnoteText"/>
      </w:pPr>
      <w:r>
        <w:rPr>
          <w:rStyle w:val="FootnoteReference"/>
        </w:rPr>
        <w:footnoteRef/>
      </w:r>
      <w:r>
        <w:t xml:space="preserve"> USCC covers at least approximately 97% of the population and at least approximately 75% of the land area with 3G.  In Virginia 5 – Bath, it covers approximately 83% of the population and 45% of the land area with 3G.  In terms of its LTE network, it has significant LTE coverage in Lynchburg, covering approximately 90% of the population and 59% of the land area.  Otherwise, its LTE population coverage ranges from approximately 45% to approximately 91%, and its LTE land area coverage ranges from approximately 27% to approximately 49%, with the exception of Charlottesville, in which it covers approximately 2% of the population and 6% of the land area only.</w:t>
      </w:r>
    </w:p>
  </w:footnote>
  <w:footnote w:id="84">
    <w:p w14:paraId="78DFDC3C" w14:textId="77777777" w:rsidR="00B53330" w:rsidRDefault="00B53330" w:rsidP="00B53330">
      <w:pPr>
        <w:pStyle w:val="FootnoteText"/>
      </w:pPr>
      <w:r>
        <w:rPr>
          <w:rStyle w:val="FootnoteReference"/>
        </w:rPr>
        <w:footnoteRef/>
      </w:r>
      <w:r>
        <w:t xml:space="preserve"> T-Mobile’s 3G population coverage in the markets in which it has at least some market presence ranges from approximately 54% to approximately 91%, while its 3G land area coverage is more limited, ranging from approximately 23% to approximately 39%.  In terms of its LTE network, T-Mobile’s LTE population coverage ranges from approximately 48% to approximately 86%, while its LTE land area coverage is more limited, ranging from approximately 19% to approximately 30%.</w:t>
      </w:r>
    </w:p>
  </w:footnote>
  <w:footnote w:id="85">
    <w:p w14:paraId="3F10F204" w14:textId="189E7E04" w:rsidR="00B53330" w:rsidRDefault="00B53330" w:rsidP="00B53330">
      <w:pPr>
        <w:pStyle w:val="FootnoteText"/>
      </w:pPr>
      <w:r>
        <w:rPr>
          <w:rStyle w:val="FootnoteReference"/>
        </w:rPr>
        <w:footnoteRef/>
      </w:r>
      <w:r>
        <w:t xml:space="preserve"> </w:t>
      </w:r>
      <w:r w:rsidRPr="003D0A70">
        <w:t>SPRINT-FCC-01-4c-000946</w:t>
      </w:r>
      <w:r>
        <w:t xml:space="preserve"> at 9 (e</w:t>
      </w:r>
      <w:r>
        <w:rPr>
          <w:szCs w:val="22"/>
        </w:rPr>
        <w:t xml:space="preserve">valuating the value of the </w:t>
      </w:r>
      <w:r w:rsidRPr="00DE5513">
        <w:rPr>
          <w:b/>
          <w:bCs/>
        </w:rPr>
        <w:t>[</w:t>
      </w:r>
      <w:r w:rsidR="00D87AC4">
        <w:rPr>
          <w:b/>
          <w:bCs/>
        </w:rPr>
        <w:t>REDACTED</w:t>
      </w:r>
      <w:r w:rsidRPr="00DE5513">
        <w:rPr>
          <w:b/>
          <w:bCs/>
        </w:rPr>
        <w:t>]</w:t>
      </w:r>
      <w:r w:rsidRPr="00CE15CB">
        <w:rPr>
          <w:bCs/>
        </w:rPr>
        <w:t>)</w:t>
      </w:r>
      <w:r>
        <w:rPr>
          <w:bCs/>
        </w:rPr>
        <w:t xml:space="preserve">; </w:t>
      </w:r>
      <w:r w:rsidRPr="00F50604">
        <w:rPr>
          <w:bCs/>
          <w:i/>
        </w:rPr>
        <w:t>see also</w:t>
      </w:r>
      <w:r>
        <w:rPr>
          <w:bCs/>
        </w:rPr>
        <w:t xml:space="preserve"> </w:t>
      </w:r>
      <w:r w:rsidRPr="003F1F98">
        <w:rPr>
          <w:bCs/>
        </w:rPr>
        <w:t>SPRINT-FCC-01-4c-001013</w:t>
      </w:r>
      <w:r>
        <w:rPr>
          <w:bCs/>
        </w:rPr>
        <w:t xml:space="preserve"> at 19 (stating that </w:t>
      </w:r>
      <w:r w:rsidRPr="00DE5513">
        <w:rPr>
          <w:b/>
          <w:bCs/>
        </w:rPr>
        <w:t>[</w:t>
      </w:r>
      <w:r w:rsidR="00CE15CB">
        <w:rPr>
          <w:b/>
          <w:bCs/>
        </w:rPr>
        <w:t>REDACTED</w:t>
      </w:r>
      <w:r w:rsidRPr="00DE5513">
        <w:rPr>
          <w:b/>
          <w:bCs/>
        </w:rPr>
        <w:t>]</w:t>
      </w:r>
      <w:r>
        <w:rPr>
          <w:bCs/>
        </w:rPr>
        <w:t>).</w:t>
      </w:r>
    </w:p>
  </w:footnote>
  <w:footnote w:id="86">
    <w:p w14:paraId="082165FD" w14:textId="77777777" w:rsidR="00B53330" w:rsidRDefault="00B53330" w:rsidP="00B53330">
      <w:pPr>
        <w:pStyle w:val="FootnoteText"/>
      </w:pPr>
      <w:r>
        <w:rPr>
          <w:rStyle w:val="FootnoteReference"/>
        </w:rPr>
        <w:footnoteRef/>
      </w:r>
      <w:r>
        <w:t xml:space="preserve"> Huntington-Ashland is a non-rural market with a population of approximately 315,000 and a population density of 146.  </w:t>
      </w:r>
      <w:r w:rsidRPr="00382E19">
        <w:t>Charleston</w:t>
      </w:r>
      <w:r>
        <w:t xml:space="preserve"> is a non-rural market with a population of approximately 249,000 and a population density of 199.  </w:t>
      </w:r>
      <w:r w:rsidRPr="00740631">
        <w:t xml:space="preserve">West Virginia 3 </w:t>
      </w:r>
      <w:r>
        <w:t>–</w:t>
      </w:r>
      <w:r w:rsidRPr="00740631">
        <w:t xml:space="preserve"> Monongalia</w:t>
      </w:r>
      <w:r>
        <w:t xml:space="preserve"> is a non-rural market with a population of approximately 289,000 and a population density of 128.  </w:t>
      </w:r>
      <w:r w:rsidRPr="00C04981">
        <w:t xml:space="preserve">West Virginia 7 </w:t>
      </w:r>
      <w:r>
        <w:t>–</w:t>
      </w:r>
      <w:r w:rsidRPr="00C04981">
        <w:t xml:space="preserve"> Raleigh</w:t>
      </w:r>
      <w:r>
        <w:t xml:space="preserve"> is a rural market with a population of approximately 250,000 and a population density of 71.  </w:t>
      </w:r>
    </w:p>
  </w:footnote>
  <w:footnote w:id="87">
    <w:p w14:paraId="045248EC" w14:textId="77777777" w:rsidR="00B53330" w:rsidRDefault="00B53330" w:rsidP="00B53330">
      <w:pPr>
        <w:pStyle w:val="FootnoteText"/>
      </w:pPr>
      <w:r>
        <w:rPr>
          <w:rStyle w:val="FootnoteReference"/>
        </w:rPr>
        <w:footnoteRef/>
      </w:r>
      <w:r>
        <w:t xml:space="preserve"> As a result of the instant transaction, Sprint</w:t>
      </w:r>
      <w:r w:rsidRPr="00DA6509">
        <w:t xml:space="preserve"> would also acquire </w:t>
      </w:r>
      <w:r>
        <w:t>an additional 15 megahertz to 81.5 megahertz of spectrum in at least one county in the following markets:  CMA 178 (Wheeling, WV-OH), CMA 200 (Parkersburg-Marietta, OH-WV), CMA 269 (Cumberland, MD-WV), CMA 701 (West Virginia 1 – Mason), CMA 702 (West Virginia 2 – Wetzel), CMA 704 (West Virginia 4 – Grant), CMA 705 (West Virginia 5 – Tucker), and CMA 706 (West Virginia 6 – Lincoln).  These markets do not trigger our two-part screen</w:t>
      </w:r>
      <w:r w:rsidRPr="005E672D">
        <w:t>, nor do we find any particular factor that would lead us to undertake further competitive review.</w:t>
      </w:r>
    </w:p>
  </w:footnote>
  <w:footnote w:id="88">
    <w:p w14:paraId="63C42713" w14:textId="77777777" w:rsidR="00B53330" w:rsidRPr="00936DA3" w:rsidRDefault="00B53330" w:rsidP="00B53330">
      <w:pPr>
        <w:pStyle w:val="FootnoteText"/>
        <w:rPr>
          <w:b/>
        </w:rPr>
      </w:pPr>
      <w:r>
        <w:rPr>
          <w:rStyle w:val="FootnoteReference"/>
        </w:rPr>
        <w:footnoteRef/>
      </w:r>
      <w:r>
        <w:t xml:space="preserve"> Across the four markets, AT&amp;T holds 113 megahertz to 143 megahertz, Verizon Wireless holds 62 megahertz to 127 megahertz, and T-Mobile holds 20 megahertz to 40 megahertz.  In addition, DISH holds 61 megahertz to 71 megahertz of spectrum, Appalachian Wireless holds 12 megahertz of spectrum in </w:t>
      </w:r>
      <w:r w:rsidRPr="00213EA3">
        <w:t>Huntington-Ashland</w:t>
      </w:r>
      <w:r>
        <w:t xml:space="preserve">, MCG PCS holds 10 megahertz in Charleston, and 10 megahertz in parts of West Virginia 7 – Raleigh, and Cavalier Wireless holds 12 megahertz in part of West Virginia 7 – Raleigh.  </w:t>
      </w:r>
    </w:p>
  </w:footnote>
  <w:footnote w:id="89">
    <w:p w14:paraId="771BFD95" w14:textId="319595A4" w:rsidR="00B53330" w:rsidRDefault="00B53330" w:rsidP="00B53330">
      <w:pPr>
        <w:pStyle w:val="FootnoteText"/>
      </w:pPr>
      <w:r>
        <w:rPr>
          <w:rStyle w:val="FootnoteReference"/>
        </w:rPr>
        <w:footnoteRef/>
      </w:r>
      <w:r>
        <w:t xml:space="preserve"> </w:t>
      </w:r>
      <w:r w:rsidRPr="00DE5513">
        <w:t>The post-transaction HHI</w:t>
      </w:r>
      <w:r>
        <w:t xml:space="preserve">s in each of </w:t>
      </w:r>
      <w:r w:rsidRPr="00DE5513">
        <w:t>Huntington-Ashland, Charleston, West Virginia 3 – Monongalia, and West Virginia 7 – Raleigh</w:t>
      </w:r>
      <w:r w:rsidDel="000F4E26">
        <w:t xml:space="preserve"> </w:t>
      </w:r>
      <w:r>
        <w:t>would be</w:t>
      </w:r>
      <w:r w:rsidRPr="00DE5513">
        <w:t xml:space="preserve"> </w:t>
      </w:r>
      <w:r w:rsidRPr="00DE5513">
        <w:rPr>
          <w:b/>
          <w:bCs/>
        </w:rPr>
        <w:t>[</w:t>
      </w:r>
      <w:r w:rsidR="00CE15CB">
        <w:rPr>
          <w:b/>
          <w:bCs/>
        </w:rPr>
        <w:t>REDACTED</w:t>
      </w:r>
      <w:r w:rsidRPr="00DE5513">
        <w:rPr>
          <w:b/>
          <w:bCs/>
        </w:rPr>
        <w:t>]</w:t>
      </w:r>
      <w:r>
        <w:rPr>
          <w:bCs/>
        </w:rPr>
        <w:t>,</w:t>
      </w:r>
      <w:r w:rsidRPr="00DE5513">
        <w:t xml:space="preserve"> respectively</w:t>
      </w:r>
      <w:r>
        <w:t>,</w:t>
      </w:r>
      <w:r w:rsidRPr="00DE5513">
        <w:t xml:space="preserve"> </w:t>
      </w:r>
      <w:r>
        <w:t>with a change in the HHI of</w:t>
      </w:r>
      <w:r w:rsidRPr="00DE5513">
        <w:t xml:space="preserve"> </w:t>
      </w:r>
      <w:r w:rsidRPr="00DE5513">
        <w:rPr>
          <w:b/>
          <w:bCs/>
        </w:rPr>
        <w:t>[</w:t>
      </w:r>
      <w:r w:rsidR="00CE15CB">
        <w:rPr>
          <w:b/>
          <w:bCs/>
        </w:rPr>
        <w:t>REDACTED</w:t>
      </w:r>
      <w:r w:rsidRPr="00DE5513">
        <w:rPr>
          <w:b/>
          <w:bCs/>
        </w:rPr>
        <w:t>]</w:t>
      </w:r>
      <w:r>
        <w:rPr>
          <w:bCs/>
        </w:rPr>
        <w:t>,</w:t>
      </w:r>
      <w:r w:rsidRPr="00DE5513">
        <w:t xml:space="preserve"> </w:t>
      </w:r>
      <w:r>
        <w:t xml:space="preserve">respectively, </w:t>
      </w:r>
      <w:r w:rsidRPr="00DE5513">
        <w:t xml:space="preserve">in these </w:t>
      </w:r>
      <w:r>
        <w:t>four markets</w:t>
      </w:r>
      <w:r w:rsidRPr="00DE5513">
        <w:t>.</w:t>
      </w:r>
    </w:p>
  </w:footnote>
  <w:footnote w:id="90">
    <w:p w14:paraId="07DC3CBC" w14:textId="68B2D3A4" w:rsidR="00B53330" w:rsidRDefault="00B53330" w:rsidP="00B53330">
      <w:pPr>
        <w:pStyle w:val="FootnoteText"/>
      </w:pPr>
      <w:r>
        <w:rPr>
          <w:rStyle w:val="FootnoteReference"/>
        </w:rPr>
        <w:footnoteRef/>
      </w:r>
      <w:r>
        <w:t xml:space="preserve"> Across </w:t>
      </w:r>
      <w:r w:rsidRPr="00DE5513">
        <w:t>Huntington-Ashland, Charleston, West Virginia 3 – Monongalia, and West Virginia 7 – Raleigh</w:t>
      </w:r>
      <w:r>
        <w:t>,</w:t>
      </w:r>
      <w:r>
        <w:rPr>
          <w:szCs w:val="22"/>
        </w:rPr>
        <w:t xml:space="preserve"> AT&amp;T</w:t>
      </w:r>
      <w:r>
        <w:t xml:space="preserve">’s market share ranges from approximately </w:t>
      </w:r>
      <w:r w:rsidRPr="00F9068D">
        <w:rPr>
          <w:b/>
          <w:bCs/>
        </w:rPr>
        <w:t>[</w:t>
      </w:r>
      <w:r w:rsidR="00CE15CB">
        <w:rPr>
          <w:b/>
          <w:bCs/>
        </w:rPr>
        <w:t>REDACTED</w:t>
      </w:r>
      <w:r w:rsidRPr="00F9068D">
        <w:rPr>
          <w:b/>
          <w:bCs/>
        </w:rPr>
        <w:t>]</w:t>
      </w:r>
      <w:r w:rsidRPr="001557C8">
        <w:rPr>
          <w:szCs w:val="22"/>
        </w:rPr>
        <w:t xml:space="preserve">%, </w:t>
      </w:r>
      <w:r>
        <w:rPr>
          <w:szCs w:val="22"/>
        </w:rPr>
        <w:t xml:space="preserve">while </w:t>
      </w:r>
      <w:r>
        <w:t xml:space="preserve">Verizon Wireless’s market share ranges from approximately </w:t>
      </w:r>
      <w:r w:rsidRPr="00F9068D">
        <w:rPr>
          <w:b/>
          <w:bCs/>
        </w:rPr>
        <w:t>[</w:t>
      </w:r>
      <w:r w:rsidR="00CE15CB">
        <w:rPr>
          <w:b/>
          <w:bCs/>
        </w:rPr>
        <w:t>REDACTED</w:t>
      </w:r>
      <w:r w:rsidRPr="00F9068D">
        <w:rPr>
          <w:b/>
          <w:bCs/>
        </w:rPr>
        <w:t>]</w:t>
      </w:r>
      <w:r w:rsidRPr="001557C8">
        <w:rPr>
          <w:szCs w:val="22"/>
        </w:rPr>
        <w:t>%</w:t>
      </w:r>
      <w:r>
        <w:rPr>
          <w:szCs w:val="22"/>
        </w:rPr>
        <w:t xml:space="preserve">.  In addition, USCC has a market share of </w:t>
      </w:r>
      <w:r>
        <w:t xml:space="preserve">approximately </w:t>
      </w:r>
      <w:r w:rsidRPr="00F9068D">
        <w:rPr>
          <w:b/>
          <w:bCs/>
        </w:rPr>
        <w:t>[</w:t>
      </w:r>
      <w:r w:rsidR="00CE15CB">
        <w:rPr>
          <w:b/>
          <w:bCs/>
        </w:rPr>
        <w:t>REDACTED</w:t>
      </w:r>
      <w:r w:rsidRPr="00F9068D">
        <w:rPr>
          <w:b/>
          <w:bCs/>
        </w:rPr>
        <w:t>]</w:t>
      </w:r>
      <w:r>
        <w:rPr>
          <w:szCs w:val="22"/>
        </w:rPr>
        <w:t xml:space="preserve">% in West Virginia 3 – Monongalia, and approximately </w:t>
      </w:r>
      <w:r w:rsidRPr="00F9068D">
        <w:rPr>
          <w:b/>
          <w:bCs/>
        </w:rPr>
        <w:t>[</w:t>
      </w:r>
      <w:r w:rsidR="00CE15CB">
        <w:rPr>
          <w:b/>
          <w:bCs/>
        </w:rPr>
        <w:t>REDACTED</w:t>
      </w:r>
      <w:r w:rsidRPr="00F9068D">
        <w:rPr>
          <w:b/>
          <w:bCs/>
        </w:rPr>
        <w:t>]</w:t>
      </w:r>
      <w:r>
        <w:rPr>
          <w:szCs w:val="22"/>
        </w:rPr>
        <w:t>% in West Virginia 7 – Raleigh</w:t>
      </w:r>
      <w:r w:rsidRPr="001557C8">
        <w:rPr>
          <w:szCs w:val="22"/>
        </w:rPr>
        <w:t>.</w:t>
      </w:r>
      <w:r>
        <w:rPr>
          <w:szCs w:val="22"/>
        </w:rPr>
        <w:t xml:space="preserve">  </w:t>
      </w:r>
    </w:p>
  </w:footnote>
  <w:footnote w:id="91">
    <w:p w14:paraId="2712B8AA" w14:textId="3AB141EA" w:rsidR="00B53330" w:rsidRPr="007A313B" w:rsidRDefault="00B53330" w:rsidP="00572AF6">
      <w:pPr>
        <w:widowControl/>
        <w:spacing w:after="120"/>
      </w:pPr>
      <w:r w:rsidRPr="00E64E02">
        <w:rPr>
          <w:rStyle w:val="FootnoteReference"/>
        </w:rPr>
        <w:footnoteRef/>
      </w:r>
      <w:r w:rsidRPr="00BB5F2E">
        <w:rPr>
          <w:sz w:val="20"/>
        </w:rPr>
        <w:t xml:space="preserve"> </w:t>
      </w:r>
      <w:r>
        <w:rPr>
          <w:sz w:val="20"/>
        </w:rPr>
        <w:t>Based on our analysis of the porting data, a</w:t>
      </w:r>
      <w:r w:rsidRPr="00BB5F2E">
        <w:rPr>
          <w:sz w:val="20"/>
          <w:lang w:eastAsia="zh-CN"/>
        </w:rPr>
        <w:t>pproximately</w:t>
      </w:r>
      <w:r w:rsidRPr="00BB5F2E">
        <w:rPr>
          <w:sz w:val="20"/>
        </w:rPr>
        <w:t xml:space="preserve"> </w:t>
      </w:r>
      <w:r w:rsidRPr="00BB5F2E">
        <w:rPr>
          <w:b/>
          <w:bCs/>
          <w:sz w:val="20"/>
        </w:rPr>
        <w:t>[</w:t>
      </w:r>
      <w:r w:rsidR="00CE15CB">
        <w:rPr>
          <w:b/>
          <w:bCs/>
          <w:sz w:val="20"/>
        </w:rPr>
        <w:t>REDACTED</w:t>
      </w:r>
      <w:r w:rsidRPr="00BB5F2E">
        <w:rPr>
          <w:b/>
          <w:bCs/>
          <w:sz w:val="20"/>
        </w:rPr>
        <w:t>]</w:t>
      </w:r>
      <w:r w:rsidRPr="00BB5F2E">
        <w:rPr>
          <w:sz w:val="20"/>
        </w:rPr>
        <w:t xml:space="preserve">% of </w:t>
      </w:r>
      <w:r>
        <w:rPr>
          <w:sz w:val="20"/>
        </w:rPr>
        <w:t>NTELOS</w:t>
      </w:r>
      <w:r w:rsidRPr="00BB5F2E">
        <w:rPr>
          <w:sz w:val="20"/>
        </w:rPr>
        <w:t xml:space="preserve">’s subscribers who ported out ported to Sprint and approximately </w:t>
      </w:r>
      <w:r w:rsidRPr="00BB5F2E">
        <w:rPr>
          <w:b/>
          <w:bCs/>
          <w:sz w:val="20"/>
        </w:rPr>
        <w:t>[</w:t>
      </w:r>
      <w:r w:rsidR="00CE15CB">
        <w:rPr>
          <w:b/>
          <w:bCs/>
          <w:sz w:val="20"/>
        </w:rPr>
        <w:t>REDACTED</w:t>
      </w:r>
      <w:r w:rsidRPr="00BB5F2E">
        <w:rPr>
          <w:b/>
          <w:bCs/>
          <w:sz w:val="20"/>
        </w:rPr>
        <w:t>]</w:t>
      </w:r>
      <w:r w:rsidRPr="00BB5F2E">
        <w:rPr>
          <w:sz w:val="20"/>
        </w:rPr>
        <w:t xml:space="preserve">% of Sprint’s subscribers who ported out ported to </w:t>
      </w:r>
      <w:r>
        <w:rPr>
          <w:sz w:val="20"/>
        </w:rPr>
        <w:t xml:space="preserve">NTELOS.  2014 LNP data; </w:t>
      </w:r>
      <w:r w:rsidRPr="00BB5F2E">
        <w:rPr>
          <w:sz w:val="20"/>
        </w:rPr>
        <w:t xml:space="preserve">NTLS-001072; Sprint </w:t>
      </w:r>
      <w:r>
        <w:rPr>
          <w:sz w:val="20"/>
        </w:rPr>
        <w:t xml:space="preserve">2014 LNP data; </w:t>
      </w:r>
      <w:r w:rsidRPr="00BB5F2E">
        <w:rPr>
          <w:sz w:val="20"/>
        </w:rPr>
        <w:t>NTLS-001072; Sprint Amended Information Request Response</w:t>
      </w:r>
      <w:r>
        <w:rPr>
          <w:sz w:val="20"/>
        </w:rPr>
        <w:t>.</w:t>
      </w:r>
    </w:p>
  </w:footnote>
  <w:footnote w:id="92">
    <w:p w14:paraId="1443065C" w14:textId="77777777" w:rsidR="00B53330" w:rsidRDefault="00B53330" w:rsidP="00B53330">
      <w:pPr>
        <w:pStyle w:val="FootnoteText"/>
      </w:pPr>
      <w:r>
        <w:rPr>
          <w:rStyle w:val="FootnoteReference"/>
        </w:rPr>
        <w:footnoteRef/>
      </w:r>
      <w:r>
        <w:t xml:space="preserve"> In each of Charleston, </w:t>
      </w:r>
      <w:r w:rsidRPr="00791C99">
        <w:t>West Virginia 3 – Monongalia</w:t>
      </w:r>
      <w:r>
        <w:t xml:space="preserve"> and West Virginia 7 – Raleigh, NTELOS covers at least approximately 74% of the population and approximately 29% of the land area with 3G.  In Huntington-Ashland, the respective percentages are approximately 69% and 16%.  </w:t>
      </w:r>
    </w:p>
    <w:p w14:paraId="6A57BE87" w14:textId="443E11A9" w:rsidR="00B53330" w:rsidRPr="001671C7" w:rsidRDefault="00B53330" w:rsidP="00B53330">
      <w:pPr>
        <w:pStyle w:val="FootnoteText"/>
      </w:pPr>
      <w:r>
        <w:t xml:space="preserve">According to our analysis of the data submitted by the Applicants, </w:t>
      </w:r>
      <w:r w:rsidRPr="0054420E">
        <w:rPr>
          <w:szCs w:val="22"/>
        </w:rPr>
        <w:t xml:space="preserve">in </w:t>
      </w:r>
      <w:r>
        <w:rPr>
          <w:szCs w:val="22"/>
        </w:rPr>
        <w:t xml:space="preserve">each of </w:t>
      </w:r>
      <w:r>
        <w:t xml:space="preserve">Huntington-Ashland, Charleston, West Virginia 3 – Monongalia, and West Virginia 7 – Raleigh, NTELOS covers approximately </w:t>
      </w:r>
      <w:r w:rsidRPr="00075569">
        <w:rPr>
          <w:b/>
        </w:rPr>
        <w:t>[</w:t>
      </w:r>
      <w:r w:rsidR="00CE15CB">
        <w:rPr>
          <w:b/>
        </w:rPr>
        <w:t>REDACTED</w:t>
      </w:r>
      <w:r w:rsidRPr="00D7220E">
        <w:rPr>
          <w:b/>
        </w:rPr>
        <w:t>]</w:t>
      </w:r>
      <w:r>
        <w:t xml:space="preserve">% of the population with 3G, and approximately </w:t>
      </w:r>
      <w:r w:rsidRPr="00D7220E">
        <w:rPr>
          <w:b/>
        </w:rPr>
        <w:t>[</w:t>
      </w:r>
      <w:r w:rsidR="00CE15CB">
        <w:rPr>
          <w:b/>
        </w:rPr>
        <w:t>REDACTED</w:t>
      </w:r>
      <w:r w:rsidRPr="00D7220E">
        <w:rPr>
          <w:b/>
        </w:rPr>
        <w:t>]</w:t>
      </w:r>
      <w:r>
        <w:rPr>
          <w:b/>
        </w:rPr>
        <w:t xml:space="preserve"> </w:t>
      </w:r>
      <w:r>
        <w:t>% of the land area.  NTELOS Information Request Response at 6, NTLS-001066, NTLS-001067, NTLS-001068.</w:t>
      </w:r>
    </w:p>
  </w:footnote>
  <w:footnote w:id="93">
    <w:p w14:paraId="43352958" w14:textId="6DE4CCE4" w:rsidR="00B53330" w:rsidRDefault="00B53330" w:rsidP="00B53330">
      <w:pPr>
        <w:pStyle w:val="FootnoteText"/>
      </w:pPr>
      <w:r>
        <w:rPr>
          <w:rStyle w:val="FootnoteReference"/>
        </w:rPr>
        <w:footnoteRef/>
      </w:r>
      <w:r>
        <w:t xml:space="preserve"> According to our analysis of the data submitted by the Applicants, </w:t>
      </w:r>
      <w:r w:rsidRPr="0054420E">
        <w:rPr>
          <w:szCs w:val="22"/>
        </w:rPr>
        <w:t xml:space="preserve">in </w:t>
      </w:r>
      <w:r>
        <w:rPr>
          <w:szCs w:val="22"/>
        </w:rPr>
        <w:t xml:space="preserve">each of </w:t>
      </w:r>
      <w:r>
        <w:t xml:space="preserve">Huntington-Ashland, Charleston, West Virginia 3 – Monongalia, and West Virginia 7 – Raleigh, NTELOS covers approximately </w:t>
      </w:r>
      <w:r w:rsidRPr="00075569">
        <w:rPr>
          <w:b/>
        </w:rPr>
        <w:t>[</w:t>
      </w:r>
      <w:r w:rsidR="00CE15CB">
        <w:rPr>
          <w:b/>
        </w:rPr>
        <w:t>REDACTED</w:t>
      </w:r>
      <w:r w:rsidRPr="00D7220E">
        <w:rPr>
          <w:b/>
        </w:rPr>
        <w:t>]</w:t>
      </w:r>
      <w:r>
        <w:t xml:space="preserve">% of the population with LTE, while the comparable LTE land area percentages are approximately </w:t>
      </w:r>
      <w:r w:rsidRPr="00D7220E">
        <w:rPr>
          <w:b/>
        </w:rPr>
        <w:t>[</w:t>
      </w:r>
      <w:r w:rsidR="00CE15CB">
        <w:rPr>
          <w:b/>
        </w:rPr>
        <w:t>REDACTED</w:t>
      </w:r>
      <w:r w:rsidRPr="00D7220E">
        <w:rPr>
          <w:b/>
        </w:rPr>
        <w:t>]</w:t>
      </w:r>
      <w:r>
        <w:t>%, respectively.  NTELOS Information Request Response at 6, NTLS-001066, NTLS-001067, NTLS-001068.</w:t>
      </w:r>
    </w:p>
  </w:footnote>
  <w:footnote w:id="94">
    <w:p w14:paraId="697FE8D0" w14:textId="77777777" w:rsidR="00B53330" w:rsidRDefault="00B53330" w:rsidP="00B53330">
      <w:pPr>
        <w:pStyle w:val="FootnoteText"/>
      </w:pPr>
      <w:r>
        <w:rPr>
          <w:rStyle w:val="FootnoteReference"/>
        </w:rPr>
        <w:footnoteRef/>
      </w:r>
      <w:r>
        <w:t xml:space="preserve"> In terms of their respective 3G networks, </w:t>
      </w:r>
      <w:r w:rsidRPr="00053890">
        <w:t>AT&amp;T covers at least approximately 99</w:t>
      </w:r>
      <w:r>
        <w:t>%</w:t>
      </w:r>
      <w:r w:rsidRPr="00053890">
        <w:t xml:space="preserve"> of the population and 95</w:t>
      </w:r>
      <w:r>
        <w:t>%</w:t>
      </w:r>
      <w:r w:rsidRPr="00053890">
        <w:t xml:space="preserve"> of the land area</w:t>
      </w:r>
      <w:r>
        <w:t>, while</w:t>
      </w:r>
      <w:r w:rsidRPr="00053890">
        <w:t xml:space="preserve"> Verizon Wireless covers at least </w:t>
      </w:r>
      <w:r w:rsidRPr="00053890">
        <w:rPr>
          <w:szCs w:val="22"/>
        </w:rPr>
        <w:t>approximately</w:t>
      </w:r>
      <w:r w:rsidRPr="00053890">
        <w:t xml:space="preserve"> </w:t>
      </w:r>
      <w:r>
        <w:t>94%</w:t>
      </w:r>
      <w:r w:rsidRPr="00053890">
        <w:t xml:space="preserve"> of the population and 73</w:t>
      </w:r>
      <w:r>
        <w:t>%</w:t>
      </w:r>
      <w:r w:rsidRPr="00053890">
        <w:t xml:space="preserve"> of the land area in Huntington-Ashland</w:t>
      </w:r>
      <w:r>
        <w:t xml:space="preserve">, </w:t>
      </w:r>
      <w:r w:rsidRPr="00053890">
        <w:t>and Charleston</w:t>
      </w:r>
      <w:r>
        <w:t>, and</w:t>
      </w:r>
      <w:r w:rsidRPr="00053890">
        <w:t xml:space="preserve"> at least </w:t>
      </w:r>
      <w:r w:rsidRPr="00053890">
        <w:rPr>
          <w:szCs w:val="22"/>
        </w:rPr>
        <w:t>approximately</w:t>
      </w:r>
      <w:r w:rsidRPr="00053890">
        <w:t xml:space="preserve"> </w:t>
      </w:r>
      <w:r>
        <w:t>68%</w:t>
      </w:r>
      <w:r w:rsidRPr="00053890">
        <w:t xml:space="preserve"> of the population and </w:t>
      </w:r>
      <w:r>
        <w:t>38%</w:t>
      </w:r>
      <w:r w:rsidRPr="00053890">
        <w:t xml:space="preserve"> of the land area in </w:t>
      </w:r>
      <w:r>
        <w:t xml:space="preserve">West Virginia 3 – Monongalia, and West Virginia 7 – Raleigh.  </w:t>
      </w:r>
      <w:r>
        <w:rPr>
          <w:szCs w:val="22"/>
        </w:rPr>
        <w:t xml:space="preserve">In terms of their respective LTE networks, </w:t>
      </w:r>
      <w:r>
        <w:t xml:space="preserve">AT&amp;T covers </w:t>
      </w:r>
      <w:r w:rsidRPr="00053890">
        <w:t>at least approximately 82</w:t>
      </w:r>
      <w:r>
        <w:t>%</w:t>
      </w:r>
      <w:r w:rsidRPr="00053890">
        <w:t xml:space="preserve"> of the population and 60</w:t>
      </w:r>
      <w:r>
        <w:t>%</w:t>
      </w:r>
      <w:r w:rsidRPr="00053890">
        <w:t xml:space="preserve"> of the land area</w:t>
      </w:r>
      <w:r>
        <w:t>, while</w:t>
      </w:r>
      <w:r w:rsidRPr="00053890">
        <w:t xml:space="preserve"> Verizon Wireless covers </w:t>
      </w:r>
      <w:r>
        <w:t xml:space="preserve">at </w:t>
      </w:r>
      <w:r w:rsidRPr="00053890">
        <w:t xml:space="preserve">least approximately </w:t>
      </w:r>
      <w:r>
        <w:t>84%</w:t>
      </w:r>
      <w:r w:rsidRPr="00053890">
        <w:t xml:space="preserve"> of the population and </w:t>
      </w:r>
      <w:r>
        <w:t>59%</w:t>
      </w:r>
      <w:r w:rsidRPr="00053890">
        <w:t xml:space="preserve"> of the land area with LTE coverage.</w:t>
      </w:r>
    </w:p>
  </w:footnote>
  <w:footnote w:id="95">
    <w:p w14:paraId="6B135737" w14:textId="77777777" w:rsidR="00B53330" w:rsidRDefault="00B53330" w:rsidP="00B53330">
      <w:pPr>
        <w:pStyle w:val="FootnoteText"/>
      </w:pPr>
      <w:r>
        <w:rPr>
          <w:rStyle w:val="FootnoteReference"/>
        </w:rPr>
        <w:footnoteRef/>
      </w:r>
      <w:r>
        <w:t xml:space="preserve"> </w:t>
      </w:r>
      <w:r w:rsidRPr="00053890">
        <w:t xml:space="preserve">In West Virginia 3 – Monongalia, </w:t>
      </w:r>
      <w:r>
        <w:t>USCC</w:t>
      </w:r>
      <w:r w:rsidRPr="00053890">
        <w:t xml:space="preserve"> covers approximately </w:t>
      </w:r>
      <w:r>
        <w:t>91%</w:t>
      </w:r>
      <w:r w:rsidRPr="00053890">
        <w:t xml:space="preserve"> of the population and 79</w:t>
      </w:r>
      <w:r>
        <w:t>%</w:t>
      </w:r>
      <w:r w:rsidRPr="00053890">
        <w:t xml:space="preserve"> of the land area with </w:t>
      </w:r>
      <w:r>
        <w:t>3G and LTE,</w:t>
      </w:r>
      <w:r w:rsidRPr="00053890">
        <w:t xml:space="preserve"> </w:t>
      </w:r>
      <w:r>
        <w:t>while i</w:t>
      </w:r>
      <w:r w:rsidRPr="00053890">
        <w:t xml:space="preserve">n West Virginia 7 – Raleigh, </w:t>
      </w:r>
      <w:r>
        <w:t>it</w:t>
      </w:r>
      <w:r w:rsidRPr="00053890">
        <w:t xml:space="preserve"> covers approximately </w:t>
      </w:r>
      <w:r>
        <w:t xml:space="preserve">80% of the population and 66% </w:t>
      </w:r>
      <w:r w:rsidRPr="00053890">
        <w:t xml:space="preserve">of the land area </w:t>
      </w:r>
      <w:r>
        <w:t>with 3G and LTE.</w:t>
      </w:r>
    </w:p>
  </w:footnote>
  <w:footnote w:id="96">
    <w:p w14:paraId="6005C926" w14:textId="77777777" w:rsidR="00B53330" w:rsidRDefault="00B53330" w:rsidP="00B53330">
      <w:pPr>
        <w:pStyle w:val="FootnoteText"/>
      </w:pPr>
      <w:r>
        <w:rPr>
          <w:rStyle w:val="FootnoteReference"/>
        </w:rPr>
        <w:footnoteRef/>
      </w:r>
      <w:r>
        <w:t xml:space="preserve"> As a result of the instant transaction, Sprint</w:t>
      </w:r>
      <w:r w:rsidRPr="00DA6509">
        <w:t xml:space="preserve"> would also acquire </w:t>
      </w:r>
      <w:r>
        <w:t xml:space="preserve">an additional 20 megahertz to 30 megahertz of spectrum in at least one county in the following markets:  </w:t>
      </w:r>
      <w:r w:rsidRPr="00746ABD">
        <w:t xml:space="preserve">CMA 257 (Hagerstown, MD), </w:t>
      </w:r>
      <w:r>
        <w:t xml:space="preserve">CMA 450 (Kentucky 8 – Mason), CMA 451 (Kentucky 9 – Elliott), </w:t>
      </w:r>
      <w:r w:rsidRPr="00746ABD">
        <w:t xml:space="preserve">CMA 467 (Maryland 1 – Garrett) </w:t>
      </w:r>
      <w:r>
        <w:t xml:space="preserve">and </w:t>
      </w:r>
      <w:r w:rsidRPr="00746ABD">
        <w:t>CMA 571 (North Carolina 7 – Rockingham)</w:t>
      </w:r>
      <w:r>
        <w:t>.  These markets do not trigger our two-part screen</w:t>
      </w:r>
      <w:r w:rsidRPr="005E672D">
        <w:t>, nor do we find any particular factor that would lead us to undertake further competitive review.</w:t>
      </w:r>
    </w:p>
  </w:footnote>
  <w:footnote w:id="97">
    <w:p w14:paraId="59028D7F" w14:textId="77777777" w:rsidR="00B53330" w:rsidRDefault="00B53330" w:rsidP="00B53330">
      <w:pPr>
        <w:pStyle w:val="FootnoteText"/>
      </w:pPr>
      <w:r>
        <w:rPr>
          <w:rStyle w:val="FootnoteReference"/>
        </w:rPr>
        <w:footnoteRef/>
      </w:r>
      <w:r>
        <w:t xml:space="preserve"> As a result of the instant transaction, Sprint</w:t>
      </w:r>
      <w:r w:rsidRPr="00DA6509">
        <w:t xml:space="preserve"> would also acquire </w:t>
      </w:r>
      <w:r>
        <w:t>an additional 15 megahertz to 30 megahertz of spectrum in at least one county in the following markets:  CMA 591 (Ohio 7 – Tuscarawas), and CMA 593 (Ohio 9 – Ross)</w:t>
      </w:r>
      <w:r w:rsidRPr="005E672D">
        <w:t xml:space="preserve">.  </w:t>
      </w:r>
      <w:r>
        <w:t>These markets do not trigger our two-part screen</w:t>
      </w:r>
      <w:r w:rsidRPr="005E672D">
        <w:t>, nor do we find any particular factor that would lead us to undertake further competitive review.</w:t>
      </w:r>
    </w:p>
  </w:footnote>
  <w:footnote w:id="98">
    <w:p w14:paraId="51FB210B" w14:textId="77777777" w:rsidR="00B53330" w:rsidRDefault="00B53330" w:rsidP="00B53330">
      <w:pPr>
        <w:pStyle w:val="FootnoteText"/>
      </w:pPr>
      <w:r>
        <w:rPr>
          <w:rStyle w:val="FootnoteReference"/>
        </w:rPr>
        <w:footnoteRef/>
      </w:r>
      <w:r>
        <w:t xml:space="preserve"> As a result of the instant transaction, Sprint</w:t>
      </w:r>
      <w:r w:rsidRPr="00DA6509">
        <w:t xml:space="preserve"> would also acquire </w:t>
      </w:r>
      <w:r>
        <w:t>an additional 15 megahertz to 20 megahertz of PCS spectrum in CMA 621 (Pennsylvania 10 – Bedford)</w:t>
      </w:r>
      <w:r w:rsidRPr="005E672D">
        <w:t xml:space="preserve">.  </w:t>
      </w:r>
      <w:r>
        <w:t>This market does not trigger our two-part screen</w:t>
      </w:r>
      <w:r w:rsidRPr="005E672D">
        <w:t>, nor do we find any particular factor that would lead us to undertake further competitive review.</w:t>
      </w:r>
    </w:p>
  </w:footnote>
  <w:footnote w:id="99">
    <w:p w14:paraId="2A2F9005" w14:textId="77777777" w:rsidR="00B53330" w:rsidRPr="00936DA3" w:rsidRDefault="00B53330" w:rsidP="00B53330">
      <w:pPr>
        <w:pStyle w:val="FootnoteText"/>
        <w:rPr>
          <w:b/>
        </w:rPr>
      </w:pPr>
      <w:r>
        <w:rPr>
          <w:rStyle w:val="FootnoteReference"/>
        </w:rPr>
        <w:footnoteRef/>
      </w:r>
      <w:r>
        <w:t xml:space="preserve"> Across the two markets, AT&amp;T holds 103 megahertz to 125 megahertz, Verizon Wireless holds 87 megahertz to 97 megahertz, and T-Mobile holds 70 megahertz to 90 megahertz.  In addition, DISH holds 71 megahertz of spectrum in each market, Continuum 700 holds 12 megahertz of spectrum in Altoona, while MCG PCS holds 12 megahertz in Altoona, and 10 megahertz in parts of Pennsylvania 11 – Huntingdon, and Cavalier Wireless holds 12 megahertz in Pennsylvania 11 – Huntingdon.</w:t>
      </w:r>
    </w:p>
  </w:footnote>
  <w:footnote w:id="100">
    <w:p w14:paraId="7DB4CE4E" w14:textId="15A13702" w:rsidR="00B53330" w:rsidRDefault="00B53330" w:rsidP="00B53330">
      <w:pPr>
        <w:pStyle w:val="FootnoteText"/>
      </w:pPr>
      <w:r>
        <w:rPr>
          <w:rStyle w:val="FootnoteReference"/>
        </w:rPr>
        <w:footnoteRef/>
      </w:r>
      <w:r>
        <w:t xml:space="preserve"> </w:t>
      </w:r>
      <w:r w:rsidRPr="0054420E">
        <w:rPr>
          <w:szCs w:val="22"/>
        </w:rPr>
        <w:t xml:space="preserve">AT&amp;T’s market share in </w:t>
      </w:r>
      <w:r>
        <w:rPr>
          <w:szCs w:val="22"/>
        </w:rPr>
        <w:t xml:space="preserve">each of </w:t>
      </w:r>
      <w:r>
        <w:t>Altoona and Pennsylvania 11 – Huntingdon</w:t>
      </w:r>
      <w:r w:rsidRPr="0054420E">
        <w:rPr>
          <w:szCs w:val="22"/>
        </w:rPr>
        <w:t xml:space="preserve"> </w:t>
      </w:r>
      <w:r>
        <w:rPr>
          <w:szCs w:val="22"/>
        </w:rPr>
        <w:t>is [</w:t>
      </w:r>
      <w:r w:rsidR="00CE15CB">
        <w:rPr>
          <w:b/>
          <w:szCs w:val="22"/>
        </w:rPr>
        <w:t>REDACTED</w:t>
      </w:r>
      <w:r w:rsidRPr="0054420E">
        <w:rPr>
          <w:b/>
          <w:szCs w:val="22"/>
        </w:rPr>
        <w:t>]</w:t>
      </w:r>
      <w:r>
        <w:rPr>
          <w:szCs w:val="22"/>
        </w:rPr>
        <w:t>%</w:t>
      </w:r>
      <w:r w:rsidRPr="0054420E">
        <w:rPr>
          <w:szCs w:val="22"/>
        </w:rPr>
        <w:t>, respectively</w:t>
      </w:r>
      <w:r>
        <w:rPr>
          <w:szCs w:val="22"/>
        </w:rPr>
        <w:t>, while Verizon Wireless’s market share</w:t>
      </w:r>
      <w:r w:rsidRPr="0054420E">
        <w:rPr>
          <w:szCs w:val="22"/>
        </w:rPr>
        <w:t xml:space="preserve"> </w:t>
      </w:r>
      <w:r>
        <w:rPr>
          <w:szCs w:val="22"/>
        </w:rPr>
        <w:t>is approximately</w:t>
      </w:r>
      <w:r w:rsidRPr="0054420E">
        <w:rPr>
          <w:szCs w:val="22"/>
        </w:rPr>
        <w:t xml:space="preserve"> </w:t>
      </w:r>
      <w:r w:rsidRPr="0054420E">
        <w:rPr>
          <w:b/>
          <w:szCs w:val="22"/>
        </w:rPr>
        <w:t>[</w:t>
      </w:r>
      <w:r w:rsidR="00CE15CB">
        <w:rPr>
          <w:b/>
          <w:szCs w:val="22"/>
        </w:rPr>
        <w:t>REDACTED</w:t>
      </w:r>
      <w:r w:rsidRPr="0054420E">
        <w:rPr>
          <w:b/>
          <w:szCs w:val="22"/>
        </w:rPr>
        <w:t>]</w:t>
      </w:r>
      <w:r>
        <w:rPr>
          <w:szCs w:val="22"/>
        </w:rPr>
        <w:t>%</w:t>
      </w:r>
      <w:r w:rsidRPr="0054420E">
        <w:rPr>
          <w:szCs w:val="22"/>
        </w:rPr>
        <w:t>, respectively</w:t>
      </w:r>
      <w:r>
        <w:rPr>
          <w:szCs w:val="22"/>
        </w:rPr>
        <w:t xml:space="preserve">.  </w:t>
      </w:r>
    </w:p>
  </w:footnote>
  <w:footnote w:id="101">
    <w:p w14:paraId="1C5B72E9" w14:textId="68F7F109" w:rsidR="00B53330" w:rsidRDefault="00B53330" w:rsidP="00B53330">
      <w:pPr>
        <w:pStyle w:val="FootnoteText"/>
      </w:pPr>
      <w:r>
        <w:rPr>
          <w:rStyle w:val="FootnoteReference"/>
        </w:rPr>
        <w:footnoteRef/>
      </w:r>
      <w:r>
        <w:t xml:space="preserve"> </w:t>
      </w:r>
      <w:r>
        <w:rPr>
          <w:szCs w:val="22"/>
        </w:rPr>
        <w:t>I</w:t>
      </w:r>
      <w:r w:rsidRPr="0054420E">
        <w:rPr>
          <w:szCs w:val="22"/>
        </w:rPr>
        <w:t xml:space="preserve">n </w:t>
      </w:r>
      <w:r>
        <w:rPr>
          <w:szCs w:val="22"/>
        </w:rPr>
        <w:t xml:space="preserve">each of </w:t>
      </w:r>
      <w:r>
        <w:t>Altoona and Pennsylvania 11 – Huntingdon,</w:t>
      </w:r>
      <w:r w:rsidRPr="0054420E">
        <w:rPr>
          <w:szCs w:val="22"/>
        </w:rPr>
        <w:t xml:space="preserve"> </w:t>
      </w:r>
      <w:r>
        <w:rPr>
          <w:szCs w:val="22"/>
        </w:rPr>
        <w:t xml:space="preserve">Sprint has a market share of approximately </w:t>
      </w:r>
      <w:r w:rsidRPr="0054420E">
        <w:rPr>
          <w:b/>
          <w:szCs w:val="22"/>
        </w:rPr>
        <w:t>[</w:t>
      </w:r>
      <w:r w:rsidR="00CE15CB">
        <w:rPr>
          <w:b/>
          <w:szCs w:val="22"/>
        </w:rPr>
        <w:t>REDACTED</w:t>
      </w:r>
      <w:r w:rsidRPr="0054420E">
        <w:rPr>
          <w:b/>
          <w:szCs w:val="22"/>
        </w:rPr>
        <w:t>]</w:t>
      </w:r>
      <w:r>
        <w:rPr>
          <w:szCs w:val="22"/>
        </w:rPr>
        <w:t>%</w:t>
      </w:r>
      <w:r w:rsidRPr="0054420E">
        <w:rPr>
          <w:szCs w:val="22"/>
        </w:rPr>
        <w:t>, respectively</w:t>
      </w:r>
      <w:r>
        <w:rPr>
          <w:szCs w:val="22"/>
        </w:rPr>
        <w:t xml:space="preserve">, while T-Mobile has a market share of approximately </w:t>
      </w:r>
      <w:r w:rsidRPr="0054420E">
        <w:rPr>
          <w:b/>
          <w:szCs w:val="22"/>
        </w:rPr>
        <w:t>[</w:t>
      </w:r>
      <w:r w:rsidR="00CE15CB">
        <w:rPr>
          <w:b/>
          <w:szCs w:val="22"/>
        </w:rPr>
        <w:t>REDACTED</w:t>
      </w:r>
      <w:r w:rsidRPr="0054420E">
        <w:rPr>
          <w:b/>
          <w:szCs w:val="22"/>
        </w:rPr>
        <w:t>]</w:t>
      </w:r>
      <w:r>
        <w:rPr>
          <w:szCs w:val="22"/>
        </w:rPr>
        <w:t>%</w:t>
      </w:r>
      <w:r w:rsidRPr="0054420E">
        <w:rPr>
          <w:szCs w:val="22"/>
        </w:rPr>
        <w:t>, respectively</w:t>
      </w:r>
      <w:r>
        <w:rPr>
          <w:szCs w:val="22"/>
        </w:rPr>
        <w:t>.</w:t>
      </w:r>
    </w:p>
  </w:footnote>
  <w:footnote w:id="102">
    <w:p w14:paraId="7B540FC2" w14:textId="77777777" w:rsidR="00B53330" w:rsidRDefault="00B53330" w:rsidP="00B53330">
      <w:pPr>
        <w:pStyle w:val="FootnoteText"/>
      </w:pPr>
      <w:r>
        <w:rPr>
          <w:rStyle w:val="FootnoteReference"/>
        </w:rPr>
        <w:footnoteRef/>
      </w:r>
      <w:r>
        <w:t xml:space="preserve"> </w:t>
      </w:r>
      <w:r>
        <w:rPr>
          <w:szCs w:val="22"/>
        </w:rPr>
        <w:t xml:space="preserve">In terms of their respective 3G networks, in each of </w:t>
      </w:r>
      <w:r>
        <w:t>Altoona and Pennsylvania 11 – Huntingdon</w:t>
      </w:r>
      <w:r>
        <w:rPr>
          <w:szCs w:val="22"/>
        </w:rPr>
        <w:t xml:space="preserve">, </w:t>
      </w:r>
      <w:r w:rsidRPr="009110DC">
        <w:t>AT&amp;T covers</w:t>
      </w:r>
      <w:r w:rsidRPr="00951D01">
        <w:t xml:space="preserve"> </w:t>
      </w:r>
      <w:r>
        <w:t xml:space="preserve">at least </w:t>
      </w:r>
      <w:r w:rsidRPr="009110DC">
        <w:t xml:space="preserve">approximately </w:t>
      </w:r>
      <w:r>
        <w:t>98%</w:t>
      </w:r>
      <w:r w:rsidRPr="009110DC">
        <w:t xml:space="preserve"> of the population and the land area</w:t>
      </w:r>
      <w:r>
        <w:t xml:space="preserve">, while </w:t>
      </w:r>
      <w:r>
        <w:rPr>
          <w:szCs w:val="22"/>
        </w:rPr>
        <w:t xml:space="preserve">Verizon Wireless covers at least approximately 90% of the population, and at least approximately 76% of the land area.  In terms of their respective LTE networks, in each of </w:t>
      </w:r>
      <w:r>
        <w:t>Altoona and Pennsylvania 11 – Huntingdon</w:t>
      </w:r>
      <w:r>
        <w:rPr>
          <w:szCs w:val="22"/>
        </w:rPr>
        <w:t xml:space="preserve">, </w:t>
      </w:r>
      <w:r w:rsidRPr="009110DC">
        <w:t>AT&amp;T covers</w:t>
      </w:r>
      <w:r w:rsidRPr="00951D01">
        <w:t xml:space="preserve"> </w:t>
      </w:r>
      <w:r>
        <w:t>at least approximately 83%</w:t>
      </w:r>
      <w:r w:rsidRPr="009110DC">
        <w:t xml:space="preserve"> </w:t>
      </w:r>
      <w:r>
        <w:t xml:space="preserve">of the population, </w:t>
      </w:r>
      <w:r w:rsidRPr="009110DC">
        <w:t xml:space="preserve">and </w:t>
      </w:r>
      <w:r>
        <w:t xml:space="preserve">at least approximately 67% of </w:t>
      </w:r>
      <w:r w:rsidRPr="009110DC">
        <w:t>the land area</w:t>
      </w:r>
      <w:r>
        <w:t xml:space="preserve">, while </w:t>
      </w:r>
      <w:r>
        <w:rPr>
          <w:szCs w:val="22"/>
        </w:rPr>
        <w:t>Verizon Wireless covers at least approximately 87% of the population, and at least approximately 70% of the land area.</w:t>
      </w:r>
    </w:p>
  </w:footnote>
  <w:footnote w:id="103">
    <w:p w14:paraId="62ED91BE" w14:textId="77777777" w:rsidR="00B53330" w:rsidRDefault="00B53330" w:rsidP="00B53330">
      <w:pPr>
        <w:pStyle w:val="FootnoteText"/>
      </w:pPr>
      <w:r>
        <w:rPr>
          <w:rStyle w:val="FootnoteReference"/>
        </w:rPr>
        <w:footnoteRef/>
      </w:r>
      <w:r>
        <w:t xml:space="preserve"> </w:t>
      </w:r>
      <w:r>
        <w:rPr>
          <w:szCs w:val="22"/>
        </w:rPr>
        <w:t xml:space="preserve">Sprint’s 3G and LTE networks both cover </w:t>
      </w:r>
      <w:r w:rsidRPr="009110DC">
        <w:t xml:space="preserve">approximately </w:t>
      </w:r>
      <w:r>
        <w:t>89%</w:t>
      </w:r>
      <w:r w:rsidRPr="009110DC">
        <w:t xml:space="preserve"> of the population and </w:t>
      </w:r>
      <w:r>
        <w:t xml:space="preserve">50% of </w:t>
      </w:r>
      <w:r w:rsidRPr="009110DC">
        <w:t>the land area</w:t>
      </w:r>
      <w:r>
        <w:rPr>
          <w:szCs w:val="22"/>
        </w:rPr>
        <w:t xml:space="preserve"> in </w:t>
      </w:r>
      <w:r>
        <w:t>Altoona, while the comparable percentages for Pennsylvania 11 – Huntingdon are approximately 44% and 23% respectively.  According to Mosaik, T-Mobile has no 3G or better coverage in Altoona, while it has built out to cover approximately 32% of the population with 3G and LTE in Pennsylvania 11 – Huntingdon, and approximately 10% of the land area</w:t>
      </w:r>
      <w:r>
        <w:rPr>
          <w:szCs w:val="22"/>
        </w:rPr>
        <w:t>.</w:t>
      </w:r>
    </w:p>
  </w:footnote>
  <w:footnote w:id="104">
    <w:p w14:paraId="4EFD0110" w14:textId="77777777" w:rsidR="00B53330" w:rsidRDefault="00B53330" w:rsidP="00B53330">
      <w:pPr>
        <w:pStyle w:val="FootnoteText"/>
      </w:pPr>
      <w:r w:rsidRPr="00E255C7">
        <w:rPr>
          <w:rStyle w:val="FootnoteReference"/>
        </w:rPr>
        <w:footnoteRef/>
      </w:r>
      <w:r w:rsidRPr="00E255C7">
        <w:t xml:space="preserve"> </w:t>
      </w:r>
      <w:r>
        <w:rPr>
          <w:rStyle w:val="StyleParaNumTimesNewRoman11ptChar"/>
          <w:i/>
          <w:iCs/>
          <w:sz w:val="20"/>
          <w:lang w:eastAsia="x-none"/>
        </w:rPr>
        <w:t>See supra</w:t>
      </w:r>
      <w:r w:rsidRPr="001241E2">
        <w:rPr>
          <w:rStyle w:val="StyleParaNumTimesNewRoman11ptChar"/>
          <w:i/>
          <w:iCs/>
          <w:sz w:val="20"/>
          <w:lang w:eastAsia="x-none"/>
        </w:rPr>
        <w:t xml:space="preserve"> </w:t>
      </w:r>
      <w:r>
        <w:rPr>
          <w:rStyle w:val="StyleParaNumTimesNewRoman11ptChar"/>
          <w:sz w:val="20"/>
          <w:lang w:eastAsia="x-none"/>
        </w:rPr>
        <w:t>para.</w:t>
      </w:r>
      <w:r w:rsidRPr="001241E2">
        <w:rPr>
          <w:rStyle w:val="StyleParaNumTimesNewRoman11ptChar"/>
          <w:sz w:val="20"/>
          <w:lang w:eastAsia="x-none"/>
        </w:rPr>
        <w:t xml:space="preserve"> 2</w:t>
      </w:r>
      <w:r>
        <w:rPr>
          <w:rStyle w:val="StyleParaNumTimesNewRoman11ptChar"/>
          <w:sz w:val="20"/>
          <w:lang w:eastAsia="x-none"/>
        </w:rPr>
        <w:t>1</w:t>
      </w:r>
      <w:r w:rsidRPr="001241E2">
        <w:rPr>
          <w:rStyle w:val="StyleParaNumTimesNewRoman11ptChar"/>
          <w:sz w:val="20"/>
          <w:lang w:eastAsia="x-none"/>
        </w:rPr>
        <w:t>.</w:t>
      </w:r>
    </w:p>
  </w:footnote>
  <w:footnote w:id="105">
    <w:p w14:paraId="5B1E90E3" w14:textId="77777777" w:rsidR="00B53330" w:rsidRPr="001241E2" w:rsidRDefault="00B53330" w:rsidP="00B53330">
      <w:pPr>
        <w:pStyle w:val="FootnoteText"/>
      </w:pPr>
      <w:r w:rsidRPr="001241E2">
        <w:rPr>
          <w:rStyle w:val="FootnoteReference"/>
        </w:rPr>
        <w:footnoteRef/>
      </w:r>
      <w:r w:rsidRPr="001241E2">
        <w:t xml:space="preserve"> </w:t>
      </w:r>
      <w:r w:rsidRPr="001241E2">
        <w:rPr>
          <w:i/>
        </w:rPr>
        <w:t>See</w:t>
      </w:r>
      <w:r w:rsidRPr="001241E2">
        <w:t xml:space="preserve">, </w:t>
      </w:r>
      <w:r w:rsidRPr="001241E2">
        <w:rPr>
          <w:i/>
        </w:rPr>
        <w:t>e.g.</w:t>
      </w:r>
      <w:r w:rsidRPr="001241E2">
        <w:t xml:space="preserve">, </w:t>
      </w:r>
      <w:r w:rsidRPr="00BE360A">
        <w:rPr>
          <w:i/>
        </w:rPr>
        <w:t>AT</w:t>
      </w:r>
      <w:r w:rsidRPr="001241E2">
        <w:rPr>
          <w:i/>
        </w:rPr>
        <w:t>&amp;T</w:t>
      </w:r>
      <w:r w:rsidRPr="001241E2">
        <w:rPr>
          <w:i/>
        </w:rPr>
        <w:noBreakHyphen/>
        <w:t>Plateau Wireless Order</w:t>
      </w:r>
      <w:r w:rsidRPr="001241E2">
        <w:t xml:space="preserve">, 30 FCC Rcd at 5126, para. 43; </w:t>
      </w:r>
      <w:r w:rsidRPr="001241E2">
        <w:rPr>
          <w:rStyle w:val="StyleParaNumTimesNewRoman11ptChar"/>
          <w:i/>
          <w:sz w:val="20"/>
          <w:lang w:eastAsia="x-none"/>
        </w:rPr>
        <w:t>AT&amp;T-Leap Order</w:t>
      </w:r>
      <w:r w:rsidRPr="001241E2">
        <w:rPr>
          <w:rStyle w:val="StyleParaNumTimesNewRoman11ptChar"/>
          <w:sz w:val="20"/>
          <w:lang w:eastAsia="x-none"/>
        </w:rPr>
        <w:t xml:space="preserve">, </w:t>
      </w:r>
      <w:r w:rsidRPr="001241E2">
        <w:t>29 FCC Rcd at 2792-93, para. 130</w:t>
      </w:r>
      <w:r>
        <w:t xml:space="preserve">; </w:t>
      </w:r>
      <w:r w:rsidRPr="00D22B64">
        <w:rPr>
          <w:i/>
          <w:iCs/>
        </w:rPr>
        <w:t>SoftBank-Sprint Order</w:t>
      </w:r>
      <w:r w:rsidRPr="00D22B64">
        <w:t>, 28 FCC Rcd at 9677-78</w:t>
      </w:r>
      <w:r>
        <w:t>, para.</w:t>
      </w:r>
      <w:r w:rsidRPr="00D22B64">
        <w:t xml:space="preserve"> 91</w:t>
      </w:r>
      <w:r w:rsidRPr="001241E2">
        <w:t>.</w:t>
      </w:r>
    </w:p>
  </w:footnote>
  <w:footnote w:id="106">
    <w:p w14:paraId="3EA938A5" w14:textId="6F9D9240" w:rsidR="00B53330" w:rsidRPr="001241E2" w:rsidRDefault="00B53330" w:rsidP="00B53330">
      <w:pPr>
        <w:pStyle w:val="FootnoteText"/>
      </w:pPr>
      <w:r w:rsidRPr="001241E2">
        <w:rPr>
          <w:rStyle w:val="FootnoteReference"/>
        </w:rPr>
        <w:footnoteRef/>
      </w:r>
      <w:r w:rsidRPr="001241E2">
        <w:t xml:space="preserve"> </w:t>
      </w:r>
      <w:r w:rsidRPr="001241E2">
        <w:rPr>
          <w:i/>
        </w:rPr>
        <w:t>See</w:t>
      </w:r>
      <w:r w:rsidRPr="001241E2">
        <w:t>,</w:t>
      </w:r>
      <w:r w:rsidRPr="001241E2">
        <w:rPr>
          <w:i/>
        </w:rPr>
        <w:t xml:space="preserve"> e.g</w:t>
      </w:r>
      <w:r w:rsidRPr="001241E2">
        <w:t>.,</w:t>
      </w:r>
      <w:r w:rsidRPr="001241E2">
        <w:rPr>
          <w:rStyle w:val="StyleParaNumTimesNewRoman11ptChar"/>
          <w:i/>
          <w:sz w:val="20"/>
          <w:lang w:eastAsia="x-none"/>
        </w:rPr>
        <w:t xml:space="preserve"> </w:t>
      </w:r>
      <w:r w:rsidRPr="001241E2">
        <w:rPr>
          <w:i/>
          <w:iCs/>
        </w:rPr>
        <w:t>SoftBank-Sprint Order</w:t>
      </w:r>
      <w:r w:rsidRPr="001241E2">
        <w:t>, 28 FCC Rcd at 9678</w:t>
      </w:r>
      <w:r>
        <w:t>,</w:t>
      </w:r>
      <w:r w:rsidRPr="001241E2">
        <w:t xml:space="preserve"> </w:t>
      </w:r>
      <w:r>
        <w:t>para.</w:t>
      </w:r>
      <w:r w:rsidRPr="001241E2">
        <w:t xml:space="preserve"> 92</w:t>
      </w:r>
      <w:r>
        <w:t xml:space="preserve">; </w:t>
      </w:r>
      <w:r w:rsidRPr="00DC7691">
        <w:rPr>
          <w:i/>
        </w:rPr>
        <w:t xml:space="preserve">Alaska Wireless </w:t>
      </w:r>
      <w:r>
        <w:rPr>
          <w:i/>
        </w:rPr>
        <w:t xml:space="preserve">Order, </w:t>
      </w:r>
      <w:r w:rsidRPr="00A5312F">
        <w:t xml:space="preserve">28 FCC Rcd at </w:t>
      </w:r>
      <w:r>
        <w:t xml:space="preserve">10468, para. 86; </w:t>
      </w:r>
      <w:r w:rsidRPr="00936DA3">
        <w:rPr>
          <w:i/>
        </w:rPr>
        <w:t>s</w:t>
      </w:r>
      <w:r>
        <w:rPr>
          <w:i/>
        </w:rPr>
        <w:t>ee also</w:t>
      </w:r>
      <w:r w:rsidRPr="001241E2">
        <w:rPr>
          <w:rStyle w:val="StyleParaNumTimesNewRoman11ptChar"/>
          <w:i/>
          <w:sz w:val="20"/>
          <w:lang w:eastAsia="x-none"/>
        </w:rPr>
        <w:t xml:space="preserve"> AT&amp;T-Leap Order</w:t>
      </w:r>
      <w:r w:rsidRPr="001241E2">
        <w:rPr>
          <w:rStyle w:val="StyleParaNumTimesNewRoman11ptChar"/>
          <w:sz w:val="20"/>
          <w:lang w:eastAsia="x-none"/>
        </w:rPr>
        <w:t xml:space="preserve">, </w:t>
      </w:r>
      <w:r w:rsidRPr="001241E2">
        <w:t xml:space="preserve">29 FCC Rcd at </w:t>
      </w:r>
      <w:r>
        <w:t>2793, para. 131.</w:t>
      </w:r>
    </w:p>
  </w:footnote>
  <w:footnote w:id="107">
    <w:p w14:paraId="7CEEE628" w14:textId="77777777" w:rsidR="00B53330" w:rsidRPr="008774FB" w:rsidRDefault="00B53330" w:rsidP="00B53330">
      <w:pPr>
        <w:widowControl/>
        <w:autoSpaceDE w:val="0"/>
        <w:autoSpaceDN w:val="0"/>
        <w:adjustRightInd w:val="0"/>
        <w:spacing w:after="120"/>
        <w:rPr>
          <w:sz w:val="20"/>
        </w:rPr>
      </w:pPr>
      <w:r w:rsidRPr="008774FB">
        <w:rPr>
          <w:rStyle w:val="FootnoteReference"/>
        </w:rPr>
        <w:footnoteRef/>
      </w:r>
      <w:r w:rsidRPr="00BE360A">
        <w:rPr>
          <w:sz w:val="20"/>
        </w:rPr>
        <w:t xml:space="preserve"> </w:t>
      </w:r>
      <w:r w:rsidRPr="00BE360A">
        <w:rPr>
          <w:i/>
          <w:iCs/>
          <w:snapToGrid/>
          <w:kern w:val="0"/>
          <w:sz w:val="20"/>
        </w:rPr>
        <w:t>See</w:t>
      </w:r>
      <w:r w:rsidRPr="00BE360A">
        <w:rPr>
          <w:snapToGrid/>
          <w:kern w:val="0"/>
          <w:sz w:val="20"/>
        </w:rPr>
        <w:t xml:space="preserve">, </w:t>
      </w:r>
      <w:r w:rsidRPr="00BE360A">
        <w:rPr>
          <w:i/>
          <w:iCs/>
          <w:snapToGrid/>
          <w:kern w:val="0"/>
          <w:sz w:val="20"/>
        </w:rPr>
        <w:t>e.g.</w:t>
      </w:r>
      <w:r w:rsidRPr="00BE360A">
        <w:rPr>
          <w:snapToGrid/>
          <w:kern w:val="0"/>
          <w:sz w:val="20"/>
        </w:rPr>
        <w:t xml:space="preserve">, </w:t>
      </w:r>
      <w:r w:rsidRPr="008774FB">
        <w:rPr>
          <w:rStyle w:val="StyleParaNumTimesNewRoman11ptChar"/>
          <w:i/>
          <w:sz w:val="20"/>
          <w:lang w:eastAsia="x-none"/>
        </w:rPr>
        <w:t>AT&amp;T-Leap Order</w:t>
      </w:r>
      <w:r w:rsidRPr="008774FB">
        <w:rPr>
          <w:rStyle w:val="StyleParaNumTimesNewRoman11ptChar"/>
          <w:sz w:val="20"/>
          <w:lang w:eastAsia="x-none"/>
        </w:rPr>
        <w:t xml:space="preserve">, </w:t>
      </w:r>
      <w:r w:rsidRPr="00BE360A">
        <w:rPr>
          <w:sz w:val="20"/>
        </w:rPr>
        <w:t>29 FCC Rcd at 2793, para. 13</w:t>
      </w:r>
      <w:r>
        <w:rPr>
          <w:sz w:val="20"/>
        </w:rPr>
        <w:t>2</w:t>
      </w:r>
      <w:r w:rsidRPr="008774FB">
        <w:rPr>
          <w:sz w:val="20"/>
        </w:rPr>
        <w:t xml:space="preserve">; </w:t>
      </w:r>
      <w:r w:rsidRPr="00BE360A">
        <w:rPr>
          <w:i/>
          <w:iCs/>
          <w:snapToGrid/>
          <w:kern w:val="0"/>
          <w:sz w:val="20"/>
        </w:rPr>
        <w:t>Alaska Wireless Order</w:t>
      </w:r>
      <w:r w:rsidRPr="00BE360A">
        <w:rPr>
          <w:snapToGrid/>
          <w:kern w:val="0"/>
          <w:sz w:val="20"/>
        </w:rPr>
        <w:t>, 28 FCC Rcd at 10468</w:t>
      </w:r>
      <w:r>
        <w:rPr>
          <w:snapToGrid/>
          <w:kern w:val="0"/>
          <w:sz w:val="20"/>
        </w:rPr>
        <w:t>, para.</w:t>
      </w:r>
      <w:r w:rsidRPr="00BE360A">
        <w:rPr>
          <w:snapToGrid/>
          <w:kern w:val="0"/>
          <w:sz w:val="20"/>
        </w:rPr>
        <w:t xml:space="preserve"> 87; </w:t>
      </w:r>
      <w:r w:rsidRPr="00BE360A">
        <w:rPr>
          <w:i/>
          <w:iCs/>
          <w:snapToGrid/>
          <w:kern w:val="0"/>
          <w:sz w:val="20"/>
        </w:rPr>
        <w:t>SoftBank-Sprint Order</w:t>
      </w:r>
      <w:r w:rsidRPr="00BE360A">
        <w:rPr>
          <w:snapToGrid/>
          <w:kern w:val="0"/>
          <w:sz w:val="20"/>
        </w:rPr>
        <w:t>, 28 FCC Rcd at 9678</w:t>
      </w:r>
      <w:r>
        <w:rPr>
          <w:snapToGrid/>
          <w:kern w:val="0"/>
          <w:sz w:val="20"/>
        </w:rPr>
        <w:t>, para.</w:t>
      </w:r>
      <w:r w:rsidRPr="008A39BA">
        <w:rPr>
          <w:snapToGrid/>
          <w:kern w:val="0"/>
          <w:sz w:val="20"/>
        </w:rPr>
        <w:t xml:space="preserve"> 93</w:t>
      </w:r>
      <w:r w:rsidRPr="00BE360A">
        <w:rPr>
          <w:snapToGrid/>
          <w:kern w:val="0"/>
          <w:sz w:val="20"/>
        </w:rPr>
        <w:t>.</w:t>
      </w:r>
    </w:p>
  </w:footnote>
  <w:footnote w:id="108">
    <w:p w14:paraId="74009306" w14:textId="77777777" w:rsidR="00B53330" w:rsidRPr="008016E2" w:rsidRDefault="00B53330" w:rsidP="00B53330">
      <w:pPr>
        <w:pStyle w:val="FootnoteText"/>
      </w:pPr>
      <w:r w:rsidRPr="008016E2">
        <w:rPr>
          <w:rStyle w:val="FootnoteReference"/>
        </w:rPr>
        <w:footnoteRef/>
      </w:r>
      <w:r>
        <w:t xml:space="preserve"> </w:t>
      </w:r>
      <w:r w:rsidRPr="00FA36AC">
        <w:rPr>
          <w:i/>
        </w:rPr>
        <w:t xml:space="preserve">DOJ/FTC Horizontal Merger Guidelines </w:t>
      </w:r>
      <w:r w:rsidRPr="00FA36AC">
        <w:t>§</w:t>
      </w:r>
      <w:r>
        <w:t xml:space="preserve"> </w:t>
      </w:r>
      <w:r w:rsidRPr="00FA36AC">
        <w:t>10</w:t>
      </w:r>
      <w:r>
        <w:t xml:space="preserve"> </w:t>
      </w:r>
      <w:r w:rsidRPr="001822A3">
        <w:t>&amp; n.13</w:t>
      </w:r>
      <w:r>
        <w:t xml:space="preserve"> </w:t>
      </w:r>
      <w:r w:rsidRPr="00FA36AC">
        <w:t>(stating that “the agencies will not deem efficiencies to be merger-specific if they could be attained by practical alternatives that mitigate competitive concerns, such as divestiture or licensing”).</w:t>
      </w:r>
      <w:r>
        <w:t xml:space="preserve">  </w:t>
      </w:r>
      <w:r w:rsidRPr="00BE360A">
        <w:rPr>
          <w:i/>
        </w:rPr>
        <w:t xml:space="preserve">Cf. </w:t>
      </w:r>
      <w:r w:rsidRPr="0046794A">
        <w:rPr>
          <w:i/>
          <w:iCs/>
        </w:rPr>
        <w:t>Alaska</w:t>
      </w:r>
      <w:r w:rsidRPr="0024161E">
        <w:rPr>
          <w:i/>
          <w:iCs/>
        </w:rPr>
        <w:t xml:space="preserve"> Wireless Order</w:t>
      </w:r>
      <w:r w:rsidRPr="0024161E">
        <w:t>, 28 FCC Rcd at 1046</w:t>
      </w:r>
      <w:r>
        <w:t xml:space="preserve">7, para. </w:t>
      </w:r>
      <w:r w:rsidRPr="0024161E">
        <w:t>8</w:t>
      </w:r>
      <w:r>
        <w:t>5.</w:t>
      </w:r>
    </w:p>
  </w:footnote>
  <w:footnote w:id="109">
    <w:p w14:paraId="55154F2E" w14:textId="77777777" w:rsidR="00B53330" w:rsidRPr="003F0C2C" w:rsidRDefault="00B53330" w:rsidP="00B53330">
      <w:pPr>
        <w:pStyle w:val="FootnoteText"/>
      </w:pPr>
      <w:r w:rsidRPr="003F0C2C">
        <w:rPr>
          <w:rStyle w:val="FootnoteReference"/>
        </w:rPr>
        <w:footnoteRef/>
      </w:r>
      <w:r w:rsidRPr="003F0C2C">
        <w:t xml:space="preserve"> </w:t>
      </w:r>
      <w:r w:rsidRPr="003F0C2C">
        <w:rPr>
          <w:i/>
        </w:rPr>
        <w:t>See</w:t>
      </w:r>
      <w:r w:rsidRPr="003F0C2C">
        <w:t>,</w:t>
      </w:r>
      <w:r w:rsidRPr="003F0C2C">
        <w:rPr>
          <w:i/>
        </w:rPr>
        <w:t xml:space="preserve"> e.g</w:t>
      </w:r>
      <w:r w:rsidRPr="003F0C2C">
        <w:t>.,</w:t>
      </w:r>
      <w:r w:rsidRPr="003F0C2C">
        <w:rPr>
          <w:rStyle w:val="StyleParaNumTimesNewRoman11ptChar"/>
          <w:i/>
          <w:sz w:val="20"/>
          <w:lang w:eastAsia="x-none"/>
        </w:rPr>
        <w:t xml:space="preserve"> AT&amp;T-Leap Order</w:t>
      </w:r>
      <w:r w:rsidRPr="003F0C2C">
        <w:rPr>
          <w:rStyle w:val="StyleParaNumTimesNewRoman11ptChar"/>
          <w:sz w:val="20"/>
          <w:lang w:eastAsia="x-none"/>
        </w:rPr>
        <w:t xml:space="preserve">, </w:t>
      </w:r>
      <w:r w:rsidRPr="003F0C2C">
        <w:t>29 FCC Rcd at 2793, para. 132</w:t>
      </w:r>
      <w:r>
        <w:t>;</w:t>
      </w:r>
      <w:r w:rsidRPr="0024161E">
        <w:rPr>
          <w:i/>
          <w:iCs/>
        </w:rPr>
        <w:t xml:space="preserve"> Alaska Wireless Order</w:t>
      </w:r>
      <w:r w:rsidRPr="0024161E">
        <w:t>, 28 FCC Rcd at 10468</w:t>
      </w:r>
      <w:r>
        <w:t xml:space="preserve">, para. </w:t>
      </w:r>
      <w:r w:rsidRPr="0024161E">
        <w:t xml:space="preserve">87; </w:t>
      </w:r>
      <w:r w:rsidRPr="0024161E">
        <w:rPr>
          <w:i/>
          <w:iCs/>
        </w:rPr>
        <w:t>SoftBank-Sprint Order</w:t>
      </w:r>
      <w:r w:rsidRPr="0024161E">
        <w:t>, 28 FCC Rcd at 9678</w:t>
      </w:r>
      <w:r>
        <w:t xml:space="preserve">, para. </w:t>
      </w:r>
      <w:r w:rsidRPr="003F0C2C">
        <w:t>93.</w:t>
      </w:r>
    </w:p>
  </w:footnote>
  <w:footnote w:id="110">
    <w:p w14:paraId="2D8B773F" w14:textId="77777777" w:rsidR="00B53330" w:rsidRPr="0038577E" w:rsidRDefault="00B53330" w:rsidP="00B53330">
      <w:pPr>
        <w:pStyle w:val="FootnoteText"/>
      </w:pPr>
      <w:r w:rsidRPr="0038577E">
        <w:rPr>
          <w:rStyle w:val="FootnoteReference"/>
        </w:rPr>
        <w:footnoteRef/>
      </w:r>
      <w:r w:rsidRPr="0038577E">
        <w:t xml:space="preserve"> </w:t>
      </w:r>
      <w:r w:rsidRPr="0038577E">
        <w:rPr>
          <w:i/>
        </w:rPr>
        <w:t>See</w:t>
      </w:r>
      <w:r w:rsidRPr="0038577E">
        <w:t>,</w:t>
      </w:r>
      <w:r w:rsidRPr="0038577E">
        <w:rPr>
          <w:i/>
        </w:rPr>
        <w:t xml:space="preserve"> e.g</w:t>
      </w:r>
      <w:r w:rsidRPr="0038577E">
        <w:t>.,</w:t>
      </w:r>
      <w:r w:rsidRPr="0038577E">
        <w:rPr>
          <w:rStyle w:val="StyleParaNumTimesNewRoman11ptChar"/>
          <w:i/>
          <w:sz w:val="20"/>
          <w:lang w:eastAsia="x-none"/>
        </w:rPr>
        <w:t xml:space="preserve"> AT&amp;T-Leap Order</w:t>
      </w:r>
      <w:r w:rsidRPr="0038577E">
        <w:rPr>
          <w:rStyle w:val="StyleParaNumTimesNewRoman11ptChar"/>
          <w:sz w:val="20"/>
          <w:lang w:eastAsia="x-none"/>
        </w:rPr>
        <w:t xml:space="preserve">, </w:t>
      </w:r>
      <w:r w:rsidRPr="0038577E">
        <w:t>29 FCC Rcd at 2793, para. 132</w:t>
      </w:r>
      <w:r>
        <w:t>;</w:t>
      </w:r>
      <w:r w:rsidRPr="00BE360A">
        <w:rPr>
          <w:i/>
          <w:iCs/>
        </w:rPr>
        <w:t xml:space="preserve"> Alaska Wireless Order</w:t>
      </w:r>
      <w:r w:rsidRPr="00BE360A">
        <w:t>, 28 FCC Rcd at 10468</w:t>
      </w:r>
      <w:r w:rsidRPr="0038577E">
        <w:t xml:space="preserve">, para. </w:t>
      </w:r>
      <w:r w:rsidRPr="00BE360A">
        <w:t xml:space="preserve">87; </w:t>
      </w:r>
      <w:r w:rsidRPr="00BE360A">
        <w:rPr>
          <w:i/>
          <w:iCs/>
        </w:rPr>
        <w:t>SoftBank-Sprint Order</w:t>
      </w:r>
      <w:r w:rsidRPr="00BE360A">
        <w:t>, 28 FCC Rcd at 9678</w:t>
      </w:r>
      <w:r w:rsidRPr="0038577E">
        <w:t>, para. 93.</w:t>
      </w:r>
    </w:p>
  </w:footnote>
  <w:footnote w:id="111">
    <w:p w14:paraId="5A6A7610" w14:textId="77777777" w:rsidR="00B53330" w:rsidRPr="007554E7" w:rsidRDefault="00B53330" w:rsidP="00B53330">
      <w:pPr>
        <w:widowControl/>
        <w:autoSpaceDE w:val="0"/>
        <w:autoSpaceDN w:val="0"/>
        <w:adjustRightInd w:val="0"/>
        <w:spacing w:after="120"/>
        <w:rPr>
          <w:sz w:val="20"/>
        </w:rPr>
      </w:pPr>
      <w:r w:rsidRPr="0038577E">
        <w:rPr>
          <w:rStyle w:val="FootnoteReference"/>
        </w:rPr>
        <w:footnoteRef/>
      </w:r>
      <w:r w:rsidRPr="0038577E">
        <w:rPr>
          <w:sz w:val="20"/>
        </w:rPr>
        <w:t xml:space="preserve"> </w:t>
      </w:r>
      <w:r w:rsidRPr="0038577E">
        <w:rPr>
          <w:i/>
          <w:sz w:val="20"/>
        </w:rPr>
        <w:t>See</w:t>
      </w:r>
      <w:r w:rsidRPr="0038577E">
        <w:rPr>
          <w:sz w:val="20"/>
        </w:rPr>
        <w:t>,</w:t>
      </w:r>
      <w:r w:rsidRPr="0038577E">
        <w:rPr>
          <w:i/>
          <w:sz w:val="20"/>
        </w:rPr>
        <w:t xml:space="preserve"> e.g</w:t>
      </w:r>
      <w:r w:rsidRPr="0038577E">
        <w:rPr>
          <w:sz w:val="20"/>
        </w:rPr>
        <w:t>.,</w:t>
      </w:r>
      <w:r w:rsidRPr="0038577E">
        <w:rPr>
          <w:rStyle w:val="StyleParaNumTimesNewRoman11ptChar"/>
          <w:i/>
          <w:sz w:val="20"/>
          <w:lang w:eastAsia="x-none"/>
        </w:rPr>
        <w:t xml:space="preserve"> AT&amp;T-Leap Order</w:t>
      </w:r>
      <w:r w:rsidRPr="0038577E">
        <w:rPr>
          <w:rStyle w:val="StyleParaNumTimesNewRoman11ptChar"/>
          <w:sz w:val="20"/>
          <w:lang w:eastAsia="x-none"/>
        </w:rPr>
        <w:t xml:space="preserve">, </w:t>
      </w:r>
      <w:r w:rsidRPr="0038577E">
        <w:rPr>
          <w:sz w:val="20"/>
        </w:rPr>
        <w:t>29 FCC Rcd at 2793, para. 132</w:t>
      </w:r>
      <w:r>
        <w:rPr>
          <w:sz w:val="20"/>
        </w:rPr>
        <w:t>;</w:t>
      </w:r>
      <w:r w:rsidRPr="0038577E">
        <w:rPr>
          <w:i/>
          <w:iCs/>
          <w:sz w:val="20"/>
        </w:rPr>
        <w:t xml:space="preserve"> </w:t>
      </w:r>
      <w:r w:rsidRPr="0038577E">
        <w:rPr>
          <w:i/>
          <w:iCs/>
          <w:snapToGrid/>
          <w:kern w:val="0"/>
          <w:sz w:val="20"/>
        </w:rPr>
        <w:t>Alaska Wireless Order</w:t>
      </w:r>
      <w:r w:rsidRPr="0038577E">
        <w:rPr>
          <w:snapToGrid/>
          <w:kern w:val="0"/>
          <w:sz w:val="20"/>
        </w:rPr>
        <w:t>, 28 FCC Rcd at 10468</w:t>
      </w:r>
      <w:r w:rsidRPr="00BE360A">
        <w:rPr>
          <w:sz w:val="20"/>
        </w:rPr>
        <w:t xml:space="preserve">, para. </w:t>
      </w:r>
      <w:r w:rsidRPr="0038577E">
        <w:rPr>
          <w:snapToGrid/>
          <w:kern w:val="0"/>
          <w:sz w:val="20"/>
        </w:rPr>
        <w:t>87</w:t>
      </w:r>
      <w:r w:rsidRPr="007554E7">
        <w:rPr>
          <w:sz w:val="20"/>
        </w:rPr>
        <w:t>.</w:t>
      </w:r>
    </w:p>
  </w:footnote>
  <w:footnote w:id="112">
    <w:p w14:paraId="41403D46" w14:textId="77777777" w:rsidR="00B53330" w:rsidRPr="0038577E" w:rsidRDefault="00B53330" w:rsidP="00B53330">
      <w:pPr>
        <w:pStyle w:val="FootnoteText"/>
      </w:pPr>
      <w:r w:rsidRPr="008016E2">
        <w:rPr>
          <w:rStyle w:val="FootnoteCharacters"/>
        </w:rPr>
        <w:footnoteRef/>
      </w:r>
      <w:r w:rsidRPr="008016E2">
        <w:t xml:space="preserve"> </w:t>
      </w:r>
      <w:r w:rsidRPr="008016E2">
        <w:rPr>
          <w:rStyle w:val="FootnoteTextCharChar1"/>
          <w:i/>
        </w:rPr>
        <w:t xml:space="preserve">See </w:t>
      </w:r>
      <w:r>
        <w:rPr>
          <w:i/>
        </w:rPr>
        <w:t xml:space="preserve">e.g., </w:t>
      </w:r>
      <w:r w:rsidRPr="001241E2">
        <w:rPr>
          <w:rStyle w:val="StyleParaNumTimesNewRoman11ptChar"/>
          <w:i/>
          <w:sz w:val="20"/>
          <w:lang w:eastAsia="x-none"/>
        </w:rPr>
        <w:t xml:space="preserve">AT&amp;T-Leap </w:t>
      </w:r>
      <w:r w:rsidRPr="00CD74C7">
        <w:rPr>
          <w:rStyle w:val="StyleParaNumTimesNewRoman11ptChar"/>
          <w:i/>
          <w:sz w:val="20"/>
          <w:lang w:eastAsia="x-none"/>
        </w:rPr>
        <w:t>Order</w:t>
      </w:r>
      <w:r w:rsidRPr="0038577E">
        <w:rPr>
          <w:rStyle w:val="StyleParaNumTimesNewRoman11ptChar"/>
          <w:sz w:val="20"/>
          <w:lang w:eastAsia="x-none"/>
        </w:rPr>
        <w:t xml:space="preserve">, </w:t>
      </w:r>
      <w:r w:rsidRPr="0038577E">
        <w:t xml:space="preserve">29 FCC Rcd at 2793-94, para. 132; </w:t>
      </w:r>
      <w:r w:rsidRPr="00BE360A">
        <w:rPr>
          <w:i/>
          <w:iCs/>
        </w:rPr>
        <w:t>Alaska Wireless Order</w:t>
      </w:r>
      <w:r w:rsidRPr="00BE360A">
        <w:t>, 28 FCC Rcd at 10468</w:t>
      </w:r>
      <w:r>
        <w:t xml:space="preserve">, </w:t>
      </w:r>
      <w:r w:rsidRPr="0038577E">
        <w:t>para.</w:t>
      </w:r>
      <w:r w:rsidRPr="00BE360A">
        <w:t xml:space="preserve"> 87</w:t>
      </w:r>
      <w:r w:rsidRPr="0038577E">
        <w:t xml:space="preserve">. </w:t>
      </w:r>
    </w:p>
  </w:footnote>
  <w:footnote w:id="113">
    <w:p w14:paraId="587B6AC3" w14:textId="77777777" w:rsidR="00B53330" w:rsidRPr="00BE360A" w:rsidRDefault="00B53330" w:rsidP="00B53330">
      <w:pPr>
        <w:widowControl/>
        <w:autoSpaceDE w:val="0"/>
        <w:autoSpaceDN w:val="0"/>
        <w:adjustRightInd w:val="0"/>
        <w:spacing w:after="120"/>
        <w:rPr>
          <w:sz w:val="20"/>
        </w:rPr>
      </w:pPr>
      <w:r w:rsidRPr="0038577E">
        <w:rPr>
          <w:rStyle w:val="FootnoteReference"/>
        </w:rPr>
        <w:footnoteRef/>
      </w:r>
      <w:r w:rsidRPr="00BE360A">
        <w:rPr>
          <w:sz w:val="20"/>
        </w:rPr>
        <w:t xml:space="preserve"> </w:t>
      </w:r>
      <w:r w:rsidRPr="00BE360A">
        <w:rPr>
          <w:i/>
          <w:sz w:val="20"/>
        </w:rPr>
        <w:t>See</w:t>
      </w:r>
      <w:r w:rsidRPr="00BE360A">
        <w:rPr>
          <w:sz w:val="20"/>
        </w:rPr>
        <w:t>,</w:t>
      </w:r>
      <w:r w:rsidRPr="00BE360A">
        <w:rPr>
          <w:i/>
          <w:sz w:val="20"/>
        </w:rPr>
        <w:t xml:space="preserve"> e.g</w:t>
      </w:r>
      <w:r>
        <w:rPr>
          <w:i/>
          <w:sz w:val="20"/>
        </w:rPr>
        <w:t xml:space="preserve">., </w:t>
      </w:r>
      <w:r w:rsidRPr="00BE360A">
        <w:rPr>
          <w:i/>
          <w:sz w:val="20"/>
        </w:rPr>
        <w:t>AT&amp;T</w:t>
      </w:r>
      <w:r w:rsidRPr="00BE360A">
        <w:rPr>
          <w:i/>
          <w:sz w:val="20"/>
        </w:rPr>
        <w:noBreakHyphen/>
        <w:t>Plateau Wireless Order</w:t>
      </w:r>
      <w:r w:rsidRPr="00BE360A">
        <w:rPr>
          <w:sz w:val="20"/>
        </w:rPr>
        <w:t xml:space="preserve">, 30 FCC Rcd at 5126-27, para. 44; </w:t>
      </w:r>
      <w:r w:rsidRPr="00BE360A">
        <w:rPr>
          <w:i/>
          <w:sz w:val="20"/>
        </w:rPr>
        <w:t>AT&amp;T-Club 42 Order</w:t>
      </w:r>
      <w:r w:rsidRPr="00BE360A">
        <w:rPr>
          <w:sz w:val="20"/>
        </w:rPr>
        <w:t>, 30 FCC Rcd at 13074, para. 40</w:t>
      </w:r>
      <w:r w:rsidRPr="00BE360A">
        <w:rPr>
          <w:i/>
          <w:sz w:val="20"/>
        </w:rPr>
        <w:t xml:space="preserve">; </w:t>
      </w:r>
      <w:r w:rsidRPr="00BE360A">
        <w:rPr>
          <w:i/>
          <w:iCs/>
          <w:snapToGrid/>
          <w:kern w:val="0"/>
          <w:sz w:val="20"/>
        </w:rPr>
        <w:t>Alaska Wireless Order</w:t>
      </w:r>
      <w:r w:rsidRPr="00BE360A">
        <w:rPr>
          <w:snapToGrid/>
          <w:kern w:val="0"/>
          <w:sz w:val="20"/>
        </w:rPr>
        <w:t>, 28 FCC Rcd at 10468</w:t>
      </w:r>
      <w:r>
        <w:rPr>
          <w:snapToGrid/>
          <w:kern w:val="0"/>
          <w:sz w:val="20"/>
        </w:rPr>
        <w:t>, para.</w:t>
      </w:r>
      <w:r w:rsidRPr="00BE360A">
        <w:rPr>
          <w:snapToGrid/>
          <w:kern w:val="0"/>
          <w:sz w:val="20"/>
        </w:rPr>
        <w:t xml:space="preserve"> 88; </w:t>
      </w:r>
      <w:r w:rsidRPr="00BE360A">
        <w:rPr>
          <w:i/>
          <w:iCs/>
          <w:snapToGrid/>
          <w:kern w:val="0"/>
          <w:sz w:val="20"/>
        </w:rPr>
        <w:t>SoftBank-Sprint Order</w:t>
      </w:r>
      <w:r w:rsidRPr="00BE360A">
        <w:rPr>
          <w:snapToGrid/>
          <w:kern w:val="0"/>
          <w:sz w:val="20"/>
        </w:rPr>
        <w:t>, 28 FCC Rcd at 9678</w:t>
      </w:r>
      <w:r>
        <w:rPr>
          <w:snapToGrid/>
          <w:kern w:val="0"/>
          <w:sz w:val="20"/>
        </w:rPr>
        <w:t xml:space="preserve">, para. </w:t>
      </w:r>
      <w:r w:rsidRPr="00BE360A">
        <w:rPr>
          <w:snapToGrid/>
          <w:kern w:val="0"/>
          <w:sz w:val="20"/>
        </w:rPr>
        <w:t>93</w:t>
      </w:r>
      <w:r>
        <w:rPr>
          <w:snapToGrid/>
          <w:kern w:val="0"/>
          <w:sz w:val="20"/>
        </w:rPr>
        <w:t>.</w:t>
      </w:r>
    </w:p>
  </w:footnote>
  <w:footnote w:id="114">
    <w:p w14:paraId="11BBADDC" w14:textId="77777777" w:rsidR="00B53330" w:rsidRPr="0038577E" w:rsidRDefault="00B53330" w:rsidP="00B53330">
      <w:pPr>
        <w:widowControl/>
        <w:autoSpaceDE w:val="0"/>
        <w:autoSpaceDN w:val="0"/>
        <w:adjustRightInd w:val="0"/>
        <w:spacing w:after="120"/>
        <w:rPr>
          <w:sz w:val="20"/>
        </w:rPr>
      </w:pPr>
      <w:r w:rsidRPr="001241E2">
        <w:rPr>
          <w:rStyle w:val="FootnoteReference"/>
        </w:rPr>
        <w:footnoteRef/>
      </w:r>
      <w:r w:rsidRPr="001241E2">
        <w:t xml:space="preserve"> </w:t>
      </w:r>
      <w:r w:rsidRPr="00BE360A">
        <w:rPr>
          <w:i/>
          <w:sz w:val="20"/>
        </w:rPr>
        <w:t>See</w:t>
      </w:r>
      <w:r w:rsidRPr="00BE360A">
        <w:rPr>
          <w:sz w:val="20"/>
        </w:rPr>
        <w:t>,</w:t>
      </w:r>
      <w:r w:rsidRPr="00BE360A">
        <w:rPr>
          <w:i/>
          <w:sz w:val="20"/>
        </w:rPr>
        <w:t xml:space="preserve"> e.g.</w:t>
      </w:r>
      <w:r w:rsidRPr="00BE360A">
        <w:rPr>
          <w:sz w:val="20"/>
        </w:rPr>
        <w:t>,</w:t>
      </w:r>
      <w:r w:rsidRPr="00BE360A">
        <w:rPr>
          <w:i/>
          <w:sz w:val="20"/>
        </w:rPr>
        <w:t xml:space="preserve"> AT&amp;T-Club 42 Order</w:t>
      </w:r>
      <w:r w:rsidRPr="00BE360A">
        <w:rPr>
          <w:sz w:val="20"/>
        </w:rPr>
        <w:t>, 30 FCC Rcd at 13074, para. 40</w:t>
      </w:r>
      <w:r>
        <w:rPr>
          <w:sz w:val="20"/>
        </w:rPr>
        <w:t xml:space="preserve">; </w:t>
      </w:r>
      <w:r w:rsidRPr="00936DA3">
        <w:rPr>
          <w:i/>
          <w:sz w:val="20"/>
        </w:rPr>
        <w:t>s</w:t>
      </w:r>
      <w:r>
        <w:rPr>
          <w:i/>
          <w:iCs/>
          <w:snapToGrid/>
          <w:kern w:val="0"/>
          <w:sz w:val="20"/>
        </w:rPr>
        <w:t>ee also</w:t>
      </w:r>
      <w:r w:rsidRPr="00BE360A">
        <w:rPr>
          <w:snapToGrid/>
          <w:kern w:val="0"/>
          <w:sz w:val="20"/>
        </w:rPr>
        <w:t xml:space="preserve"> </w:t>
      </w:r>
      <w:r w:rsidRPr="00BE360A">
        <w:rPr>
          <w:i/>
          <w:iCs/>
          <w:snapToGrid/>
          <w:kern w:val="0"/>
          <w:sz w:val="20"/>
        </w:rPr>
        <w:t>AT&amp;T-Leap Order</w:t>
      </w:r>
      <w:r>
        <w:rPr>
          <w:iCs/>
          <w:snapToGrid/>
          <w:kern w:val="0"/>
          <w:sz w:val="20"/>
        </w:rPr>
        <w:t>,</w:t>
      </w:r>
      <w:r w:rsidRPr="00BE360A">
        <w:rPr>
          <w:i/>
          <w:iCs/>
          <w:snapToGrid/>
          <w:kern w:val="0"/>
          <w:sz w:val="20"/>
        </w:rPr>
        <w:t xml:space="preserve"> </w:t>
      </w:r>
      <w:r w:rsidRPr="00BE360A">
        <w:rPr>
          <w:snapToGrid/>
          <w:kern w:val="0"/>
          <w:sz w:val="20"/>
        </w:rPr>
        <w:t>29 FCC Rcd at 2794</w:t>
      </w:r>
      <w:r>
        <w:rPr>
          <w:snapToGrid/>
          <w:kern w:val="0"/>
          <w:sz w:val="20"/>
        </w:rPr>
        <w:t xml:space="preserve">, para. </w:t>
      </w:r>
      <w:r w:rsidRPr="00BE360A">
        <w:rPr>
          <w:snapToGrid/>
          <w:kern w:val="0"/>
          <w:sz w:val="20"/>
        </w:rPr>
        <w:t xml:space="preserve">131; </w:t>
      </w:r>
      <w:r w:rsidRPr="00BE360A">
        <w:rPr>
          <w:i/>
          <w:iCs/>
          <w:snapToGrid/>
          <w:kern w:val="0"/>
          <w:sz w:val="20"/>
        </w:rPr>
        <w:t>Alaska Wireless Order</w:t>
      </w:r>
      <w:r w:rsidRPr="00BE360A">
        <w:rPr>
          <w:snapToGrid/>
          <w:kern w:val="0"/>
          <w:sz w:val="20"/>
        </w:rPr>
        <w:t>, 28 FCC Rcd at 10468</w:t>
      </w:r>
      <w:r>
        <w:rPr>
          <w:snapToGrid/>
          <w:kern w:val="0"/>
          <w:sz w:val="20"/>
        </w:rPr>
        <w:t xml:space="preserve">, para. </w:t>
      </w:r>
      <w:r w:rsidRPr="00BE360A">
        <w:rPr>
          <w:snapToGrid/>
          <w:kern w:val="0"/>
          <w:sz w:val="20"/>
        </w:rPr>
        <w:t>88;</w:t>
      </w:r>
      <w:r>
        <w:rPr>
          <w:snapToGrid/>
          <w:kern w:val="0"/>
          <w:sz w:val="20"/>
        </w:rPr>
        <w:t xml:space="preserve"> </w:t>
      </w:r>
      <w:r w:rsidRPr="00BE360A">
        <w:rPr>
          <w:i/>
          <w:iCs/>
          <w:snapToGrid/>
          <w:kern w:val="0"/>
          <w:sz w:val="20"/>
        </w:rPr>
        <w:t>SoftBank-Sprint Order</w:t>
      </w:r>
      <w:r w:rsidRPr="00BE360A">
        <w:rPr>
          <w:snapToGrid/>
          <w:kern w:val="0"/>
          <w:sz w:val="20"/>
        </w:rPr>
        <w:t>, 28 FCC Rcd at 9678</w:t>
      </w:r>
      <w:r>
        <w:rPr>
          <w:snapToGrid/>
          <w:kern w:val="0"/>
          <w:sz w:val="20"/>
        </w:rPr>
        <w:t xml:space="preserve">, para. </w:t>
      </w:r>
      <w:r w:rsidRPr="00BE360A">
        <w:rPr>
          <w:snapToGrid/>
          <w:kern w:val="0"/>
          <w:sz w:val="20"/>
        </w:rPr>
        <w:t xml:space="preserve">93; </w:t>
      </w:r>
      <w:r w:rsidRPr="00BE360A">
        <w:rPr>
          <w:i/>
          <w:iCs/>
          <w:snapToGrid/>
          <w:kern w:val="0"/>
          <w:sz w:val="20"/>
        </w:rPr>
        <w:t xml:space="preserve">cf. 2010 DOJ/FTC Horizontal Merger Guidelines </w:t>
      </w:r>
      <w:r w:rsidRPr="00BE360A">
        <w:rPr>
          <w:snapToGrid/>
          <w:kern w:val="0"/>
          <w:sz w:val="20"/>
        </w:rPr>
        <w:t>at § 10, p. 31.</w:t>
      </w:r>
    </w:p>
  </w:footnote>
  <w:footnote w:id="115">
    <w:p w14:paraId="68097D6D" w14:textId="77777777" w:rsidR="00B53330" w:rsidRPr="001241E2" w:rsidRDefault="00B53330" w:rsidP="00B53330">
      <w:pPr>
        <w:pStyle w:val="FootnoteText"/>
      </w:pPr>
      <w:r w:rsidRPr="001241E2">
        <w:rPr>
          <w:rStyle w:val="FootnoteReference"/>
        </w:rPr>
        <w:footnoteRef/>
      </w:r>
      <w:r w:rsidRPr="001241E2">
        <w:t xml:space="preserve"> Public Interest Statement at 4</w:t>
      </w:r>
      <w:r>
        <w:t>, 6-7</w:t>
      </w:r>
      <w:r w:rsidRPr="001241E2">
        <w:t>.</w:t>
      </w:r>
    </w:p>
  </w:footnote>
  <w:footnote w:id="116">
    <w:p w14:paraId="4F1DBAC1" w14:textId="77777777" w:rsidR="00B53330" w:rsidRPr="001241E2" w:rsidRDefault="00B53330" w:rsidP="00B53330">
      <w:pPr>
        <w:pStyle w:val="FootnoteText"/>
      </w:pPr>
      <w:r w:rsidRPr="001241E2">
        <w:rPr>
          <w:rStyle w:val="FootnoteReference"/>
        </w:rPr>
        <w:footnoteRef/>
      </w:r>
      <w:r w:rsidRPr="001241E2">
        <w:t xml:space="preserve"> </w:t>
      </w:r>
      <w:r w:rsidRPr="00733906">
        <w:rPr>
          <w:i/>
        </w:rPr>
        <w:t>Id</w:t>
      </w:r>
      <w:r>
        <w:t xml:space="preserve">. </w:t>
      </w:r>
      <w:r w:rsidRPr="001241E2">
        <w:t>at 4.</w:t>
      </w:r>
    </w:p>
  </w:footnote>
  <w:footnote w:id="117">
    <w:p w14:paraId="42925721" w14:textId="77777777" w:rsidR="00B53330" w:rsidRPr="0098405D" w:rsidRDefault="00B53330" w:rsidP="00B53330">
      <w:pPr>
        <w:pStyle w:val="FootnoteText"/>
      </w:pPr>
      <w:r>
        <w:rPr>
          <w:rStyle w:val="FootnoteReference"/>
        </w:rPr>
        <w:footnoteRef/>
      </w:r>
      <w:r>
        <w:t xml:space="preserve"> </w:t>
      </w:r>
      <w:r w:rsidRPr="00733906">
        <w:rPr>
          <w:i/>
        </w:rPr>
        <w:t>Id</w:t>
      </w:r>
      <w:r>
        <w:t xml:space="preserve">. at 2-3.  The Applicants assert that the transaction does not involve the integration of wireless networks using incompatible technologies since both networks </w:t>
      </w:r>
      <w:r w:rsidRPr="00B736A0">
        <w:t>use CDMA and LTE technology</w:t>
      </w:r>
      <w:r>
        <w:t xml:space="preserve"> and that this should facilitate the integration process.  Sprint Dec. 4, 2015 </w:t>
      </w:r>
      <w:r w:rsidRPr="00192E4A">
        <w:t>I</w:t>
      </w:r>
      <w:r>
        <w:t>nformation Request Response</w:t>
      </w:r>
      <w:r w:rsidRPr="00192E4A">
        <w:t xml:space="preserve"> at </w:t>
      </w:r>
      <w:r>
        <w:t>3, 11;</w:t>
      </w:r>
      <w:r w:rsidRPr="00E4283D">
        <w:t xml:space="preserve"> </w:t>
      </w:r>
      <w:r>
        <w:rPr>
          <w:i/>
        </w:rPr>
        <w:t xml:space="preserve">see also </w:t>
      </w:r>
      <w:r>
        <w:t>SPRINT-FCC-01-4c-000996.</w:t>
      </w:r>
    </w:p>
  </w:footnote>
  <w:footnote w:id="118">
    <w:p w14:paraId="03255EBD" w14:textId="77777777" w:rsidR="00B53330" w:rsidRDefault="00B53330" w:rsidP="00B53330">
      <w:pPr>
        <w:pStyle w:val="FootnoteText"/>
      </w:pPr>
      <w:r>
        <w:rPr>
          <w:rStyle w:val="FootnoteReference"/>
        </w:rPr>
        <w:footnoteRef/>
      </w:r>
      <w:r>
        <w:t xml:space="preserve"> </w:t>
      </w:r>
      <w:r w:rsidRPr="00192E4A">
        <w:t>Shentel Dec. 4, 2015 I</w:t>
      </w:r>
      <w:r>
        <w:t xml:space="preserve">nformation </w:t>
      </w:r>
      <w:r w:rsidRPr="00192E4A">
        <w:t>R</w:t>
      </w:r>
      <w:r>
        <w:t>equest</w:t>
      </w:r>
      <w:r w:rsidRPr="00192E4A">
        <w:t xml:space="preserve"> Response</w:t>
      </w:r>
      <w:r>
        <w:t xml:space="preserve"> at 9-10, 13</w:t>
      </w:r>
      <w:r w:rsidRPr="00192E4A">
        <w:t>.</w:t>
      </w:r>
    </w:p>
  </w:footnote>
  <w:footnote w:id="119">
    <w:p w14:paraId="4BB032A7" w14:textId="77777777" w:rsidR="00B53330" w:rsidRPr="00C74AA2" w:rsidRDefault="00B53330" w:rsidP="00B53330">
      <w:pPr>
        <w:pStyle w:val="FootnoteText"/>
      </w:pPr>
      <w:r>
        <w:rPr>
          <w:rStyle w:val="FootnoteReference"/>
        </w:rPr>
        <w:footnoteRef/>
      </w:r>
      <w:r>
        <w:t xml:space="preserve"> Public Interest Statement at 5; </w:t>
      </w:r>
      <w:r w:rsidRPr="00192E4A">
        <w:t>Shentel Dec. 4, 2015 I</w:t>
      </w:r>
      <w:r>
        <w:t>nformation Request</w:t>
      </w:r>
      <w:r w:rsidRPr="00192E4A">
        <w:t xml:space="preserve"> Response</w:t>
      </w:r>
      <w:r>
        <w:t xml:space="preserve"> at 3, 11-13.</w:t>
      </w:r>
    </w:p>
  </w:footnote>
  <w:footnote w:id="120">
    <w:p w14:paraId="41942123" w14:textId="77777777" w:rsidR="00B53330" w:rsidRDefault="00B53330" w:rsidP="00B53330">
      <w:pPr>
        <w:pStyle w:val="FootnoteText"/>
      </w:pPr>
      <w:r>
        <w:rPr>
          <w:rStyle w:val="FootnoteReference"/>
        </w:rPr>
        <w:footnoteRef/>
      </w:r>
      <w:r>
        <w:t xml:space="preserve"> </w:t>
      </w:r>
      <w:r w:rsidRPr="00192E4A">
        <w:t xml:space="preserve">Shentel Dec. 4, 2015 </w:t>
      </w:r>
      <w:r>
        <w:t>Information Request</w:t>
      </w:r>
      <w:r w:rsidRPr="00192E4A">
        <w:t xml:space="preserve"> Response</w:t>
      </w:r>
      <w:r>
        <w:t xml:space="preserve"> at 13; </w:t>
      </w:r>
      <w:r>
        <w:rPr>
          <w:i/>
        </w:rPr>
        <w:t>s</w:t>
      </w:r>
      <w:r w:rsidRPr="00151A07">
        <w:rPr>
          <w:i/>
        </w:rPr>
        <w:t>ee also</w:t>
      </w:r>
      <w:r>
        <w:t xml:space="preserve"> </w:t>
      </w:r>
      <w:r w:rsidRPr="00151A07">
        <w:t>SHENTEL-FCC-01-03-000375 to SHENTEL-FCC-01-03-000938</w:t>
      </w:r>
      <w:r>
        <w:t xml:space="preserve">.  </w:t>
      </w:r>
      <w:r w:rsidRPr="00151A07">
        <w:t xml:space="preserve">In addition, Shentel </w:t>
      </w:r>
      <w:r>
        <w:t xml:space="preserve">states that it </w:t>
      </w:r>
      <w:r w:rsidRPr="00151A07">
        <w:t>has over 4,000 route-miles of fiber optic network facilities in Virginia and West Virginia that will be utilized to</w:t>
      </w:r>
      <w:r>
        <w:t xml:space="preserve"> </w:t>
      </w:r>
      <w:r w:rsidRPr="00151A07">
        <w:t xml:space="preserve">transport data and voice traffic for many of the current </w:t>
      </w:r>
      <w:r>
        <w:t>NTELOS</w:t>
      </w:r>
      <w:r w:rsidRPr="00151A07">
        <w:t xml:space="preserve"> cell sites</w:t>
      </w:r>
      <w:r>
        <w:t xml:space="preserve">.  </w:t>
      </w:r>
      <w:r w:rsidRPr="00192E4A">
        <w:t>Shentel Dec. 4, 2015 I</w:t>
      </w:r>
      <w:r>
        <w:t>nformation Request</w:t>
      </w:r>
      <w:r w:rsidRPr="00192E4A">
        <w:t xml:space="preserve"> Response</w:t>
      </w:r>
      <w:r>
        <w:t xml:space="preserve"> at 13.</w:t>
      </w:r>
    </w:p>
  </w:footnote>
  <w:footnote w:id="121">
    <w:p w14:paraId="6AC81ED8" w14:textId="51CC3F30" w:rsidR="00B53330" w:rsidRPr="004E10F7" w:rsidRDefault="00B53330" w:rsidP="00B53330">
      <w:pPr>
        <w:widowControl/>
        <w:autoSpaceDE w:val="0"/>
        <w:autoSpaceDN w:val="0"/>
        <w:adjustRightInd w:val="0"/>
        <w:spacing w:after="120"/>
        <w:rPr>
          <w:sz w:val="20"/>
        </w:rPr>
      </w:pPr>
      <w:r w:rsidRPr="004E10F7">
        <w:rPr>
          <w:rStyle w:val="FootnoteReference"/>
        </w:rPr>
        <w:footnoteRef/>
      </w:r>
      <w:r w:rsidRPr="00BC6B80">
        <w:rPr>
          <w:sz w:val="20"/>
        </w:rPr>
        <w:t xml:space="preserve"> Public Interest Statement at 5; SPRINT-FCC-01-4c-001007</w:t>
      </w:r>
      <w:r>
        <w:rPr>
          <w:sz w:val="20"/>
        </w:rPr>
        <w:t xml:space="preserve">; </w:t>
      </w:r>
      <w:r>
        <w:rPr>
          <w:i/>
          <w:sz w:val="20"/>
        </w:rPr>
        <w:t>s</w:t>
      </w:r>
      <w:r w:rsidRPr="00BC6B80">
        <w:rPr>
          <w:i/>
          <w:sz w:val="20"/>
        </w:rPr>
        <w:t>ee</w:t>
      </w:r>
      <w:r w:rsidRPr="00BC6B80">
        <w:rPr>
          <w:sz w:val="20"/>
        </w:rPr>
        <w:t xml:space="preserve"> </w:t>
      </w:r>
      <w:r w:rsidRPr="00BC6B80">
        <w:rPr>
          <w:i/>
          <w:sz w:val="20"/>
        </w:rPr>
        <w:t xml:space="preserve">also </w:t>
      </w:r>
      <w:r w:rsidRPr="00BC6B80">
        <w:rPr>
          <w:sz w:val="20"/>
        </w:rPr>
        <w:t>Shentel Dec. 4, 2015 Information Request Response at 3</w:t>
      </w:r>
      <w:r>
        <w:rPr>
          <w:sz w:val="20"/>
        </w:rPr>
        <w:t xml:space="preserve"> (</w:t>
      </w:r>
      <w:r w:rsidRPr="00BC6B80">
        <w:rPr>
          <w:snapToGrid/>
          <w:kern w:val="0"/>
          <w:sz w:val="20"/>
        </w:rPr>
        <w:t>Shentel</w:t>
      </w:r>
      <w:r>
        <w:rPr>
          <w:snapToGrid/>
          <w:kern w:val="0"/>
          <w:sz w:val="20"/>
        </w:rPr>
        <w:t xml:space="preserve"> states that its</w:t>
      </w:r>
      <w:r w:rsidRPr="00BC6B80">
        <w:rPr>
          <w:snapToGrid/>
          <w:kern w:val="0"/>
          <w:sz w:val="20"/>
        </w:rPr>
        <w:t xml:space="preserve"> planned investment also includes approximately </w:t>
      </w:r>
      <w:r w:rsidRPr="004E10F7">
        <w:rPr>
          <w:snapToGrid/>
          <w:kern w:val="0"/>
          <w:sz w:val="20"/>
        </w:rPr>
        <w:t>[</w:t>
      </w:r>
      <w:r w:rsidR="00CE15CB">
        <w:rPr>
          <w:b/>
          <w:bCs/>
          <w:snapToGrid/>
          <w:kern w:val="0"/>
          <w:sz w:val="20"/>
        </w:rPr>
        <w:t>REDACTED</w:t>
      </w:r>
      <w:r>
        <w:rPr>
          <w:b/>
          <w:bCs/>
          <w:snapToGrid/>
          <w:kern w:val="0"/>
          <w:sz w:val="20"/>
        </w:rPr>
        <w:t>]</w:t>
      </w:r>
      <w:r w:rsidRPr="00BC6B80">
        <w:rPr>
          <w:snapToGrid/>
          <w:kern w:val="0"/>
          <w:sz w:val="20"/>
        </w:rPr>
        <w:t xml:space="preserve"> to add approximately</w:t>
      </w:r>
      <w:r>
        <w:rPr>
          <w:snapToGrid/>
          <w:kern w:val="0"/>
          <w:sz w:val="20"/>
        </w:rPr>
        <w:t xml:space="preserve"> </w:t>
      </w:r>
      <w:r w:rsidRPr="00BC6B80">
        <w:rPr>
          <w:snapToGrid/>
          <w:kern w:val="0"/>
          <w:sz w:val="20"/>
        </w:rPr>
        <w:t>150 new cell sites to expand service to rural areas throughout southern Virginia and West Virginia</w:t>
      </w:r>
      <w:r>
        <w:rPr>
          <w:snapToGrid/>
          <w:kern w:val="0"/>
          <w:sz w:val="20"/>
        </w:rPr>
        <w:t>).</w:t>
      </w:r>
    </w:p>
  </w:footnote>
  <w:footnote w:id="122">
    <w:p w14:paraId="1A542A39" w14:textId="70942372" w:rsidR="00B53330" w:rsidRPr="00BC6B80" w:rsidRDefault="00B53330" w:rsidP="00B53330">
      <w:pPr>
        <w:widowControl/>
        <w:autoSpaceDE w:val="0"/>
        <w:autoSpaceDN w:val="0"/>
        <w:adjustRightInd w:val="0"/>
        <w:spacing w:after="120"/>
        <w:rPr>
          <w:snapToGrid/>
          <w:sz w:val="20"/>
        </w:rPr>
      </w:pPr>
      <w:r w:rsidRPr="004E10F7">
        <w:rPr>
          <w:rStyle w:val="FootnoteReference"/>
        </w:rPr>
        <w:footnoteRef/>
      </w:r>
      <w:r w:rsidRPr="00BC6B80">
        <w:rPr>
          <w:sz w:val="20"/>
        </w:rPr>
        <w:t xml:space="preserve"> Shentel Dec. 4, 2015 Information Request Response at 3.  Shentel claims that it will substantially complete these network enhancements and upgrades within [</w:t>
      </w:r>
      <w:r w:rsidR="00CE15CB">
        <w:rPr>
          <w:b/>
          <w:sz w:val="20"/>
        </w:rPr>
        <w:t>REDACTED</w:t>
      </w:r>
      <w:r w:rsidRPr="00BC6B80">
        <w:rPr>
          <w:sz w:val="20"/>
        </w:rPr>
        <w:t xml:space="preserve">] months after the </w:t>
      </w:r>
      <w:r>
        <w:rPr>
          <w:sz w:val="20"/>
        </w:rPr>
        <w:t xml:space="preserve">proposed </w:t>
      </w:r>
      <w:r w:rsidRPr="00BC6B80">
        <w:rPr>
          <w:snapToGrid/>
          <w:sz w:val="20"/>
        </w:rPr>
        <w:t xml:space="preserve">transaction closes.  </w:t>
      </w:r>
      <w:r w:rsidRPr="00BC6B80">
        <w:rPr>
          <w:i/>
          <w:snapToGrid/>
          <w:sz w:val="20"/>
        </w:rPr>
        <w:t>Id</w:t>
      </w:r>
      <w:r w:rsidRPr="00BC6B80">
        <w:rPr>
          <w:snapToGrid/>
          <w:sz w:val="20"/>
        </w:rPr>
        <w:t>. at 3.</w:t>
      </w:r>
    </w:p>
  </w:footnote>
  <w:footnote w:id="123">
    <w:p w14:paraId="29E499F6" w14:textId="77777777" w:rsidR="00B53330" w:rsidRDefault="00B53330" w:rsidP="00B53330">
      <w:pPr>
        <w:pStyle w:val="FootnoteText"/>
      </w:pPr>
      <w:r>
        <w:rPr>
          <w:rStyle w:val="FootnoteReference"/>
        </w:rPr>
        <w:footnoteRef/>
      </w:r>
      <w:r>
        <w:t xml:space="preserve"> Shentel </w:t>
      </w:r>
      <w:r w:rsidRPr="00192E4A">
        <w:t xml:space="preserve">Dec. 4, 2015 </w:t>
      </w:r>
      <w:r>
        <w:t xml:space="preserve">Information Request Response at 3.  </w:t>
      </w:r>
    </w:p>
  </w:footnote>
  <w:footnote w:id="124">
    <w:p w14:paraId="41F33042" w14:textId="77777777" w:rsidR="00B53330" w:rsidRPr="00F30668" w:rsidRDefault="00B53330" w:rsidP="00B53330">
      <w:pPr>
        <w:pStyle w:val="FootnoteText"/>
      </w:pPr>
      <w:r>
        <w:rPr>
          <w:rStyle w:val="FootnoteReference"/>
        </w:rPr>
        <w:footnoteRef/>
      </w:r>
      <w:r>
        <w:t xml:space="preserve"> </w:t>
      </w:r>
      <w:r w:rsidRPr="00733906">
        <w:rPr>
          <w:i/>
        </w:rPr>
        <w:t>Id</w:t>
      </w:r>
      <w:r>
        <w:t>. at 4.</w:t>
      </w:r>
    </w:p>
  </w:footnote>
  <w:footnote w:id="125">
    <w:p w14:paraId="298F2F2A" w14:textId="77777777" w:rsidR="00B53330" w:rsidRPr="00F657D3" w:rsidRDefault="00B53330" w:rsidP="00B53330">
      <w:pPr>
        <w:pStyle w:val="FootnoteText"/>
        <w:rPr>
          <w:i/>
        </w:rPr>
      </w:pPr>
      <w:r>
        <w:rPr>
          <w:rStyle w:val="FootnoteReference"/>
        </w:rPr>
        <w:footnoteRef/>
      </w:r>
      <w:r>
        <w:t xml:space="preserve"> Public Interest Statement at 5.</w:t>
      </w:r>
    </w:p>
  </w:footnote>
  <w:footnote w:id="126">
    <w:p w14:paraId="75113A44" w14:textId="58806A13" w:rsidR="00B53330" w:rsidRPr="00383A10" w:rsidRDefault="00B53330" w:rsidP="00B53330">
      <w:pPr>
        <w:pStyle w:val="FootnoteText"/>
      </w:pPr>
      <w:r>
        <w:rPr>
          <w:rStyle w:val="FootnoteReference"/>
        </w:rPr>
        <w:footnoteRef/>
      </w:r>
      <w:r>
        <w:t xml:space="preserve"> </w:t>
      </w:r>
      <w:r>
        <w:rPr>
          <w:i/>
        </w:rPr>
        <w:t>Id.</w:t>
      </w:r>
      <w:r>
        <w:t xml:space="preserve">; </w:t>
      </w:r>
      <w:r w:rsidR="00572AF6">
        <w:rPr>
          <w:i/>
        </w:rPr>
        <w:t xml:space="preserve">see also </w:t>
      </w:r>
      <w:r>
        <w:t>SPRINT-FCC-01-4b-000329-</w:t>
      </w:r>
      <w:r w:rsidRPr="00383A10">
        <w:t xml:space="preserve"> </w:t>
      </w:r>
      <w:r>
        <w:t>SPRINT-FCC-01-4b-000934.</w:t>
      </w:r>
    </w:p>
  </w:footnote>
  <w:footnote w:id="127">
    <w:p w14:paraId="30F54501" w14:textId="77777777" w:rsidR="00B53330" w:rsidRPr="0009642A" w:rsidRDefault="00B53330" w:rsidP="00B53330">
      <w:pPr>
        <w:pStyle w:val="FootnoteText"/>
      </w:pPr>
      <w:r>
        <w:rPr>
          <w:rStyle w:val="FootnoteReference"/>
        </w:rPr>
        <w:footnoteRef/>
      </w:r>
      <w:r>
        <w:t xml:space="preserve"> Sprint Dec. 4, 2015 Information Request Response at 4-5; </w:t>
      </w:r>
      <w:r>
        <w:rPr>
          <w:i/>
        </w:rPr>
        <w:t>s</w:t>
      </w:r>
      <w:r w:rsidRPr="00835C5A">
        <w:rPr>
          <w:i/>
        </w:rPr>
        <w:t>ee also</w:t>
      </w:r>
      <w:r>
        <w:t xml:space="preserve"> </w:t>
      </w:r>
      <w:r w:rsidRPr="00C351D5">
        <w:t>SPRINT-FCC-01-4a-000324</w:t>
      </w:r>
      <w:r>
        <w:t xml:space="preserve">, </w:t>
      </w:r>
      <w:r w:rsidRPr="002742C3">
        <w:t>SPRINT-FCC-01-4b-000329</w:t>
      </w:r>
      <w:r>
        <w:t>.</w:t>
      </w:r>
    </w:p>
  </w:footnote>
  <w:footnote w:id="128">
    <w:p w14:paraId="4C650C68" w14:textId="77777777" w:rsidR="00B53330" w:rsidRPr="00883D02" w:rsidRDefault="00B53330" w:rsidP="00B53330">
      <w:pPr>
        <w:pStyle w:val="FootnoteText"/>
      </w:pPr>
      <w:r>
        <w:rPr>
          <w:rStyle w:val="FootnoteReference"/>
        </w:rPr>
        <w:footnoteRef/>
      </w:r>
      <w:r>
        <w:t xml:space="preserve"> Public Interest Statement at 5; Sprint Dec. 4, 2015 Information Request Response at 4; </w:t>
      </w:r>
      <w:r>
        <w:rPr>
          <w:i/>
        </w:rPr>
        <w:t>s</w:t>
      </w:r>
      <w:r w:rsidRPr="00026262">
        <w:rPr>
          <w:i/>
        </w:rPr>
        <w:t>ee also</w:t>
      </w:r>
      <w:r>
        <w:t xml:space="preserve"> </w:t>
      </w:r>
      <w:r w:rsidRPr="00026262">
        <w:t>SPRINT-FCC-01-4a-000313</w:t>
      </w:r>
      <w:r>
        <w:t xml:space="preserve">, </w:t>
      </w:r>
      <w:r w:rsidRPr="00C351D5">
        <w:t>SPRINT-FCC-01-4a-000316</w:t>
      </w:r>
      <w:r>
        <w:t>, SPRINT-FCC-01-4c-000970.</w:t>
      </w:r>
    </w:p>
  </w:footnote>
  <w:footnote w:id="129">
    <w:p w14:paraId="5B99D1D7" w14:textId="77777777" w:rsidR="00B53330" w:rsidRDefault="00B53330" w:rsidP="00B53330">
      <w:pPr>
        <w:pStyle w:val="FootnoteText"/>
      </w:pPr>
      <w:r>
        <w:rPr>
          <w:rStyle w:val="FootnoteReference"/>
        </w:rPr>
        <w:footnoteRef/>
      </w:r>
      <w:r>
        <w:t xml:space="preserve"> Public Interest Statement at 5-6; Sprint Dec. 4, 2015 Information Request Response at 4; </w:t>
      </w:r>
      <w:r w:rsidRPr="00B67C7A">
        <w:t>SPRINT-FCC-01-2-000004</w:t>
      </w:r>
      <w:r>
        <w:t xml:space="preserve">; </w:t>
      </w:r>
      <w:r>
        <w:rPr>
          <w:i/>
        </w:rPr>
        <w:t>s</w:t>
      </w:r>
      <w:r w:rsidRPr="00BC6B80">
        <w:rPr>
          <w:i/>
        </w:rPr>
        <w:t>ee also</w:t>
      </w:r>
      <w:r>
        <w:t xml:space="preserve"> Shentel </w:t>
      </w:r>
      <w:r w:rsidRPr="00192E4A">
        <w:t xml:space="preserve">Dec. 4, 2015 </w:t>
      </w:r>
      <w:r>
        <w:t>Information Request Response at 4.</w:t>
      </w:r>
    </w:p>
  </w:footnote>
  <w:footnote w:id="130">
    <w:p w14:paraId="3713F9B3" w14:textId="77777777" w:rsidR="00B53330" w:rsidRDefault="00B53330" w:rsidP="00B53330">
      <w:pPr>
        <w:pStyle w:val="FootnoteText"/>
      </w:pPr>
      <w:r>
        <w:rPr>
          <w:rStyle w:val="FootnoteReference"/>
        </w:rPr>
        <w:footnoteRef/>
      </w:r>
      <w:r>
        <w:t xml:space="preserve"> Public Interest Statement at 13.</w:t>
      </w:r>
    </w:p>
  </w:footnote>
  <w:footnote w:id="131">
    <w:p w14:paraId="145F24A4" w14:textId="77777777" w:rsidR="00B53330" w:rsidRPr="00936DA3" w:rsidRDefault="00B53330" w:rsidP="00B53330">
      <w:pPr>
        <w:pStyle w:val="FootnoteText"/>
        <w:rPr>
          <w:b/>
        </w:rPr>
      </w:pPr>
      <w:r>
        <w:rPr>
          <w:rStyle w:val="FootnoteReference"/>
        </w:rPr>
        <w:footnoteRef/>
      </w:r>
      <w:r>
        <w:t xml:space="preserve"> Letter from </w:t>
      </w:r>
      <w:r w:rsidRPr="0026213A">
        <w:t>James B. Goldstein</w:t>
      </w:r>
      <w:r>
        <w:t xml:space="preserve">, </w:t>
      </w:r>
      <w:r w:rsidRPr="0026213A">
        <w:t>Senior Counsel, Legal and Government Affairs</w:t>
      </w:r>
      <w:r>
        <w:t xml:space="preserve">, Sprint Corp. and </w:t>
      </w:r>
      <w:r w:rsidRPr="0026213A">
        <w:t>K.C. Halm</w:t>
      </w:r>
      <w:r>
        <w:t xml:space="preserve">, </w:t>
      </w:r>
      <w:r w:rsidRPr="004A54BE">
        <w:rPr>
          <w:iCs/>
        </w:rPr>
        <w:t>Counsel for Shenandoah Personal Communications, LLC</w:t>
      </w:r>
      <w:r>
        <w:t xml:space="preserve">, to </w:t>
      </w:r>
      <w:r w:rsidRPr="0026213A">
        <w:t>Marlene H. Dortch, Secretary</w:t>
      </w:r>
      <w:r>
        <w:t xml:space="preserve">, WT Docket No. 15-262 at 5 (filed April 12, 2016) (Sprint/Shentel Commitment Letter), attached as Appendix 1.  </w:t>
      </w:r>
    </w:p>
  </w:footnote>
  <w:footnote w:id="132">
    <w:p w14:paraId="210D6E8A" w14:textId="77777777" w:rsidR="00B53330" w:rsidRDefault="00B53330" w:rsidP="00B53330">
      <w:pPr>
        <w:pStyle w:val="FootnoteText"/>
      </w:pPr>
      <w:r>
        <w:rPr>
          <w:rStyle w:val="FootnoteReference"/>
        </w:rPr>
        <w:footnoteRef/>
      </w:r>
      <w:r>
        <w:t xml:space="preserve"> </w:t>
      </w:r>
      <w:r>
        <w:rPr>
          <w:i/>
        </w:rPr>
        <w:t>Id</w:t>
      </w:r>
      <w:r w:rsidRPr="00936DA3">
        <w:t>.</w:t>
      </w:r>
    </w:p>
  </w:footnote>
  <w:footnote w:id="133">
    <w:p w14:paraId="1B565823" w14:textId="77777777" w:rsidR="00B53330" w:rsidRDefault="00B53330" w:rsidP="00B53330">
      <w:pPr>
        <w:pStyle w:val="FootnoteText"/>
      </w:pPr>
      <w:r>
        <w:rPr>
          <w:rStyle w:val="FootnoteReference"/>
        </w:rPr>
        <w:footnoteRef/>
      </w:r>
      <w:r>
        <w:t xml:space="preserve"> </w:t>
      </w:r>
      <w:r w:rsidRPr="00733906">
        <w:rPr>
          <w:i/>
        </w:rPr>
        <w:t>Id</w:t>
      </w:r>
      <w:r>
        <w:t xml:space="preserve">. </w:t>
      </w:r>
      <w:r w:rsidRPr="004A54BE">
        <w:t>at 5</w:t>
      </w:r>
      <w:r>
        <w:t>, n.2</w:t>
      </w:r>
      <w:r w:rsidRPr="004A54BE">
        <w:t>.</w:t>
      </w:r>
    </w:p>
  </w:footnote>
  <w:footnote w:id="134">
    <w:p w14:paraId="5A7FEC70" w14:textId="77777777" w:rsidR="00B53330" w:rsidRPr="004A54BE" w:rsidRDefault="00B53330" w:rsidP="00B53330">
      <w:pPr>
        <w:widowControl/>
        <w:autoSpaceDE w:val="0"/>
        <w:autoSpaceDN w:val="0"/>
        <w:adjustRightInd w:val="0"/>
        <w:spacing w:after="120"/>
        <w:rPr>
          <w:sz w:val="20"/>
        </w:rPr>
      </w:pPr>
      <w:r w:rsidRPr="005F20EA">
        <w:rPr>
          <w:rStyle w:val="FootnoteReference"/>
        </w:rPr>
        <w:footnoteRef/>
      </w:r>
      <w:r>
        <w:t xml:space="preserve"> </w:t>
      </w:r>
      <w:r w:rsidRPr="00040F71">
        <w:rPr>
          <w:sz w:val="20"/>
        </w:rPr>
        <w:t>Sprint/Shentel Commitment Letter</w:t>
      </w:r>
      <w:r w:rsidRPr="00D87717">
        <w:rPr>
          <w:i/>
        </w:rPr>
        <w:t xml:space="preserve"> </w:t>
      </w:r>
      <w:r w:rsidRPr="004A54BE">
        <w:rPr>
          <w:sz w:val="20"/>
        </w:rPr>
        <w:t xml:space="preserve">at 5. </w:t>
      </w:r>
      <w:r>
        <w:rPr>
          <w:sz w:val="20"/>
        </w:rPr>
        <w:t xml:space="preserve"> The Applicants note that </w:t>
      </w:r>
      <w:r w:rsidRPr="00A85FDF">
        <w:rPr>
          <w:snapToGrid/>
          <w:kern w:val="0"/>
          <w:sz w:val="20"/>
        </w:rPr>
        <w:t>customers will be responsible for continuing payment of any remaining installment payments they currently have under their existing NTELOS plan (for their existing handset) until that obligation is</w:t>
      </w:r>
      <w:r>
        <w:rPr>
          <w:snapToGrid/>
          <w:kern w:val="0"/>
          <w:sz w:val="20"/>
        </w:rPr>
        <w:t xml:space="preserve"> </w:t>
      </w:r>
      <w:r w:rsidRPr="00A85FDF">
        <w:rPr>
          <w:snapToGrid/>
          <w:kern w:val="0"/>
          <w:sz w:val="20"/>
        </w:rPr>
        <w:t xml:space="preserve">satisfied. </w:t>
      </w:r>
      <w:r>
        <w:rPr>
          <w:snapToGrid/>
          <w:kern w:val="0"/>
          <w:sz w:val="20"/>
        </w:rPr>
        <w:t xml:space="preserve"> </w:t>
      </w:r>
      <w:r w:rsidRPr="00A85FDF">
        <w:rPr>
          <w:snapToGrid/>
          <w:kern w:val="0"/>
          <w:sz w:val="20"/>
        </w:rPr>
        <w:t>However, the Applicants will not assess any additional charges for the replacement handsets, even in</w:t>
      </w:r>
      <w:r>
        <w:rPr>
          <w:snapToGrid/>
          <w:kern w:val="0"/>
          <w:sz w:val="20"/>
        </w:rPr>
        <w:t xml:space="preserve"> </w:t>
      </w:r>
      <w:r w:rsidRPr="00A85FDF">
        <w:rPr>
          <w:snapToGrid/>
          <w:kern w:val="0"/>
          <w:sz w:val="20"/>
        </w:rPr>
        <w:t>those circumstances where the replacement handset has more features or is more expensive than their replacement</w:t>
      </w:r>
      <w:r>
        <w:rPr>
          <w:snapToGrid/>
          <w:kern w:val="0"/>
          <w:sz w:val="20"/>
        </w:rPr>
        <w:t xml:space="preserve"> </w:t>
      </w:r>
      <w:r w:rsidRPr="004A54BE">
        <w:rPr>
          <w:snapToGrid/>
          <w:kern w:val="0"/>
          <w:sz w:val="20"/>
        </w:rPr>
        <w:t>handset.</w:t>
      </w:r>
      <w:r>
        <w:rPr>
          <w:snapToGrid/>
          <w:kern w:val="0"/>
          <w:sz w:val="20"/>
        </w:rPr>
        <w:t xml:space="preserve"> </w:t>
      </w:r>
      <w:r w:rsidRPr="00936DA3">
        <w:rPr>
          <w:i/>
          <w:sz w:val="20"/>
        </w:rPr>
        <w:t>Id.</w:t>
      </w:r>
      <w:r>
        <w:rPr>
          <w:i/>
        </w:rPr>
        <w:t xml:space="preserve"> </w:t>
      </w:r>
      <w:r w:rsidRPr="004A54BE">
        <w:rPr>
          <w:sz w:val="20"/>
        </w:rPr>
        <w:t>at 5</w:t>
      </w:r>
      <w:r>
        <w:rPr>
          <w:sz w:val="20"/>
        </w:rPr>
        <w:t xml:space="preserve"> &amp; n.3. </w:t>
      </w:r>
    </w:p>
  </w:footnote>
  <w:footnote w:id="135">
    <w:p w14:paraId="789E6797" w14:textId="77777777" w:rsidR="00B53330" w:rsidRDefault="00B53330" w:rsidP="00B53330">
      <w:pPr>
        <w:pStyle w:val="FootnoteText"/>
      </w:pPr>
      <w:r>
        <w:rPr>
          <w:rStyle w:val="FootnoteReference"/>
        </w:rPr>
        <w:footnoteRef/>
      </w:r>
      <w:r>
        <w:t xml:space="preserve"> Sprint/Shentel Commitment Letter at 5.  Following this period, these prepaid customers will be served off of Sprint’s billing and service platform.  </w:t>
      </w:r>
      <w:r>
        <w:rPr>
          <w:i/>
        </w:rPr>
        <w:t xml:space="preserve">Id. </w:t>
      </w:r>
      <w:r>
        <w:t>at 5.</w:t>
      </w:r>
    </w:p>
  </w:footnote>
  <w:footnote w:id="136">
    <w:p w14:paraId="6FF90310" w14:textId="77777777" w:rsidR="00B53330" w:rsidRDefault="00B53330" w:rsidP="00B53330">
      <w:pPr>
        <w:pStyle w:val="FootnoteText"/>
      </w:pPr>
      <w:r>
        <w:rPr>
          <w:rStyle w:val="FootnoteReference"/>
        </w:rPr>
        <w:footnoteRef/>
      </w:r>
      <w:r>
        <w:t xml:space="preserve"> Public Interest Statement at 6-9.</w:t>
      </w:r>
    </w:p>
  </w:footnote>
  <w:footnote w:id="137">
    <w:p w14:paraId="3EF77CB7" w14:textId="52E2E0AE" w:rsidR="00B53330" w:rsidRDefault="00B53330" w:rsidP="00B53330">
      <w:pPr>
        <w:pStyle w:val="FootnoteText"/>
      </w:pPr>
      <w:r>
        <w:rPr>
          <w:rStyle w:val="FootnoteReference"/>
        </w:rPr>
        <w:footnoteRef/>
      </w:r>
      <w:r>
        <w:t xml:space="preserve"> </w:t>
      </w:r>
      <w:r w:rsidR="00CE15CB">
        <w:t xml:space="preserve">Public Interest Statement </w:t>
      </w:r>
      <w:r>
        <w:t>at 6-9.</w:t>
      </w:r>
    </w:p>
  </w:footnote>
  <w:footnote w:id="138">
    <w:p w14:paraId="377854B8" w14:textId="77777777" w:rsidR="00B53330" w:rsidRPr="00A90340" w:rsidRDefault="00B53330" w:rsidP="00B53330">
      <w:pPr>
        <w:pStyle w:val="FootnoteText"/>
      </w:pPr>
      <w:r>
        <w:rPr>
          <w:rStyle w:val="FootnoteReference"/>
        </w:rPr>
        <w:footnoteRef/>
      </w:r>
      <w:r>
        <w:t xml:space="preserve"> Public Interest Statement at 7, 9.  The Applicants state that </w:t>
      </w:r>
      <w:r w:rsidRPr="009F2D59">
        <w:t>Sprint and Shentel have amended their affiliate agreement to incorporate build-out</w:t>
      </w:r>
      <w:r>
        <w:t xml:space="preserve"> </w:t>
      </w:r>
      <w:r w:rsidRPr="009F2D59">
        <w:t>plans and expansion of the NTELOS network and have extended the agreement for five years to</w:t>
      </w:r>
      <w:r>
        <w:t xml:space="preserve"> </w:t>
      </w:r>
      <w:r w:rsidRPr="009F2D59">
        <w:t xml:space="preserve">2029. </w:t>
      </w:r>
      <w:r>
        <w:t xml:space="preserve"> Public Interest Statement at 9.  The Applicants contend that the e</w:t>
      </w:r>
      <w:r w:rsidRPr="009F2D59">
        <w:t>xtension of the Sprint/Shentel affiliate agreement incentivizes the parties to enhance the</w:t>
      </w:r>
      <w:r>
        <w:t xml:space="preserve"> </w:t>
      </w:r>
      <w:r w:rsidRPr="009F2D59">
        <w:t>network and aggressively upgrade the current NTELOS network</w:t>
      </w:r>
      <w:r>
        <w:t>.</w:t>
      </w:r>
      <w:r w:rsidRPr="009F2D59">
        <w:t xml:space="preserve"> </w:t>
      </w:r>
      <w:r>
        <w:t xml:space="preserve"> </w:t>
      </w:r>
      <w:r w:rsidRPr="00192E4A">
        <w:t xml:space="preserve">Shentel Dec. 4, 2015 </w:t>
      </w:r>
      <w:r>
        <w:t>Information Request</w:t>
      </w:r>
      <w:r w:rsidRPr="00192E4A">
        <w:t xml:space="preserve"> Response</w:t>
      </w:r>
      <w:r>
        <w:t xml:space="preserve"> at 8.</w:t>
      </w:r>
    </w:p>
  </w:footnote>
  <w:footnote w:id="139">
    <w:p w14:paraId="1E56E153" w14:textId="77777777" w:rsidR="00B53330" w:rsidRDefault="00B53330" w:rsidP="00B53330">
      <w:pPr>
        <w:pStyle w:val="FootnoteText"/>
      </w:pPr>
      <w:r>
        <w:rPr>
          <w:rStyle w:val="FootnoteReference"/>
        </w:rPr>
        <w:footnoteRef/>
      </w:r>
      <w:r>
        <w:t xml:space="preserve"> Public Interest Statement at 9.</w:t>
      </w:r>
    </w:p>
  </w:footnote>
  <w:footnote w:id="140">
    <w:p w14:paraId="060EF5C3" w14:textId="77777777" w:rsidR="00B53330" w:rsidRDefault="00B53330" w:rsidP="00B53330">
      <w:pPr>
        <w:pStyle w:val="FootnoteText"/>
      </w:pPr>
      <w:r>
        <w:rPr>
          <w:rStyle w:val="FootnoteReference"/>
        </w:rPr>
        <w:footnoteRef/>
      </w:r>
      <w:r>
        <w:t xml:space="preserve"> Public Interest Statement at 9; </w:t>
      </w:r>
      <w:r>
        <w:rPr>
          <w:i/>
        </w:rPr>
        <w:t>se</w:t>
      </w:r>
      <w:r w:rsidRPr="00DD1B4C">
        <w:rPr>
          <w:i/>
        </w:rPr>
        <w:t>e also</w:t>
      </w:r>
      <w:r>
        <w:t xml:space="preserve"> </w:t>
      </w:r>
      <w:r w:rsidRPr="00DD1B4C">
        <w:t>SPRINT-FCC-01-4c-001013</w:t>
      </w:r>
      <w:r>
        <w:t xml:space="preserve"> at 6-8.</w:t>
      </w:r>
    </w:p>
  </w:footnote>
  <w:footnote w:id="141">
    <w:p w14:paraId="06F6EDB2" w14:textId="77777777" w:rsidR="00B53330" w:rsidRDefault="00B53330" w:rsidP="00B53330">
      <w:pPr>
        <w:pStyle w:val="FootnoteText"/>
      </w:pPr>
      <w:r>
        <w:rPr>
          <w:rStyle w:val="FootnoteReference"/>
        </w:rPr>
        <w:footnoteRef/>
      </w:r>
      <w:r>
        <w:t xml:space="preserve"> </w:t>
      </w:r>
      <w:r>
        <w:rPr>
          <w:i/>
        </w:rPr>
        <w:t>See</w:t>
      </w:r>
      <w:r>
        <w:t xml:space="preserve">, </w:t>
      </w:r>
      <w:r>
        <w:rPr>
          <w:i/>
        </w:rPr>
        <w:t>e.g.</w:t>
      </w:r>
      <w:r>
        <w:t xml:space="preserve">, </w:t>
      </w:r>
      <w:r w:rsidRPr="006E29EF">
        <w:rPr>
          <w:i/>
        </w:rPr>
        <w:t>AT&amp;T-CPI</w:t>
      </w:r>
      <w:r w:rsidRPr="006E29EF">
        <w:t xml:space="preserve"> </w:t>
      </w:r>
      <w:r w:rsidRPr="006E29EF">
        <w:rPr>
          <w:i/>
        </w:rPr>
        <w:t>Order</w:t>
      </w:r>
      <w:r>
        <w:t>, 31 FCC Rcd at 329-30,</w:t>
      </w:r>
      <w:r w:rsidRPr="00AC1A9B">
        <w:t xml:space="preserve"> </w:t>
      </w:r>
      <w:r>
        <w:t xml:space="preserve">para. 30; </w:t>
      </w:r>
      <w:r>
        <w:rPr>
          <w:i/>
        </w:rPr>
        <w:t>AT&amp;T-Plateau Wireless Order</w:t>
      </w:r>
      <w:r>
        <w:t>, 30 FCC Rcd at 5129-30, para. 54.</w:t>
      </w:r>
    </w:p>
  </w:footnote>
  <w:footnote w:id="142">
    <w:p w14:paraId="4A096D73" w14:textId="77777777" w:rsidR="00B53330" w:rsidRPr="0087317E" w:rsidRDefault="00B53330" w:rsidP="00B53330">
      <w:pPr>
        <w:pStyle w:val="FootnoteText"/>
      </w:pPr>
      <w:r>
        <w:rPr>
          <w:rStyle w:val="FootnoteReference"/>
        </w:rPr>
        <w:footnoteRef/>
      </w:r>
      <w:r>
        <w:t xml:space="preserve"> </w:t>
      </w:r>
      <w:r>
        <w:rPr>
          <w:i/>
        </w:rPr>
        <w:t>See</w:t>
      </w:r>
      <w:r>
        <w:t xml:space="preserve">, </w:t>
      </w:r>
      <w:r>
        <w:rPr>
          <w:i/>
        </w:rPr>
        <w:t>e.g.</w:t>
      </w:r>
      <w:r>
        <w:t xml:space="preserve">, </w:t>
      </w:r>
      <w:r w:rsidRPr="006E29EF">
        <w:rPr>
          <w:i/>
        </w:rPr>
        <w:t>AT&amp;T-CPI</w:t>
      </w:r>
      <w:r w:rsidRPr="006E29EF">
        <w:t xml:space="preserve"> </w:t>
      </w:r>
      <w:r w:rsidRPr="006E29EF">
        <w:rPr>
          <w:i/>
        </w:rPr>
        <w:t>Order</w:t>
      </w:r>
      <w:r>
        <w:t>, 31 FCC Rcd at 329-30,</w:t>
      </w:r>
      <w:r w:rsidRPr="00AC1A9B">
        <w:t xml:space="preserve"> </w:t>
      </w:r>
      <w:r>
        <w:t xml:space="preserve">para. 30; </w:t>
      </w:r>
      <w:r>
        <w:rPr>
          <w:i/>
        </w:rPr>
        <w:t>AT&amp;T-Plateau Wireless Order</w:t>
      </w:r>
      <w:r>
        <w:t>, 30 FCC Rcd at 5130, para. 55.</w:t>
      </w:r>
    </w:p>
  </w:footnote>
  <w:footnote w:id="143">
    <w:p w14:paraId="66B8BFEC" w14:textId="77777777" w:rsidR="00B53330" w:rsidRDefault="00B53330" w:rsidP="00B53330">
      <w:pPr>
        <w:pStyle w:val="FootnoteText"/>
      </w:pPr>
      <w:r>
        <w:rPr>
          <w:rStyle w:val="FootnoteReference"/>
        </w:rPr>
        <w:footnoteRef/>
      </w:r>
      <w:r>
        <w:t xml:space="preserve"> </w:t>
      </w:r>
      <w:r w:rsidRPr="00FD0ECC">
        <w:rPr>
          <w:i/>
        </w:rPr>
        <w:t>AT&amp;T-Leap</w:t>
      </w:r>
      <w:r>
        <w:rPr>
          <w:i/>
        </w:rPr>
        <w:t xml:space="preserve"> Order</w:t>
      </w:r>
      <w:r>
        <w:t xml:space="preserve">, 29 FCC Rcd at 2800-01, para. 155; </w:t>
      </w:r>
      <w:r w:rsidRPr="00936DA3">
        <w:rPr>
          <w:i/>
        </w:rPr>
        <w:t>Applications of AT&amp;T Inc. and Atlantic Tele-Network, Inc. for Consent To Transfer Control of and Assign Licenses and Authorizations</w:t>
      </w:r>
      <w:r>
        <w:t xml:space="preserve">, </w:t>
      </w:r>
      <w:r w:rsidRPr="00936DA3">
        <w:rPr>
          <w:iCs/>
        </w:rPr>
        <w:t>Memorandum Opinion and Order</w:t>
      </w:r>
      <w:r>
        <w:t>, 28 FCC Rcd 13670, 13719, para. 90 (WTB, IB 2013) (</w:t>
      </w:r>
      <w:r>
        <w:rPr>
          <w:i/>
          <w:iCs/>
        </w:rPr>
        <w:t>AT&amp;T-ATN Order</w:t>
      </w:r>
      <w:r>
        <w:t>).</w:t>
      </w:r>
    </w:p>
  </w:footnote>
  <w:footnote w:id="144">
    <w:p w14:paraId="58A7B732" w14:textId="77777777" w:rsidR="00B53330" w:rsidRDefault="00B53330" w:rsidP="00B53330">
      <w:pPr>
        <w:pStyle w:val="FootnoteText"/>
      </w:pPr>
      <w:r>
        <w:rPr>
          <w:rStyle w:val="FootnoteReference"/>
        </w:rPr>
        <w:footnoteRef/>
      </w:r>
      <w:r>
        <w:t xml:space="preserve"> </w:t>
      </w:r>
      <w:r w:rsidRPr="00FD0ECC">
        <w:rPr>
          <w:i/>
        </w:rPr>
        <w:t>AT&amp;T-Leap</w:t>
      </w:r>
      <w:r>
        <w:rPr>
          <w:i/>
        </w:rPr>
        <w:t xml:space="preserve"> Order</w:t>
      </w:r>
      <w:r>
        <w:t>, 29 FCC Rcd at 2800-01, para. 155;</w:t>
      </w:r>
      <w:r w:rsidRPr="002344F9">
        <w:rPr>
          <w:i/>
        </w:rPr>
        <w:t xml:space="preserve"> AT&amp;T-A</w:t>
      </w:r>
      <w:r>
        <w:rPr>
          <w:i/>
        </w:rPr>
        <w:t>TN Order</w:t>
      </w:r>
      <w:r>
        <w:t>, 28 FCC Rcd at 13719, para. 90.</w:t>
      </w:r>
    </w:p>
  </w:footnote>
  <w:footnote w:id="145">
    <w:p w14:paraId="352BD9AC" w14:textId="77777777" w:rsidR="00B53330" w:rsidRDefault="00B53330" w:rsidP="00B53330">
      <w:pPr>
        <w:pStyle w:val="FootnoteText"/>
      </w:pPr>
      <w:r>
        <w:rPr>
          <w:rStyle w:val="FootnoteReference"/>
        </w:rPr>
        <w:footnoteRef/>
      </w:r>
      <w:r>
        <w:t xml:space="preserve"> Sprint/Shentel Commitment Letter at 3-6.</w:t>
      </w:r>
    </w:p>
  </w:footnote>
  <w:footnote w:id="146">
    <w:p w14:paraId="6E4A7386" w14:textId="77777777" w:rsidR="00B53330" w:rsidRDefault="00B53330" w:rsidP="00B53330">
      <w:pPr>
        <w:pStyle w:val="FootnoteText"/>
      </w:pPr>
      <w:r>
        <w:rPr>
          <w:rStyle w:val="FootnoteReference"/>
        </w:rPr>
        <w:footnoteRef/>
      </w:r>
      <w:r>
        <w:t xml:space="preserve"> Sprint/Shentel Commitment Letter at 6.  Sprint and Shentel state that for three years following the date the merger closes, Shentel and Sprint will commit to file with the Commission a quarterly report on the status of implementation of the network deployment and spectrum divestiture commitments.  </w:t>
      </w:r>
      <w:r>
        <w:rPr>
          <w:i/>
        </w:rPr>
        <w:t>I</w:t>
      </w:r>
      <w:r w:rsidRPr="00BC6B80">
        <w:rPr>
          <w:i/>
        </w:rPr>
        <w:t>d</w:t>
      </w:r>
      <w:r>
        <w:t xml:space="preserve">. at 6.  If the network deployment commitments are not met within the three-year reporting period, this reporting requirement will be extended, with respect to those deployment commitments, until such time as those deployment commitments are fully met or waived by the FCC.  Each such report will be due 30 days following the end of the calendar quarter covered by the report, and the first such report will cover the period from the transaction’s closing through the end of the first full calendar quarter thereafter.  </w:t>
      </w:r>
      <w:r w:rsidRPr="004A54BE">
        <w:rPr>
          <w:i/>
        </w:rPr>
        <w:t>Id</w:t>
      </w:r>
      <w:r>
        <w:t>. at 6</w:t>
      </w:r>
      <w:r w:rsidRPr="004A54BE">
        <w:rPr>
          <w:i/>
        </w:rPr>
        <w:t>.</w:t>
      </w:r>
      <w:r>
        <w:t xml:space="preserve"> </w:t>
      </w:r>
    </w:p>
  </w:footnote>
  <w:footnote w:id="147">
    <w:p w14:paraId="393EC5EE" w14:textId="77777777" w:rsidR="00B53330" w:rsidRDefault="00B53330" w:rsidP="00B53330">
      <w:pPr>
        <w:pStyle w:val="FootnoteText"/>
      </w:pPr>
      <w:r>
        <w:rPr>
          <w:rStyle w:val="FootnoteReference"/>
        </w:rPr>
        <w:footnoteRef/>
      </w:r>
      <w:r>
        <w:t xml:space="preserve"> Sprint/Shentel Commitment Letter at 4.</w:t>
      </w:r>
      <w:r w:rsidRPr="00DD4DF2">
        <w:t xml:space="preserve"> </w:t>
      </w:r>
      <w:r>
        <w:t xml:space="preserve"> Sprint and Shentel note that these LTE deployment and network expansion commitments are contingent in part upon Shentel’s ability to secure necessary zoning, permitting, and other access and use rights for new equipment.  </w:t>
      </w:r>
      <w:r>
        <w:rPr>
          <w:i/>
        </w:rPr>
        <w:t>I</w:t>
      </w:r>
      <w:r w:rsidRPr="00075569">
        <w:rPr>
          <w:i/>
        </w:rPr>
        <w:t>d</w:t>
      </w:r>
      <w:r>
        <w:t xml:space="preserve">. </w:t>
      </w:r>
    </w:p>
  </w:footnote>
  <w:footnote w:id="148">
    <w:p w14:paraId="383C04D1" w14:textId="77777777" w:rsidR="00B53330" w:rsidRDefault="00B53330" w:rsidP="00B53330">
      <w:pPr>
        <w:pStyle w:val="FootnoteText"/>
      </w:pPr>
      <w:r>
        <w:rPr>
          <w:rStyle w:val="FootnoteReference"/>
        </w:rPr>
        <w:footnoteRef/>
      </w:r>
      <w:r>
        <w:t xml:space="preserve"> </w:t>
      </w:r>
      <w:r w:rsidRPr="00733906">
        <w:rPr>
          <w:i/>
        </w:rPr>
        <w:t>Id</w:t>
      </w:r>
      <w:r>
        <w:t>. at 4.</w:t>
      </w:r>
    </w:p>
  </w:footnote>
  <w:footnote w:id="149">
    <w:p w14:paraId="71919918" w14:textId="32A52B1F" w:rsidR="00B53330" w:rsidRDefault="00B53330" w:rsidP="00B53330">
      <w:pPr>
        <w:pStyle w:val="FootnoteText"/>
      </w:pPr>
      <w:r>
        <w:rPr>
          <w:rStyle w:val="FootnoteReference"/>
        </w:rPr>
        <w:footnoteRef/>
      </w:r>
      <w:r>
        <w:t xml:space="preserve"> </w:t>
      </w:r>
      <w:r w:rsidR="00CE15CB" w:rsidRPr="00733906">
        <w:rPr>
          <w:i/>
        </w:rPr>
        <w:t>Id</w:t>
      </w:r>
      <w:r w:rsidR="00CE15CB">
        <w:t>.</w:t>
      </w:r>
    </w:p>
  </w:footnote>
  <w:footnote w:id="150">
    <w:p w14:paraId="79AB1F62" w14:textId="77777777" w:rsidR="00B53330" w:rsidRDefault="00B53330" w:rsidP="00B53330">
      <w:pPr>
        <w:pStyle w:val="FootnoteText"/>
      </w:pPr>
      <w:r>
        <w:rPr>
          <w:rStyle w:val="FootnoteReference"/>
        </w:rPr>
        <w:footnoteRef/>
      </w:r>
      <w:r>
        <w:t xml:space="preserve"> </w:t>
      </w:r>
      <w:r>
        <w:rPr>
          <w:i/>
        </w:rPr>
        <w:t>Id.</w:t>
      </w:r>
      <w:r>
        <w:t xml:space="preserve"> </w:t>
      </w:r>
    </w:p>
  </w:footnote>
  <w:footnote w:id="151">
    <w:p w14:paraId="34DFE192" w14:textId="77777777" w:rsidR="00B53330" w:rsidRDefault="00B53330" w:rsidP="00B53330">
      <w:pPr>
        <w:pStyle w:val="FootnoteText"/>
      </w:pPr>
      <w:r>
        <w:rPr>
          <w:rStyle w:val="FootnoteReference"/>
        </w:rPr>
        <w:footnoteRef/>
      </w:r>
      <w:r>
        <w:t xml:space="preserve"> </w:t>
      </w:r>
      <w:r>
        <w:rPr>
          <w:i/>
        </w:rPr>
        <w:t xml:space="preserve">Id. </w:t>
      </w:r>
    </w:p>
  </w:footnote>
  <w:footnote w:id="152">
    <w:p w14:paraId="0BDD7855" w14:textId="77777777" w:rsidR="00B53330" w:rsidRDefault="00B53330" w:rsidP="00B53330">
      <w:pPr>
        <w:pStyle w:val="FootnoteText"/>
      </w:pPr>
      <w:r>
        <w:rPr>
          <w:rStyle w:val="FootnoteReference"/>
        </w:rPr>
        <w:footnoteRef/>
      </w:r>
      <w:r>
        <w:t xml:space="preserve"> </w:t>
      </w:r>
      <w:r>
        <w:rPr>
          <w:i/>
        </w:rPr>
        <w:t>Id</w:t>
      </w:r>
      <w:r w:rsidRPr="00BB5F2E">
        <w:rPr>
          <w:i/>
        </w:rPr>
        <w:t>.</w:t>
      </w:r>
      <w:r>
        <w:t xml:space="preserve"> </w:t>
      </w:r>
    </w:p>
  </w:footnote>
  <w:footnote w:id="153">
    <w:p w14:paraId="4A5E03A2" w14:textId="6D27F3A6" w:rsidR="00B53330" w:rsidRDefault="00B53330" w:rsidP="00B53330">
      <w:pPr>
        <w:pStyle w:val="FootnoteText"/>
      </w:pPr>
      <w:r>
        <w:rPr>
          <w:rStyle w:val="FootnoteReference"/>
        </w:rPr>
        <w:footnoteRef/>
      </w:r>
      <w:r>
        <w:t xml:space="preserve"> </w:t>
      </w:r>
      <w:r w:rsidR="00CE15CB">
        <w:t>Sprint/Shentel Commitment Letter at 4.</w:t>
      </w:r>
    </w:p>
  </w:footnote>
  <w:footnote w:id="154">
    <w:p w14:paraId="13BE44E2" w14:textId="77777777" w:rsidR="00B53330" w:rsidRDefault="00B53330" w:rsidP="00B53330">
      <w:pPr>
        <w:pStyle w:val="FootnoteText"/>
      </w:pPr>
      <w:r>
        <w:rPr>
          <w:rStyle w:val="FootnoteReference"/>
        </w:rPr>
        <w:footnoteRef/>
      </w:r>
      <w:r>
        <w:t xml:space="preserve"> </w:t>
      </w:r>
      <w:r>
        <w:rPr>
          <w:i/>
        </w:rPr>
        <w:t xml:space="preserve">Id. </w:t>
      </w:r>
    </w:p>
  </w:footnote>
  <w:footnote w:id="155">
    <w:p w14:paraId="05653C37" w14:textId="77777777" w:rsidR="00B53330" w:rsidRDefault="00B53330" w:rsidP="00B53330">
      <w:pPr>
        <w:pStyle w:val="FootnoteText"/>
      </w:pPr>
      <w:r>
        <w:rPr>
          <w:rStyle w:val="FootnoteReference"/>
        </w:rPr>
        <w:footnoteRef/>
      </w:r>
      <w:r>
        <w:t xml:space="preserve"> </w:t>
      </w:r>
      <w:r>
        <w:rPr>
          <w:i/>
        </w:rPr>
        <w:t xml:space="preserve">Id. </w:t>
      </w:r>
    </w:p>
  </w:footnote>
  <w:footnote w:id="156">
    <w:p w14:paraId="17C3C09B" w14:textId="77777777" w:rsidR="00B53330" w:rsidRPr="005900F4" w:rsidRDefault="00B53330" w:rsidP="00B53330">
      <w:pPr>
        <w:pStyle w:val="FootnoteText"/>
      </w:pPr>
      <w:r>
        <w:rPr>
          <w:rStyle w:val="FootnoteReference"/>
        </w:rPr>
        <w:footnoteRef/>
      </w:r>
      <w:r>
        <w:t xml:space="preserve"> </w:t>
      </w:r>
      <w:r>
        <w:rPr>
          <w:i/>
        </w:rPr>
        <w:t xml:space="preserve">Id. </w:t>
      </w:r>
      <w:r>
        <w:t>at 3.</w:t>
      </w:r>
    </w:p>
  </w:footnote>
  <w:footnote w:id="157">
    <w:p w14:paraId="4BC0BDBE" w14:textId="77777777" w:rsidR="00B53330" w:rsidRDefault="00B53330" w:rsidP="00B53330">
      <w:pPr>
        <w:pStyle w:val="FootnoteText"/>
      </w:pPr>
      <w:r>
        <w:rPr>
          <w:rStyle w:val="FootnoteReference"/>
        </w:rPr>
        <w:footnoteRef/>
      </w:r>
      <w:r>
        <w:t xml:space="preserve"> </w:t>
      </w:r>
      <w:r>
        <w:rPr>
          <w:i/>
        </w:rPr>
        <w:t>Id.</w:t>
      </w:r>
      <w:r w:rsidDel="00EE0F49">
        <w:t xml:space="preserve"> </w:t>
      </w:r>
    </w:p>
  </w:footnote>
  <w:footnote w:id="158">
    <w:p w14:paraId="3C3C0E25" w14:textId="77777777" w:rsidR="00B53330" w:rsidRDefault="00B53330" w:rsidP="00B53330">
      <w:pPr>
        <w:pStyle w:val="FootnoteText"/>
      </w:pPr>
      <w:r>
        <w:rPr>
          <w:rStyle w:val="FootnoteReference"/>
        </w:rPr>
        <w:footnoteRef/>
      </w:r>
      <w:r>
        <w:t xml:space="preserve"> </w:t>
      </w:r>
      <w:r>
        <w:rPr>
          <w:i/>
        </w:rPr>
        <w:t>Id.</w:t>
      </w:r>
      <w:r w:rsidDel="00EE0F49">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5BCDAF" w14:textId="77777777" w:rsidR="00C42B99" w:rsidRDefault="00C42B9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F35F13" w14:textId="0DF11E2A" w:rsidR="0038577E" w:rsidRDefault="0038577E" w:rsidP="005B4851">
    <w:pPr>
      <w:pStyle w:val="Header"/>
    </w:pPr>
    <w:r>
      <w:tab/>
      <w:t>Federa</w:t>
    </w:r>
    <w:r w:rsidR="00D566C9">
      <w:t>l Communications Commission</w:t>
    </w:r>
    <w:r w:rsidR="00D566C9">
      <w:tab/>
      <w:t>DA 16-413</w:t>
    </w:r>
  </w:p>
  <w:p w14:paraId="23933D16" w14:textId="77777777" w:rsidR="0038577E" w:rsidRDefault="0038577E">
    <w:pPr>
      <w:tabs>
        <w:tab w:val="left" w:pos="-720"/>
      </w:tabs>
      <w:suppressAutoHyphens/>
      <w:spacing w:line="19" w:lineRule="exact"/>
      <w:rPr>
        <w:spacing w:val="-2"/>
      </w:rPr>
    </w:pPr>
    <w:r>
      <w:rPr>
        <w:noProof/>
      </w:rPr>
      <mc:AlternateContent>
        <mc:Choice Requires="wps">
          <w:drawing>
            <wp:anchor distT="0" distB="0" distL="114300" distR="114300" simplePos="0" relativeHeight="251657216" behindDoc="1" locked="0" layoutInCell="0" allowOverlap="1" wp14:anchorId="7402586F" wp14:editId="19079DFA">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D6F1C1B"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14:paraId="629B3F05" w14:textId="77777777" w:rsidR="0038577E" w:rsidRDefault="0038577E">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A6C61C" w14:textId="41FCD3F9" w:rsidR="00B53330" w:rsidRDefault="00B53330" w:rsidP="00B53330">
    <w:pPr>
      <w:pStyle w:val="Header"/>
      <w:rPr>
        <w:highlight w:val="yellow"/>
      </w:rPr>
    </w:pPr>
    <w:r>
      <w:tab/>
    </w:r>
    <w:r>
      <w:tab/>
    </w:r>
    <w:r w:rsidRPr="00C00407">
      <w:t>REDACTED FOR PUBLIC INSPECTION</w:t>
    </w:r>
  </w:p>
  <w:p w14:paraId="490B17AF" w14:textId="77777777" w:rsidR="00B53330" w:rsidRDefault="00B53330" w:rsidP="00B53330">
    <w:pPr>
      <w:pStyle w:val="Header"/>
      <w:rPr>
        <w:highlight w:val="yellow"/>
      </w:rPr>
    </w:pPr>
  </w:p>
  <w:p w14:paraId="499863A0" w14:textId="6FDE2723" w:rsidR="00B53330" w:rsidRDefault="00B53330" w:rsidP="00B53330">
    <w:pPr>
      <w:pStyle w:val="Header"/>
      <w:rPr>
        <w:spacing w:val="-2"/>
      </w:rPr>
    </w:pPr>
    <w:r>
      <w:rPr>
        <w:noProof/>
      </w:rPr>
      <mc:AlternateContent>
        <mc:Choice Requires="wps">
          <w:drawing>
            <wp:anchor distT="0" distB="0" distL="114300" distR="114300" simplePos="0" relativeHeight="251659264" behindDoc="1" locked="0" layoutInCell="0" allowOverlap="1" wp14:anchorId="7632BCCD" wp14:editId="1381EFD9">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FEB55DC" id="Rectangle 3" o:spid="_x0000_s1026" style="position:absolute;margin-left:.6pt;margin-top:12.65pt;width:468pt;height:.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tab/>
      <w:t>Federal Communications Commission</w:t>
    </w:r>
    <w:r>
      <w:tab/>
    </w:r>
    <w:r>
      <w:rPr>
        <w:spacing w:val="-2"/>
      </w:rPr>
      <w:t>DA 16-</w:t>
    </w:r>
    <w:r w:rsidR="00F337C0">
      <w:rPr>
        <w:spacing w:val="-2"/>
      </w:rPr>
      <w:t>413</w:t>
    </w:r>
  </w:p>
  <w:p w14:paraId="735D0B40" w14:textId="44B64B3C" w:rsidR="0078483A" w:rsidRDefault="0078483A" w:rsidP="00B53330">
    <w:pPr>
      <w:pStyle w:val="Header"/>
    </w:pPr>
    <w:r>
      <w:rPr>
        <w:spacing w:val="-2"/>
      </w:rPr>
      <w:tab/>
    </w:r>
    <w:r>
      <w:rPr>
        <w:spacing w:val="-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1">
    <w:nsid w:val="27E06CBB"/>
    <w:multiLevelType w:val="multilevel"/>
    <w:tmpl w:val="2F426CE8"/>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2">
    <w:nsid w:val="61182925"/>
    <w:multiLevelType w:val="singleLevel"/>
    <w:tmpl w:val="9CC8491C"/>
    <w:lvl w:ilvl="0">
      <w:start w:val="1"/>
      <w:numFmt w:val="decimal"/>
      <w:pStyle w:val="ParaNum"/>
      <w:lvlText w:val="%1."/>
      <w:lvlJc w:val="left"/>
      <w:pPr>
        <w:ind w:left="90" w:firstLine="720"/>
      </w:pPr>
      <w:rPr>
        <w:rFonts w:hint="default"/>
        <w:b w:val="0"/>
      </w:rPr>
    </w:lvl>
  </w:abstractNum>
  <w:abstractNum w:abstractNumId="3">
    <w:nsid w:val="7F3C062F"/>
    <w:multiLevelType w:val="hybridMultilevel"/>
    <w:tmpl w:val="E7621BD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2"/>
    <w:lvlOverride w:ilvl="0">
      <w:lvl w:ilvl="0">
        <w:start w:val="1"/>
        <w:numFmt w:val="decimal"/>
        <w:pStyle w:val="ParaNum"/>
        <w:lvlText w:val="%1."/>
        <w:lvlJc w:val="left"/>
        <w:pPr>
          <w:ind w:left="90" w:firstLine="720"/>
        </w:pPr>
        <w:rPr>
          <w:rFonts w:hint="default"/>
        </w:rPr>
      </w:lvl>
    </w:lvlOverride>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lvlOverride w:ilvl="0">
      <w:startOverride w:val="1"/>
    </w:lvlOverride>
  </w:num>
  <w:num w:numId="15">
    <w:abstractNumId w:val="2"/>
  </w:num>
  <w:num w:numId="16">
    <w:abstractNumId w:val="2"/>
  </w:num>
  <w:num w:numId="17">
    <w:abstractNumId w:val="2"/>
  </w:num>
  <w:num w:numId="18">
    <w:abstractNumId w:val="0"/>
  </w:num>
  <w:num w:numId="19">
    <w:abstractNumId w:val="2"/>
    <w:lvlOverride w:ilvl="0">
      <w:startOverride w:val="1"/>
    </w:lvlOverride>
  </w:num>
  <w:num w:numId="20">
    <w:abstractNumId w:val="2"/>
    <w:lvlOverride w:ilvl="0">
      <w:startOverride w:val="1"/>
    </w:lvlOverride>
  </w:num>
  <w:num w:numId="21">
    <w:abstractNumId w:val="2"/>
  </w:num>
  <w:num w:numId="22">
    <w:abstractNumId w:val="2"/>
  </w:num>
  <w:num w:numId="23">
    <w:abstractNumId w:val="2"/>
  </w:num>
  <w:num w:numId="24">
    <w:abstractNumId w:val="2"/>
  </w:num>
  <w:num w:numId="25">
    <w:abstractNumId w:val="1"/>
  </w:num>
  <w:num w:numId="26">
    <w:abstractNumId w:val="3"/>
  </w:num>
  <w:num w:numId="27">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C42"/>
    <w:rsid w:val="00000937"/>
    <w:rsid w:val="00000A58"/>
    <w:rsid w:val="00001423"/>
    <w:rsid w:val="00001644"/>
    <w:rsid w:val="00004E59"/>
    <w:rsid w:val="00006493"/>
    <w:rsid w:val="000074AB"/>
    <w:rsid w:val="00010E63"/>
    <w:rsid w:val="00011C42"/>
    <w:rsid w:val="0001346D"/>
    <w:rsid w:val="000167CF"/>
    <w:rsid w:val="000214F6"/>
    <w:rsid w:val="00022547"/>
    <w:rsid w:val="000229A6"/>
    <w:rsid w:val="00023BB7"/>
    <w:rsid w:val="00026A90"/>
    <w:rsid w:val="00032073"/>
    <w:rsid w:val="0003235A"/>
    <w:rsid w:val="00036039"/>
    <w:rsid w:val="00037F90"/>
    <w:rsid w:val="0004270E"/>
    <w:rsid w:val="00044631"/>
    <w:rsid w:val="00047CC0"/>
    <w:rsid w:val="000528F1"/>
    <w:rsid w:val="0005294E"/>
    <w:rsid w:val="00053890"/>
    <w:rsid w:val="00053ADC"/>
    <w:rsid w:val="00053D6D"/>
    <w:rsid w:val="00053E16"/>
    <w:rsid w:val="000543EB"/>
    <w:rsid w:val="00054D27"/>
    <w:rsid w:val="00055243"/>
    <w:rsid w:val="00061E94"/>
    <w:rsid w:val="00064149"/>
    <w:rsid w:val="00071002"/>
    <w:rsid w:val="00075569"/>
    <w:rsid w:val="00075919"/>
    <w:rsid w:val="00080869"/>
    <w:rsid w:val="0008298C"/>
    <w:rsid w:val="00086131"/>
    <w:rsid w:val="00086285"/>
    <w:rsid w:val="000875BF"/>
    <w:rsid w:val="00090DB6"/>
    <w:rsid w:val="0009110A"/>
    <w:rsid w:val="0009208C"/>
    <w:rsid w:val="00092DA9"/>
    <w:rsid w:val="00094E0A"/>
    <w:rsid w:val="00095636"/>
    <w:rsid w:val="000969A7"/>
    <w:rsid w:val="00096D8C"/>
    <w:rsid w:val="00097701"/>
    <w:rsid w:val="000A419F"/>
    <w:rsid w:val="000A4791"/>
    <w:rsid w:val="000B2DD6"/>
    <w:rsid w:val="000B3B34"/>
    <w:rsid w:val="000B4A6A"/>
    <w:rsid w:val="000B57A0"/>
    <w:rsid w:val="000B6A40"/>
    <w:rsid w:val="000C0B65"/>
    <w:rsid w:val="000C1AA8"/>
    <w:rsid w:val="000C4079"/>
    <w:rsid w:val="000C4893"/>
    <w:rsid w:val="000D0A40"/>
    <w:rsid w:val="000D1EC1"/>
    <w:rsid w:val="000D20F5"/>
    <w:rsid w:val="000D302E"/>
    <w:rsid w:val="000D3D1B"/>
    <w:rsid w:val="000D45DA"/>
    <w:rsid w:val="000D4939"/>
    <w:rsid w:val="000D6A79"/>
    <w:rsid w:val="000D709B"/>
    <w:rsid w:val="000D7446"/>
    <w:rsid w:val="000D7732"/>
    <w:rsid w:val="000E05FE"/>
    <w:rsid w:val="000E0D1B"/>
    <w:rsid w:val="000E3D42"/>
    <w:rsid w:val="000E4122"/>
    <w:rsid w:val="000E5E04"/>
    <w:rsid w:val="000F3539"/>
    <w:rsid w:val="000F3918"/>
    <w:rsid w:val="000F3FBF"/>
    <w:rsid w:val="000F4AB5"/>
    <w:rsid w:val="00101A3B"/>
    <w:rsid w:val="00104EA4"/>
    <w:rsid w:val="00106C31"/>
    <w:rsid w:val="0011020F"/>
    <w:rsid w:val="001125C7"/>
    <w:rsid w:val="00113449"/>
    <w:rsid w:val="00113F55"/>
    <w:rsid w:val="001158C5"/>
    <w:rsid w:val="00115E4F"/>
    <w:rsid w:val="00116376"/>
    <w:rsid w:val="001163CD"/>
    <w:rsid w:val="0012064F"/>
    <w:rsid w:val="00120D44"/>
    <w:rsid w:val="001221A5"/>
    <w:rsid w:val="00122BD5"/>
    <w:rsid w:val="001241E2"/>
    <w:rsid w:val="00125EDA"/>
    <w:rsid w:val="00130BEB"/>
    <w:rsid w:val="00130BFF"/>
    <w:rsid w:val="00133872"/>
    <w:rsid w:val="00133F79"/>
    <w:rsid w:val="00140109"/>
    <w:rsid w:val="001443F3"/>
    <w:rsid w:val="00151332"/>
    <w:rsid w:val="00153A22"/>
    <w:rsid w:val="0016425B"/>
    <w:rsid w:val="001671C7"/>
    <w:rsid w:val="00167637"/>
    <w:rsid w:val="00170D22"/>
    <w:rsid w:val="00173457"/>
    <w:rsid w:val="001813B9"/>
    <w:rsid w:val="0018286E"/>
    <w:rsid w:val="00182CEE"/>
    <w:rsid w:val="00183243"/>
    <w:rsid w:val="00183655"/>
    <w:rsid w:val="00184619"/>
    <w:rsid w:val="00186B4C"/>
    <w:rsid w:val="0018710D"/>
    <w:rsid w:val="001914F6"/>
    <w:rsid w:val="0019374B"/>
    <w:rsid w:val="00194A66"/>
    <w:rsid w:val="0019627D"/>
    <w:rsid w:val="00196469"/>
    <w:rsid w:val="00197B87"/>
    <w:rsid w:val="001A00F8"/>
    <w:rsid w:val="001A2656"/>
    <w:rsid w:val="001A2FAA"/>
    <w:rsid w:val="001A568C"/>
    <w:rsid w:val="001A583A"/>
    <w:rsid w:val="001A7062"/>
    <w:rsid w:val="001B16D0"/>
    <w:rsid w:val="001B19D5"/>
    <w:rsid w:val="001B2A78"/>
    <w:rsid w:val="001B3939"/>
    <w:rsid w:val="001B42BE"/>
    <w:rsid w:val="001B5E87"/>
    <w:rsid w:val="001B7A7F"/>
    <w:rsid w:val="001B7BBB"/>
    <w:rsid w:val="001C13D7"/>
    <w:rsid w:val="001C1569"/>
    <w:rsid w:val="001C3C00"/>
    <w:rsid w:val="001C4B43"/>
    <w:rsid w:val="001C5026"/>
    <w:rsid w:val="001D0647"/>
    <w:rsid w:val="001D1B25"/>
    <w:rsid w:val="001D5EB4"/>
    <w:rsid w:val="001D6BCF"/>
    <w:rsid w:val="001D7044"/>
    <w:rsid w:val="001D7FEF"/>
    <w:rsid w:val="001E01CA"/>
    <w:rsid w:val="001E06B3"/>
    <w:rsid w:val="001E1AB0"/>
    <w:rsid w:val="001E5E9E"/>
    <w:rsid w:val="001E6840"/>
    <w:rsid w:val="001E6D70"/>
    <w:rsid w:val="001E7E74"/>
    <w:rsid w:val="001F1275"/>
    <w:rsid w:val="001F2E99"/>
    <w:rsid w:val="001F524E"/>
    <w:rsid w:val="001F5ACB"/>
    <w:rsid w:val="001F5D64"/>
    <w:rsid w:val="002016E1"/>
    <w:rsid w:val="00204A62"/>
    <w:rsid w:val="002051B9"/>
    <w:rsid w:val="002054A9"/>
    <w:rsid w:val="0020735B"/>
    <w:rsid w:val="00211192"/>
    <w:rsid w:val="00211B4C"/>
    <w:rsid w:val="00212946"/>
    <w:rsid w:val="00213EA3"/>
    <w:rsid w:val="00214530"/>
    <w:rsid w:val="00220469"/>
    <w:rsid w:val="00221A52"/>
    <w:rsid w:val="002234B6"/>
    <w:rsid w:val="00224B69"/>
    <w:rsid w:val="002252E3"/>
    <w:rsid w:val="00227415"/>
    <w:rsid w:val="00231C79"/>
    <w:rsid w:val="00232547"/>
    <w:rsid w:val="002326D8"/>
    <w:rsid w:val="002330BF"/>
    <w:rsid w:val="0023429C"/>
    <w:rsid w:val="0023493B"/>
    <w:rsid w:val="00235F6F"/>
    <w:rsid w:val="0023764D"/>
    <w:rsid w:val="00247DEA"/>
    <w:rsid w:val="0025425A"/>
    <w:rsid w:val="002565BD"/>
    <w:rsid w:val="002702C1"/>
    <w:rsid w:val="002733FA"/>
    <w:rsid w:val="0027363A"/>
    <w:rsid w:val="00275CF5"/>
    <w:rsid w:val="00276E3D"/>
    <w:rsid w:val="00277467"/>
    <w:rsid w:val="0027791B"/>
    <w:rsid w:val="00280DCB"/>
    <w:rsid w:val="00281B7E"/>
    <w:rsid w:val="0028301F"/>
    <w:rsid w:val="00285017"/>
    <w:rsid w:val="00285276"/>
    <w:rsid w:val="002868C5"/>
    <w:rsid w:val="00287604"/>
    <w:rsid w:val="002908C5"/>
    <w:rsid w:val="002918B5"/>
    <w:rsid w:val="00293157"/>
    <w:rsid w:val="00293FDB"/>
    <w:rsid w:val="00294662"/>
    <w:rsid w:val="00294FA1"/>
    <w:rsid w:val="002959D7"/>
    <w:rsid w:val="00296C26"/>
    <w:rsid w:val="00296FC6"/>
    <w:rsid w:val="002A118E"/>
    <w:rsid w:val="002A2D2E"/>
    <w:rsid w:val="002A428D"/>
    <w:rsid w:val="002B4B42"/>
    <w:rsid w:val="002B5C04"/>
    <w:rsid w:val="002C00E8"/>
    <w:rsid w:val="002C0707"/>
    <w:rsid w:val="002C35A3"/>
    <w:rsid w:val="002C4303"/>
    <w:rsid w:val="002C5326"/>
    <w:rsid w:val="002C75AB"/>
    <w:rsid w:val="002C7EBC"/>
    <w:rsid w:val="002D0D45"/>
    <w:rsid w:val="002D60EC"/>
    <w:rsid w:val="002D6723"/>
    <w:rsid w:val="002E070A"/>
    <w:rsid w:val="002E087E"/>
    <w:rsid w:val="002E274A"/>
    <w:rsid w:val="002F17BE"/>
    <w:rsid w:val="002F4393"/>
    <w:rsid w:val="002F55F2"/>
    <w:rsid w:val="002F69A4"/>
    <w:rsid w:val="00300C62"/>
    <w:rsid w:val="00301FB9"/>
    <w:rsid w:val="00303CBF"/>
    <w:rsid w:val="00303D75"/>
    <w:rsid w:val="0030541C"/>
    <w:rsid w:val="00305D2F"/>
    <w:rsid w:val="003066F8"/>
    <w:rsid w:val="00306F7E"/>
    <w:rsid w:val="00310357"/>
    <w:rsid w:val="003121E6"/>
    <w:rsid w:val="00312D0B"/>
    <w:rsid w:val="00312DE4"/>
    <w:rsid w:val="00313F41"/>
    <w:rsid w:val="003238E4"/>
    <w:rsid w:val="00324A3F"/>
    <w:rsid w:val="0032558A"/>
    <w:rsid w:val="0032590F"/>
    <w:rsid w:val="00326995"/>
    <w:rsid w:val="003308C7"/>
    <w:rsid w:val="003309D6"/>
    <w:rsid w:val="00331BB3"/>
    <w:rsid w:val="003352EC"/>
    <w:rsid w:val="0033541C"/>
    <w:rsid w:val="00335FD2"/>
    <w:rsid w:val="00336B70"/>
    <w:rsid w:val="00336C5F"/>
    <w:rsid w:val="00340AA2"/>
    <w:rsid w:val="00343749"/>
    <w:rsid w:val="00344711"/>
    <w:rsid w:val="00352205"/>
    <w:rsid w:val="00352862"/>
    <w:rsid w:val="0035445E"/>
    <w:rsid w:val="00355E87"/>
    <w:rsid w:val="00362645"/>
    <w:rsid w:val="00363265"/>
    <w:rsid w:val="003660ED"/>
    <w:rsid w:val="00367AD6"/>
    <w:rsid w:val="00370EE9"/>
    <w:rsid w:val="003759C3"/>
    <w:rsid w:val="00380AD0"/>
    <w:rsid w:val="0038222F"/>
    <w:rsid w:val="0038241D"/>
    <w:rsid w:val="00382E19"/>
    <w:rsid w:val="00382FA5"/>
    <w:rsid w:val="0038344F"/>
    <w:rsid w:val="00383488"/>
    <w:rsid w:val="0038577E"/>
    <w:rsid w:val="00386345"/>
    <w:rsid w:val="00386850"/>
    <w:rsid w:val="00391CB2"/>
    <w:rsid w:val="00392160"/>
    <w:rsid w:val="00392A4C"/>
    <w:rsid w:val="0039307D"/>
    <w:rsid w:val="0039464B"/>
    <w:rsid w:val="00395963"/>
    <w:rsid w:val="00395D31"/>
    <w:rsid w:val="003A064E"/>
    <w:rsid w:val="003A0928"/>
    <w:rsid w:val="003A2F8C"/>
    <w:rsid w:val="003A3979"/>
    <w:rsid w:val="003A774C"/>
    <w:rsid w:val="003A7D4C"/>
    <w:rsid w:val="003B0550"/>
    <w:rsid w:val="003B0AE1"/>
    <w:rsid w:val="003B4EAC"/>
    <w:rsid w:val="003B5845"/>
    <w:rsid w:val="003B64C8"/>
    <w:rsid w:val="003B694F"/>
    <w:rsid w:val="003B6AE9"/>
    <w:rsid w:val="003B7A10"/>
    <w:rsid w:val="003C011A"/>
    <w:rsid w:val="003C0D0C"/>
    <w:rsid w:val="003C100B"/>
    <w:rsid w:val="003C135C"/>
    <w:rsid w:val="003C2C66"/>
    <w:rsid w:val="003D0A70"/>
    <w:rsid w:val="003D1309"/>
    <w:rsid w:val="003D2047"/>
    <w:rsid w:val="003D47E4"/>
    <w:rsid w:val="003D502F"/>
    <w:rsid w:val="003E1FFA"/>
    <w:rsid w:val="003E2E1F"/>
    <w:rsid w:val="003E53EA"/>
    <w:rsid w:val="003E5929"/>
    <w:rsid w:val="003E6937"/>
    <w:rsid w:val="003F0C2C"/>
    <w:rsid w:val="003F171C"/>
    <w:rsid w:val="003F1F98"/>
    <w:rsid w:val="003F23F4"/>
    <w:rsid w:val="003F2AD5"/>
    <w:rsid w:val="003F3271"/>
    <w:rsid w:val="003F5096"/>
    <w:rsid w:val="003F5B2E"/>
    <w:rsid w:val="003F6853"/>
    <w:rsid w:val="003F79BF"/>
    <w:rsid w:val="0040350C"/>
    <w:rsid w:val="004053A1"/>
    <w:rsid w:val="00406B42"/>
    <w:rsid w:val="00406EC7"/>
    <w:rsid w:val="00407142"/>
    <w:rsid w:val="004075D7"/>
    <w:rsid w:val="00410030"/>
    <w:rsid w:val="00412FC5"/>
    <w:rsid w:val="00414B5E"/>
    <w:rsid w:val="00415D5B"/>
    <w:rsid w:val="00416B16"/>
    <w:rsid w:val="00421724"/>
    <w:rsid w:val="00421B94"/>
    <w:rsid w:val="00422276"/>
    <w:rsid w:val="00423530"/>
    <w:rsid w:val="004242F1"/>
    <w:rsid w:val="004266B0"/>
    <w:rsid w:val="00427B4F"/>
    <w:rsid w:val="00430782"/>
    <w:rsid w:val="004329DE"/>
    <w:rsid w:val="00433D39"/>
    <w:rsid w:val="0043423E"/>
    <w:rsid w:val="00434A78"/>
    <w:rsid w:val="0043550D"/>
    <w:rsid w:val="004355D3"/>
    <w:rsid w:val="004357D8"/>
    <w:rsid w:val="00436346"/>
    <w:rsid w:val="00440CB9"/>
    <w:rsid w:val="00442B1B"/>
    <w:rsid w:val="00443003"/>
    <w:rsid w:val="004447C1"/>
    <w:rsid w:val="00445A00"/>
    <w:rsid w:val="00451B0F"/>
    <w:rsid w:val="0045307C"/>
    <w:rsid w:val="00454023"/>
    <w:rsid w:val="00455C99"/>
    <w:rsid w:val="00456F4A"/>
    <w:rsid w:val="00461A6A"/>
    <w:rsid w:val="004628B5"/>
    <w:rsid w:val="00465A7A"/>
    <w:rsid w:val="00466D32"/>
    <w:rsid w:val="004676A2"/>
    <w:rsid w:val="0046794A"/>
    <w:rsid w:val="00470B4A"/>
    <w:rsid w:val="00475281"/>
    <w:rsid w:val="00475917"/>
    <w:rsid w:val="0047765B"/>
    <w:rsid w:val="00485514"/>
    <w:rsid w:val="00486884"/>
    <w:rsid w:val="00486E97"/>
    <w:rsid w:val="004901AE"/>
    <w:rsid w:val="0049252E"/>
    <w:rsid w:val="00492531"/>
    <w:rsid w:val="00495F4B"/>
    <w:rsid w:val="00497966"/>
    <w:rsid w:val="004A0509"/>
    <w:rsid w:val="004A115B"/>
    <w:rsid w:val="004A1377"/>
    <w:rsid w:val="004A3202"/>
    <w:rsid w:val="004B0080"/>
    <w:rsid w:val="004B5FE8"/>
    <w:rsid w:val="004C05D8"/>
    <w:rsid w:val="004C2EE3"/>
    <w:rsid w:val="004C38B1"/>
    <w:rsid w:val="004C454B"/>
    <w:rsid w:val="004C505B"/>
    <w:rsid w:val="004D0E06"/>
    <w:rsid w:val="004D0EBF"/>
    <w:rsid w:val="004D4440"/>
    <w:rsid w:val="004D5F5D"/>
    <w:rsid w:val="004D654F"/>
    <w:rsid w:val="004E01EB"/>
    <w:rsid w:val="004E0AEF"/>
    <w:rsid w:val="004E10F7"/>
    <w:rsid w:val="004E4A22"/>
    <w:rsid w:val="004E7EF1"/>
    <w:rsid w:val="004F0A83"/>
    <w:rsid w:val="004F0D7C"/>
    <w:rsid w:val="004F6CF3"/>
    <w:rsid w:val="004F7EFD"/>
    <w:rsid w:val="00500123"/>
    <w:rsid w:val="005025FB"/>
    <w:rsid w:val="00503744"/>
    <w:rsid w:val="005052E7"/>
    <w:rsid w:val="005106EC"/>
    <w:rsid w:val="00511968"/>
    <w:rsid w:val="00512EDC"/>
    <w:rsid w:val="00513BCB"/>
    <w:rsid w:val="00513C6F"/>
    <w:rsid w:val="00514D0C"/>
    <w:rsid w:val="0051569C"/>
    <w:rsid w:val="00520646"/>
    <w:rsid w:val="005209EF"/>
    <w:rsid w:val="00525D0A"/>
    <w:rsid w:val="0053096D"/>
    <w:rsid w:val="005316C3"/>
    <w:rsid w:val="00532891"/>
    <w:rsid w:val="005366E9"/>
    <w:rsid w:val="005375F7"/>
    <w:rsid w:val="00537EC4"/>
    <w:rsid w:val="005412FF"/>
    <w:rsid w:val="00541C52"/>
    <w:rsid w:val="005427D7"/>
    <w:rsid w:val="005430BB"/>
    <w:rsid w:val="00543FCD"/>
    <w:rsid w:val="00546C50"/>
    <w:rsid w:val="00546DD3"/>
    <w:rsid w:val="0054716C"/>
    <w:rsid w:val="00554CCA"/>
    <w:rsid w:val="0055614C"/>
    <w:rsid w:val="005566BE"/>
    <w:rsid w:val="00557A6C"/>
    <w:rsid w:val="00565B66"/>
    <w:rsid w:val="0056623A"/>
    <w:rsid w:val="00566AFA"/>
    <w:rsid w:val="00571C84"/>
    <w:rsid w:val="00572AF6"/>
    <w:rsid w:val="00574523"/>
    <w:rsid w:val="00576691"/>
    <w:rsid w:val="00577EB9"/>
    <w:rsid w:val="00581CC6"/>
    <w:rsid w:val="00582716"/>
    <w:rsid w:val="00582780"/>
    <w:rsid w:val="005838CD"/>
    <w:rsid w:val="00585F0D"/>
    <w:rsid w:val="005908A4"/>
    <w:rsid w:val="00590C89"/>
    <w:rsid w:val="00591C19"/>
    <w:rsid w:val="00592E0D"/>
    <w:rsid w:val="00594BFB"/>
    <w:rsid w:val="005959E5"/>
    <w:rsid w:val="005963D9"/>
    <w:rsid w:val="00596D2F"/>
    <w:rsid w:val="00597D0F"/>
    <w:rsid w:val="005A2BCB"/>
    <w:rsid w:val="005A3BF5"/>
    <w:rsid w:val="005A3C5E"/>
    <w:rsid w:val="005A652C"/>
    <w:rsid w:val="005B4786"/>
    <w:rsid w:val="005B4851"/>
    <w:rsid w:val="005B5425"/>
    <w:rsid w:val="005B7D2F"/>
    <w:rsid w:val="005C702B"/>
    <w:rsid w:val="005D10A3"/>
    <w:rsid w:val="005D118E"/>
    <w:rsid w:val="005D2B20"/>
    <w:rsid w:val="005D2C6C"/>
    <w:rsid w:val="005D381B"/>
    <w:rsid w:val="005D3EF0"/>
    <w:rsid w:val="005D4CB5"/>
    <w:rsid w:val="005D69F5"/>
    <w:rsid w:val="005D7490"/>
    <w:rsid w:val="005E0397"/>
    <w:rsid w:val="005E14C2"/>
    <w:rsid w:val="005E5010"/>
    <w:rsid w:val="005F3B7D"/>
    <w:rsid w:val="005F5138"/>
    <w:rsid w:val="005F5848"/>
    <w:rsid w:val="005F6257"/>
    <w:rsid w:val="005F642B"/>
    <w:rsid w:val="006001AE"/>
    <w:rsid w:val="006005A4"/>
    <w:rsid w:val="00601723"/>
    <w:rsid w:val="0060201C"/>
    <w:rsid w:val="006033A8"/>
    <w:rsid w:val="00603A53"/>
    <w:rsid w:val="00604399"/>
    <w:rsid w:val="00604EA6"/>
    <w:rsid w:val="00606338"/>
    <w:rsid w:val="00607BA5"/>
    <w:rsid w:val="006106AF"/>
    <w:rsid w:val="0061074A"/>
    <w:rsid w:val="00610D24"/>
    <w:rsid w:val="006114A2"/>
    <w:rsid w:val="0061180A"/>
    <w:rsid w:val="006126FE"/>
    <w:rsid w:val="00612B9B"/>
    <w:rsid w:val="00615339"/>
    <w:rsid w:val="00615A24"/>
    <w:rsid w:val="00616AD2"/>
    <w:rsid w:val="006210F2"/>
    <w:rsid w:val="006223EC"/>
    <w:rsid w:val="0062475C"/>
    <w:rsid w:val="00626097"/>
    <w:rsid w:val="00626EB6"/>
    <w:rsid w:val="00627B37"/>
    <w:rsid w:val="006307E0"/>
    <w:rsid w:val="0063313F"/>
    <w:rsid w:val="00636653"/>
    <w:rsid w:val="00637947"/>
    <w:rsid w:val="0064152E"/>
    <w:rsid w:val="00641EDE"/>
    <w:rsid w:val="00644EC9"/>
    <w:rsid w:val="0064679D"/>
    <w:rsid w:val="006467AD"/>
    <w:rsid w:val="0064733F"/>
    <w:rsid w:val="00647D8D"/>
    <w:rsid w:val="00652D44"/>
    <w:rsid w:val="00655D03"/>
    <w:rsid w:val="0065785A"/>
    <w:rsid w:val="00663061"/>
    <w:rsid w:val="00674588"/>
    <w:rsid w:val="00674BF5"/>
    <w:rsid w:val="00674C80"/>
    <w:rsid w:val="00675A63"/>
    <w:rsid w:val="00683388"/>
    <w:rsid w:val="00683F84"/>
    <w:rsid w:val="0068774A"/>
    <w:rsid w:val="00690106"/>
    <w:rsid w:val="00691207"/>
    <w:rsid w:val="006913E6"/>
    <w:rsid w:val="006924FA"/>
    <w:rsid w:val="006950A0"/>
    <w:rsid w:val="006972DB"/>
    <w:rsid w:val="00697439"/>
    <w:rsid w:val="006A17B1"/>
    <w:rsid w:val="006A20AC"/>
    <w:rsid w:val="006A23AB"/>
    <w:rsid w:val="006A2B7A"/>
    <w:rsid w:val="006A69CA"/>
    <w:rsid w:val="006A6A81"/>
    <w:rsid w:val="006B0162"/>
    <w:rsid w:val="006B1E64"/>
    <w:rsid w:val="006B20AC"/>
    <w:rsid w:val="006B2960"/>
    <w:rsid w:val="006B3C10"/>
    <w:rsid w:val="006C1861"/>
    <w:rsid w:val="006C1E19"/>
    <w:rsid w:val="006C520D"/>
    <w:rsid w:val="006C5BA9"/>
    <w:rsid w:val="006D175D"/>
    <w:rsid w:val="006D1F50"/>
    <w:rsid w:val="006D2E92"/>
    <w:rsid w:val="006D4C65"/>
    <w:rsid w:val="006E3ACE"/>
    <w:rsid w:val="006F1A2D"/>
    <w:rsid w:val="006F2D74"/>
    <w:rsid w:val="006F4852"/>
    <w:rsid w:val="006F7393"/>
    <w:rsid w:val="006F7A01"/>
    <w:rsid w:val="00700CEC"/>
    <w:rsid w:val="0070224F"/>
    <w:rsid w:val="00702B5E"/>
    <w:rsid w:val="00703116"/>
    <w:rsid w:val="00704CDB"/>
    <w:rsid w:val="00711175"/>
    <w:rsid w:val="007115F7"/>
    <w:rsid w:val="00712DE4"/>
    <w:rsid w:val="00717170"/>
    <w:rsid w:val="0071725C"/>
    <w:rsid w:val="00721BBD"/>
    <w:rsid w:val="00726590"/>
    <w:rsid w:val="00730046"/>
    <w:rsid w:val="00730829"/>
    <w:rsid w:val="00730FA9"/>
    <w:rsid w:val="00731D50"/>
    <w:rsid w:val="007327CD"/>
    <w:rsid w:val="00733CF1"/>
    <w:rsid w:val="00733D6A"/>
    <w:rsid w:val="007345A0"/>
    <w:rsid w:val="00736162"/>
    <w:rsid w:val="00740631"/>
    <w:rsid w:val="00741635"/>
    <w:rsid w:val="00745254"/>
    <w:rsid w:val="0074597C"/>
    <w:rsid w:val="00745C86"/>
    <w:rsid w:val="007462A4"/>
    <w:rsid w:val="00746ABD"/>
    <w:rsid w:val="00751DE1"/>
    <w:rsid w:val="007542AE"/>
    <w:rsid w:val="007554E7"/>
    <w:rsid w:val="007575D7"/>
    <w:rsid w:val="0075770A"/>
    <w:rsid w:val="00760FE2"/>
    <w:rsid w:val="0076116E"/>
    <w:rsid w:val="00762309"/>
    <w:rsid w:val="007634D0"/>
    <w:rsid w:val="0076361A"/>
    <w:rsid w:val="0076713D"/>
    <w:rsid w:val="00770064"/>
    <w:rsid w:val="0077227B"/>
    <w:rsid w:val="00777B26"/>
    <w:rsid w:val="00783185"/>
    <w:rsid w:val="00783A92"/>
    <w:rsid w:val="00783DA4"/>
    <w:rsid w:val="0078483A"/>
    <w:rsid w:val="00784A37"/>
    <w:rsid w:val="00785689"/>
    <w:rsid w:val="00790DE0"/>
    <w:rsid w:val="007912C4"/>
    <w:rsid w:val="00792F31"/>
    <w:rsid w:val="0079309D"/>
    <w:rsid w:val="00793373"/>
    <w:rsid w:val="0079518E"/>
    <w:rsid w:val="00795A2F"/>
    <w:rsid w:val="0079754B"/>
    <w:rsid w:val="007A0303"/>
    <w:rsid w:val="007A1E6D"/>
    <w:rsid w:val="007A25AF"/>
    <w:rsid w:val="007A313B"/>
    <w:rsid w:val="007A478F"/>
    <w:rsid w:val="007B0EB2"/>
    <w:rsid w:val="007B1C8B"/>
    <w:rsid w:val="007B4DA1"/>
    <w:rsid w:val="007B7C4F"/>
    <w:rsid w:val="007C0B35"/>
    <w:rsid w:val="007C2902"/>
    <w:rsid w:val="007C2B13"/>
    <w:rsid w:val="007C4AA3"/>
    <w:rsid w:val="007D1CED"/>
    <w:rsid w:val="007D1D3D"/>
    <w:rsid w:val="007D2908"/>
    <w:rsid w:val="007D31E3"/>
    <w:rsid w:val="007D3C1C"/>
    <w:rsid w:val="007D5661"/>
    <w:rsid w:val="007D5A60"/>
    <w:rsid w:val="007D63E0"/>
    <w:rsid w:val="007D707E"/>
    <w:rsid w:val="007E177F"/>
    <w:rsid w:val="007E475C"/>
    <w:rsid w:val="007E4E8F"/>
    <w:rsid w:val="007E5699"/>
    <w:rsid w:val="007E7DCD"/>
    <w:rsid w:val="007F004E"/>
    <w:rsid w:val="007F2CFC"/>
    <w:rsid w:val="007F4125"/>
    <w:rsid w:val="007F4663"/>
    <w:rsid w:val="00802091"/>
    <w:rsid w:val="008021FB"/>
    <w:rsid w:val="008038A4"/>
    <w:rsid w:val="00803A4D"/>
    <w:rsid w:val="0080597A"/>
    <w:rsid w:val="00810B6F"/>
    <w:rsid w:val="00811412"/>
    <w:rsid w:val="00813EA3"/>
    <w:rsid w:val="008147CD"/>
    <w:rsid w:val="008148A0"/>
    <w:rsid w:val="00814AE6"/>
    <w:rsid w:val="00817334"/>
    <w:rsid w:val="00817CCB"/>
    <w:rsid w:val="00817E9B"/>
    <w:rsid w:val="00821961"/>
    <w:rsid w:val="00821FD3"/>
    <w:rsid w:val="00822CE0"/>
    <w:rsid w:val="00822E16"/>
    <w:rsid w:val="00823524"/>
    <w:rsid w:val="00823A2B"/>
    <w:rsid w:val="00823AEC"/>
    <w:rsid w:val="00826B13"/>
    <w:rsid w:val="00827AB5"/>
    <w:rsid w:val="00827F42"/>
    <w:rsid w:val="0083061B"/>
    <w:rsid w:val="008309BC"/>
    <w:rsid w:val="00832183"/>
    <w:rsid w:val="00834E64"/>
    <w:rsid w:val="00835AC3"/>
    <w:rsid w:val="00835EB5"/>
    <w:rsid w:val="00841AB1"/>
    <w:rsid w:val="00846646"/>
    <w:rsid w:val="00850A1E"/>
    <w:rsid w:val="0085260D"/>
    <w:rsid w:val="00852BEE"/>
    <w:rsid w:val="00853048"/>
    <w:rsid w:val="00854963"/>
    <w:rsid w:val="00857EC5"/>
    <w:rsid w:val="00860B8C"/>
    <w:rsid w:val="00861F92"/>
    <w:rsid w:val="00864204"/>
    <w:rsid w:val="008666FF"/>
    <w:rsid w:val="00866DFC"/>
    <w:rsid w:val="008677CC"/>
    <w:rsid w:val="008704F8"/>
    <w:rsid w:val="00871419"/>
    <w:rsid w:val="00871DD6"/>
    <w:rsid w:val="00873633"/>
    <w:rsid w:val="0087638A"/>
    <w:rsid w:val="008774FB"/>
    <w:rsid w:val="0088582A"/>
    <w:rsid w:val="00885C16"/>
    <w:rsid w:val="00890C2D"/>
    <w:rsid w:val="00895431"/>
    <w:rsid w:val="008A121F"/>
    <w:rsid w:val="008A1648"/>
    <w:rsid w:val="008A1CCE"/>
    <w:rsid w:val="008A29C4"/>
    <w:rsid w:val="008A3557"/>
    <w:rsid w:val="008A3801"/>
    <w:rsid w:val="008A39BA"/>
    <w:rsid w:val="008A5389"/>
    <w:rsid w:val="008A5FAB"/>
    <w:rsid w:val="008A665B"/>
    <w:rsid w:val="008A6D0F"/>
    <w:rsid w:val="008A77C2"/>
    <w:rsid w:val="008B087C"/>
    <w:rsid w:val="008B25AF"/>
    <w:rsid w:val="008B712B"/>
    <w:rsid w:val="008B7C63"/>
    <w:rsid w:val="008C1E62"/>
    <w:rsid w:val="008C2484"/>
    <w:rsid w:val="008C28E4"/>
    <w:rsid w:val="008C433B"/>
    <w:rsid w:val="008C47D1"/>
    <w:rsid w:val="008C4D90"/>
    <w:rsid w:val="008C51B1"/>
    <w:rsid w:val="008C68F1"/>
    <w:rsid w:val="008D2114"/>
    <w:rsid w:val="008D4605"/>
    <w:rsid w:val="008E38AC"/>
    <w:rsid w:val="008E464D"/>
    <w:rsid w:val="008E4AFF"/>
    <w:rsid w:val="008E4B21"/>
    <w:rsid w:val="008E5A3D"/>
    <w:rsid w:val="008E5C13"/>
    <w:rsid w:val="008E6D1C"/>
    <w:rsid w:val="008E713B"/>
    <w:rsid w:val="008E7F99"/>
    <w:rsid w:val="008F1505"/>
    <w:rsid w:val="008F69D5"/>
    <w:rsid w:val="00900245"/>
    <w:rsid w:val="00900ACF"/>
    <w:rsid w:val="0090235A"/>
    <w:rsid w:val="00904382"/>
    <w:rsid w:val="00904DE8"/>
    <w:rsid w:val="00913A80"/>
    <w:rsid w:val="009154CB"/>
    <w:rsid w:val="00916601"/>
    <w:rsid w:val="00916ACD"/>
    <w:rsid w:val="00917F22"/>
    <w:rsid w:val="00921803"/>
    <w:rsid w:val="009230CF"/>
    <w:rsid w:val="00926503"/>
    <w:rsid w:val="00931022"/>
    <w:rsid w:val="00931AB4"/>
    <w:rsid w:val="009333EE"/>
    <w:rsid w:val="0093687A"/>
    <w:rsid w:val="009378F6"/>
    <w:rsid w:val="00940B75"/>
    <w:rsid w:val="00941795"/>
    <w:rsid w:val="0094485E"/>
    <w:rsid w:val="00945BC1"/>
    <w:rsid w:val="00946E38"/>
    <w:rsid w:val="009504D4"/>
    <w:rsid w:val="009506F3"/>
    <w:rsid w:val="0095128E"/>
    <w:rsid w:val="009544C6"/>
    <w:rsid w:val="009544DB"/>
    <w:rsid w:val="00954599"/>
    <w:rsid w:val="00954856"/>
    <w:rsid w:val="009553CA"/>
    <w:rsid w:val="00956773"/>
    <w:rsid w:val="00957A79"/>
    <w:rsid w:val="00961FD9"/>
    <w:rsid w:val="009636AF"/>
    <w:rsid w:val="00964771"/>
    <w:rsid w:val="009647F0"/>
    <w:rsid w:val="00965D26"/>
    <w:rsid w:val="00970CEB"/>
    <w:rsid w:val="00971458"/>
    <w:rsid w:val="00971925"/>
    <w:rsid w:val="009726D8"/>
    <w:rsid w:val="00974EC1"/>
    <w:rsid w:val="00983EF2"/>
    <w:rsid w:val="00984540"/>
    <w:rsid w:val="00985DFC"/>
    <w:rsid w:val="00987E70"/>
    <w:rsid w:val="0099053C"/>
    <w:rsid w:val="00990680"/>
    <w:rsid w:val="009954CA"/>
    <w:rsid w:val="009A0BD9"/>
    <w:rsid w:val="009A12B7"/>
    <w:rsid w:val="009A1D38"/>
    <w:rsid w:val="009A1DE2"/>
    <w:rsid w:val="009A28B0"/>
    <w:rsid w:val="009A300C"/>
    <w:rsid w:val="009A47BB"/>
    <w:rsid w:val="009A62AF"/>
    <w:rsid w:val="009A65CB"/>
    <w:rsid w:val="009A71FD"/>
    <w:rsid w:val="009B2747"/>
    <w:rsid w:val="009B3E3F"/>
    <w:rsid w:val="009B4771"/>
    <w:rsid w:val="009B53FE"/>
    <w:rsid w:val="009B624E"/>
    <w:rsid w:val="009B6C04"/>
    <w:rsid w:val="009B7145"/>
    <w:rsid w:val="009B78F2"/>
    <w:rsid w:val="009C05C5"/>
    <w:rsid w:val="009C0C3B"/>
    <w:rsid w:val="009C26DF"/>
    <w:rsid w:val="009C3881"/>
    <w:rsid w:val="009C3DFB"/>
    <w:rsid w:val="009C5ABA"/>
    <w:rsid w:val="009C7EAB"/>
    <w:rsid w:val="009D3BFB"/>
    <w:rsid w:val="009D499D"/>
    <w:rsid w:val="009D4CD2"/>
    <w:rsid w:val="009D5632"/>
    <w:rsid w:val="009D77A5"/>
    <w:rsid w:val="009E1369"/>
    <w:rsid w:val="009E7B5A"/>
    <w:rsid w:val="009F4756"/>
    <w:rsid w:val="009F76DB"/>
    <w:rsid w:val="009F7F89"/>
    <w:rsid w:val="00A01217"/>
    <w:rsid w:val="00A1256B"/>
    <w:rsid w:val="00A1298E"/>
    <w:rsid w:val="00A12AD2"/>
    <w:rsid w:val="00A14984"/>
    <w:rsid w:val="00A16E25"/>
    <w:rsid w:val="00A305E3"/>
    <w:rsid w:val="00A328A6"/>
    <w:rsid w:val="00A32C3B"/>
    <w:rsid w:val="00A330C0"/>
    <w:rsid w:val="00A3335B"/>
    <w:rsid w:val="00A41F07"/>
    <w:rsid w:val="00A43135"/>
    <w:rsid w:val="00A43D56"/>
    <w:rsid w:val="00A448FA"/>
    <w:rsid w:val="00A45F4F"/>
    <w:rsid w:val="00A4612A"/>
    <w:rsid w:val="00A47998"/>
    <w:rsid w:val="00A47D13"/>
    <w:rsid w:val="00A50A6A"/>
    <w:rsid w:val="00A50BAA"/>
    <w:rsid w:val="00A525C5"/>
    <w:rsid w:val="00A53F82"/>
    <w:rsid w:val="00A543B7"/>
    <w:rsid w:val="00A600A9"/>
    <w:rsid w:val="00A606FD"/>
    <w:rsid w:val="00A60BEC"/>
    <w:rsid w:val="00A61614"/>
    <w:rsid w:val="00A67062"/>
    <w:rsid w:val="00A707E3"/>
    <w:rsid w:val="00A7226F"/>
    <w:rsid w:val="00A72F55"/>
    <w:rsid w:val="00A730E5"/>
    <w:rsid w:val="00A73189"/>
    <w:rsid w:val="00A765ED"/>
    <w:rsid w:val="00A808B4"/>
    <w:rsid w:val="00A828DB"/>
    <w:rsid w:val="00A8505A"/>
    <w:rsid w:val="00A8620E"/>
    <w:rsid w:val="00A86AFF"/>
    <w:rsid w:val="00A86F8B"/>
    <w:rsid w:val="00A92026"/>
    <w:rsid w:val="00A9293A"/>
    <w:rsid w:val="00A94B3B"/>
    <w:rsid w:val="00A94CA9"/>
    <w:rsid w:val="00AA063B"/>
    <w:rsid w:val="00AA0919"/>
    <w:rsid w:val="00AA17E3"/>
    <w:rsid w:val="00AA3705"/>
    <w:rsid w:val="00AA55B7"/>
    <w:rsid w:val="00AA5B9E"/>
    <w:rsid w:val="00AB041A"/>
    <w:rsid w:val="00AB06DD"/>
    <w:rsid w:val="00AB2407"/>
    <w:rsid w:val="00AB4162"/>
    <w:rsid w:val="00AB44B0"/>
    <w:rsid w:val="00AB4DAC"/>
    <w:rsid w:val="00AB53DF"/>
    <w:rsid w:val="00AB59D4"/>
    <w:rsid w:val="00AB6977"/>
    <w:rsid w:val="00AC5BBC"/>
    <w:rsid w:val="00AC6C98"/>
    <w:rsid w:val="00AC75A9"/>
    <w:rsid w:val="00AD2DD3"/>
    <w:rsid w:val="00AD3094"/>
    <w:rsid w:val="00AD4E93"/>
    <w:rsid w:val="00AE17AA"/>
    <w:rsid w:val="00AE595C"/>
    <w:rsid w:val="00AE5EFE"/>
    <w:rsid w:val="00AE64BD"/>
    <w:rsid w:val="00AF01DC"/>
    <w:rsid w:val="00AF12F8"/>
    <w:rsid w:val="00AF1EA7"/>
    <w:rsid w:val="00AF3021"/>
    <w:rsid w:val="00AF351A"/>
    <w:rsid w:val="00AF4A56"/>
    <w:rsid w:val="00AF4A57"/>
    <w:rsid w:val="00B013B1"/>
    <w:rsid w:val="00B0319D"/>
    <w:rsid w:val="00B03362"/>
    <w:rsid w:val="00B044EF"/>
    <w:rsid w:val="00B052E0"/>
    <w:rsid w:val="00B06F74"/>
    <w:rsid w:val="00B07A97"/>
    <w:rsid w:val="00B07E5C"/>
    <w:rsid w:val="00B116E3"/>
    <w:rsid w:val="00B12A8D"/>
    <w:rsid w:val="00B141A5"/>
    <w:rsid w:val="00B1483E"/>
    <w:rsid w:val="00B15EC6"/>
    <w:rsid w:val="00B16815"/>
    <w:rsid w:val="00B16AD3"/>
    <w:rsid w:val="00B203B9"/>
    <w:rsid w:val="00B20BC2"/>
    <w:rsid w:val="00B22C59"/>
    <w:rsid w:val="00B35AC1"/>
    <w:rsid w:val="00B40FCE"/>
    <w:rsid w:val="00B42569"/>
    <w:rsid w:val="00B425A2"/>
    <w:rsid w:val="00B43412"/>
    <w:rsid w:val="00B43A26"/>
    <w:rsid w:val="00B44673"/>
    <w:rsid w:val="00B4514F"/>
    <w:rsid w:val="00B53264"/>
    <w:rsid w:val="00B53330"/>
    <w:rsid w:val="00B543E3"/>
    <w:rsid w:val="00B552A0"/>
    <w:rsid w:val="00B565AB"/>
    <w:rsid w:val="00B612C0"/>
    <w:rsid w:val="00B61B44"/>
    <w:rsid w:val="00B63A07"/>
    <w:rsid w:val="00B643A7"/>
    <w:rsid w:val="00B644BC"/>
    <w:rsid w:val="00B648FE"/>
    <w:rsid w:val="00B651CE"/>
    <w:rsid w:val="00B66AC1"/>
    <w:rsid w:val="00B707A6"/>
    <w:rsid w:val="00B71D6E"/>
    <w:rsid w:val="00B73010"/>
    <w:rsid w:val="00B74C3D"/>
    <w:rsid w:val="00B74D40"/>
    <w:rsid w:val="00B80FCA"/>
    <w:rsid w:val="00B811F7"/>
    <w:rsid w:val="00B81FA6"/>
    <w:rsid w:val="00B852E3"/>
    <w:rsid w:val="00B86432"/>
    <w:rsid w:val="00B86A28"/>
    <w:rsid w:val="00B909DE"/>
    <w:rsid w:val="00B92086"/>
    <w:rsid w:val="00B940FF"/>
    <w:rsid w:val="00B94207"/>
    <w:rsid w:val="00B94361"/>
    <w:rsid w:val="00B977D0"/>
    <w:rsid w:val="00BA1385"/>
    <w:rsid w:val="00BA230A"/>
    <w:rsid w:val="00BA5DC6"/>
    <w:rsid w:val="00BA6196"/>
    <w:rsid w:val="00BA7182"/>
    <w:rsid w:val="00BB0035"/>
    <w:rsid w:val="00BB04D2"/>
    <w:rsid w:val="00BB4737"/>
    <w:rsid w:val="00BB5898"/>
    <w:rsid w:val="00BB5F2E"/>
    <w:rsid w:val="00BB6108"/>
    <w:rsid w:val="00BC1D07"/>
    <w:rsid w:val="00BC34E4"/>
    <w:rsid w:val="00BC3DA7"/>
    <w:rsid w:val="00BC5560"/>
    <w:rsid w:val="00BC6B80"/>
    <w:rsid w:val="00BC6D8C"/>
    <w:rsid w:val="00BD0812"/>
    <w:rsid w:val="00BD0949"/>
    <w:rsid w:val="00BD4556"/>
    <w:rsid w:val="00BD7110"/>
    <w:rsid w:val="00BD7E4A"/>
    <w:rsid w:val="00BE0110"/>
    <w:rsid w:val="00BE0FE2"/>
    <w:rsid w:val="00BE11A8"/>
    <w:rsid w:val="00BE3093"/>
    <w:rsid w:val="00BE360A"/>
    <w:rsid w:val="00BE3FB3"/>
    <w:rsid w:val="00BE5A57"/>
    <w:rsid w:val="00BE66EB"/>
    <w:rsid w:val="00BF54A7"/>
    <w:rsid w:val="00BF78E5"/>
    <w:rsid w:val="00C02BFF"/>
    <w:rsid w:val="00C04754"/>
    <w:rsid w:val="00C04981"/>
    <w:rsid w:val="00C05281"/>
    <w:rsid w:val="00C05535"/>
    <w:rsid w:val="00C1009C"/>
    <w:rsid w:val="00C14863"/>
    <w:rsid w:val="00C14CCA"/>
    <w:rsid w:val="00C152EA"/>
    <w:rsid w:val="00C16152"/>
    <w:rsid w:val="00C16329"/>
    <w:rsid w:val="00C2104E"/>
    <w:rsid w:val="00C22FB1"/>
    <w:rsid w:val="00C23620"/>
    <w:rsid w:val="00C25242"/>
    <w:rsid w:val="00C25502"/>
    <w:rsid w:val="00C25528"/>
    <w:rsid w:val="00C3087A"/>
    <w:rsid w:val="00C30BF4"/>
    <w:rsid w:val="00C31FDA"/>
    <w:rsid w:val="00C32052"/>
    <w:rsid w:val="00C338FB"/>
    <w:rsid w:val="00C34006"/>
    <w:rsid w:val="00C3492F"/>
    <w:rsid w:val="00C370A2"/>
    <w:rsid w:val="00C371B5"/>
    <w:rsid w:val="00C4094C"/>
    <w:rsid w:val="00C41CF1"/>
    <w:rsid w:val="00C426B1"/>
    <w:rsid w:val="00C42B99"/>
    <w:rsid w:val="00C44E57"/>
    <w:rsid w:val="00C45D98"/>
    <w:rsid w:val="00C46EA4"/>
    <w:rsid w:val="00C47DF1"/>
    <w:rsid w:val="00C53BD7"/>
    <w:rsid w:val="00C57BF7"/>
    <w:rsid w:val="00C60846"/>
    <w:rsid w:val="00C66160"/>
    <w:rsid w:val="00C706D6"/>
    <w:rsid w:val="00C70BDF"/>
    <w:rsid w:val="00C721AC"/>
    <w:rsid w:val="00C725EB"/>
    <w:rsid w:val="00C73C5F"/>
    <w:rsid w:val="00C7445B"/>
    <w:rsid w:val="00C75364"/>
    <w:rsid w:val="00C75CE7"/>
    <w:rsid w:val="00C77557"/>
    <w:rsid w:val="00C803C4"/>
    <w:rsid w:val="00C81DD2"/>
    <w:rsid w:val="00C82677"/>
    <w:rsid w:val="00C82C05"/>
    <w:rsid w:val="00C90D6A"/>
    <w:rsid w:val="00C93310"/>
    <w:rsid w:val="00C933CB"/>
    <w:rsid w:val="00C96458"/>
    <w:rsid w:val="00CA18B2"/>
    <w:rsid w:val="00CA247E"/>
    <w:rsid w:val="00CA33AD"/>
    <w:rsid w:val="00CA69A4"/>
    <w:rsid w:val="00CA6CEF"/>
    <w:rsid w:val="00CA6FDB"/>
    <w:rsid w:val="00CA7B58"/>
    <w:rsid w:val="00CA7B63"/>
    <w:rsid w:val="00CB06A7"/>
    <w:rsid w:val="00CB24B7"/>
    <w:rsid w:val="00CB25E8"/>
    <w:rsid w:val="00CB3D28"/>
    <w:rsid w:val="00CB773B"/>
    <w:rsid w:val="00CC1198"/>
    <w:rsid w:val="00CC573B"/>
    <w:rsid w:val="00CC653A"/>
    <w:rsid w:val="00CC72B6"/>
    <w:rsid w:val="00CD2782"/>
    <w:rsid w:val="00CD46BC"/>
    <w:rsid w:val="00CD668B"/>
    <w:rsid w:val="00CD74C7"/>
    <w:rsid w:val="00CD7B58"/>
    <w:rsid w:val="00CD7D84"/>
    <w:rsid w:val="00CE15CB"/>
    <w:rsid w:val="00CE59CE"/>
    <w:rsid w:val="00CE6763"/>
    <w:rsid w:val="00CF1836"/>
    <w:rsid w:val="00CF2661"/>
    <w:rsid w:val="00CF27B5"/>
    <w:rsid w:val="00CF3B02"/>
    <w:rsid w:val="00CF50B4"/>
    <w:rsid w:val="00D017AE"/>
    <w:rsid w:val="00D020E9"/>
    <w:rsid w:val="00D0218D"/>
    <w:rsid w:val="00D022E7"/>
    <w:rsid w:val="00D02A43"/>
    <w:rsid w:val="00D04374"/>
    <w:rsid w:val="00D045F6"/>
    <w:rsid w:val="00D05C52"/>
    <w:rsid w:val="00D10142"/>
    <w:rsid w:val="00D10B32"/>
    <w:rsid w:val="00D11D6C"/>
    <w:rsid w:val="00D21FA7"/>
    <w:rsid w:val="00D23786"/>
    <w:rsid w:val="00D2432C"/>
    <w:rsid w:val="00D25FB5"/>
    <w:rsid w:val="00D30E47"/>
    <w:rsid w:val="00D31FA2"/>
    <w:rsid w:val="00D32BEB"/>
    <w:rsid w:val="00D35108"/>
    <w:rsid w:val="00D4012F"/>
    <w:rsid w:val="00D423FF"/>
    <w:rsid w:val="00D44223"/>
    <w:rsid w:val="00D4487E"/>
    <w:rsid w:val="00D44898"/>
    <w:rsid w:val="00D44E77"/>
    <w:rsid w:val="00D46A8D"/>
    <w:rsid w:val="00D46CA2"/>
    <w:rsid w:val="00D536B1"/>
    <w:rsid w:val="00D539F8"/>
    <w:rsid w:val="00D53EDF"/>
    <w:rsid w:val="00D55B96"/>
    <w:rsid w:val="00D55DC0"/>
    <w:rsid w:val="00D56371"/>
    <w:rsid w:val="00D566C9"/>
    <w:rsid w:val="00D56EAD"/>
    <w:rsid w:val="00D60761"/>
    <w:rsid w:val="00D62014"/>
    <w:rsid w:val="00D64DB0"/>
    <w:rsid w:val="00D71C5D"/>
    <w:rsid w:val="00D73806"/>
    <w:rsid w:val="00D7453F"/>
    <w:rsid w:val="00D74E58"/>
    <w:rsid w:val="00D76DF0"/>
    <w:rsid w:val="00D8271D"/>
    <w:rsid w:val="00D84F5E"/>
    <w:rsid w:val="00D8523C"/>
    <w:rsid w:val="00D85DF2"/>
    <w:rsid w:val="00D87717"/>
    <w:rsid w:val="00D87AC4"/>
    <w:rsid w:val="00D87B74"/>
    <w:rsid w:val="00D90068"/>
    <w:rsid w:val="00D91430"/>
    <w:rsid w:val="00DA1554"/>
    <w:rsid w:val="00DA19EE"/>
    <w:rsid w:val="00DA2529"/>
    <w:rsid w:val="00DA2EFE"/>
    <w:rsid w:val="00DA3C90"/>
    <w:rsid w:val="00DA49EC"/>
    <w:rsid w:val="00DA6509"/>
    <w:rsid w:val="00DB05AA"/>
    <w:rsid w:val="00DB130A"/>
    <w:rsid w:val="00DB1DF3"/>
    <w:rsid w:val="00DB2EBB"/>
    <w:rsid w:val="00DB33E4"/>
    <w:rsid w:val="00DB5622"/>
    <w:rsid w:val="00DB5926"/>
    <w:rsid w:val="00DB664E"/>
    <w:rsid w:val="00DC10A1"/>
    <w:rsid w:val="00DC1189"/>
    <w:rsid w:val="00DC1B36"/>
    <w:rsid w:val="00DC655F"/>
    <w:rsid w:val="00DC7974"/>
    <w:rsid w:val="00DD0B59"/>
    <w:rsid w:val="00DD26FD"/>
    <w:rsid w:val="00DD279C"/>
    <w:rsid w:val="00DD7EBD"/>
    <w:rsid w:val="00DE114D"/>
    <w:rsid w:val="00DE5513"/>
    <w:rsid w:val="00DE5FC7"/>
    <w:rsid w:val="00DE68B6"/>
    <w:rsid w:val="00DE7583"/>
    <w:rsid w:val="00DF03C5"/>
    <w:rsid w:val="00DF1609"/>
    <w:rsid w:val="00DF1FD1"/>
    <w:rsid w:val="00DF62B6"/>
    <w:rsid w:val="00DF7D50"/>
    <w:rsid w:val="00E01823"/>
    <w:rsid w:val="00E01F5D"/>
    <w:rsid w:val="00E0209F"/>
    <w:rsid w:val="00E02484"/>
    <w:rsid w:val="00E03F9C"/>
    <w:rsid w:val="00E0702B"/>
    <w:rsid w:val="00E07225"/>
    <w:rsid w:val="00E07451"/>
    <w:rsid w:val="00E10355"/>
    <w:rsid w:val="00E1068A"/>
    <w:rsid w:val="00E118B1"/>
    <w:rsid w:val="00E15002"/>
    <w:rsid w:val="00E16B9F"/>
    <w:rsid w:val="00E201AD"/>
    <w:rsid w:val="00E2021E"/>
    <w:rsid w:val="00E21768"/>
    <w:rsid w:val="00E24306"/>
    <w:rsid w:val="00E24A08"/>
    <w:rsid w:val="00E24F72"/>
    <w:rsid w:val="00E278F6"/>
    <w:rsid w:val="00E336B6"/>
    <w:rsid w:val="00E34774"/>
    <w:rsid w:val="00E35490"/>
    <w:rsid w:val="00E35BD2"/>
    <w:rsid w:val="00E36492"/>
    <w:rsid w:val="00E367FA"/>
    <w:rsid w:val="00E37489"/>
    <w:rsid w:val="00E409D2"/>
    <w:rsid w:val="00E412F2"/>
    <w:rsid w:val="00E44275"/>
    <w:rsid w:val="00E4560F"/>
    <w:rsid w:val="00E47386"/>
    <w:rsid w:val="00E47A40"/>
    <w:rsid w:val="00E531B0"/>
    <w:rsid w:val="00E5401D"/>
    <w:rsid w:val="00E5409F"/>
    <w:rsid w:val="00E568C3"/>
    <w:rsid w:val="00E57080"/>
    <w:rsid w:val="00E578D8"/>
    <w:rsid w:val="00E612F2"/>
    <w:rsid w:val="00E61D9F"/>
    <w:rsid w:val="00E61DF3"/>
    <w:rsid w:val="00E64E02"/>
    <w:rsid w:val="00E66F20"/>
    <w:rsid w:val="00E700CA"/>
    <w:rsid w:val="00E71567"/>
    <w:rsid w:val="00E729BE"/>
    <w:rsid w:val="00E73492"/>
    <w:rsid w:val="00E750F2"/>
    <w:rsid w:val="00E7610E"/>
    <w:rsid w:val="00E8486E"/>
    <w:rsid w:val="00E905D0"/>
    <w:rsid w:val="00E93472"/>
    <w:rsid w:val="00E952DE"/>
    <w:rsid w:val="00E974CE"/>
    <w:rsid w:val="00EA3031"/>
    <w:rsid w:val="00EA6DFC"/>
    <w:rsid w:val="00EB0648"/>
    <w:rsid w:val="00EB186F"/>
    <w:rsid w:val="00EB3EB5"/>
    <w:rsid w:val="00EB48CD"/>
    <w:rsid w:val="00EB4ED7"/>
    <w:rsid w:val="00EB5385"/>
    <w:rsid w:val="00EB5546"/>
    <w:rsid w:val="00EC217B"/>
    <w:rsid w:val="00EC2372"/>
    <w:rsid w:val="00EC3245"/>
    <w:rsid w:val="00EC5811"/>
    <w:rsid w:val="00EC707C"/>
    <w:rsid w:val="00EC7126"/>
    <w:rsid w:val="00ED06CF"/>
    <w:rsid w:val="00ED0D74"/>
    <w:rsid w:val="00ED2DFE"/>
    <w:rsid w:val="00ED2E55"/>
    <w:rsid w:val="00ED44A6"/>
    <w:rsid w:val="00ED4BA7"/>
    <w:rsid w:val="00ED5BF4"/>
    <w:rsid w:val="00ED6782"/>
    <w:rsid w:val="00ED77BB"/>
    <w:rsid w:val="00ED7E7E"/>
    <w:rsid w:val="00EE0F49"/>
    <w:rsid w:val="00EE12F4"/>
    <w:rsid w:val="00EE3F0B"/>
    <w:rsid w:val="00EE4C75"/>
    <w:rsid w:val="00EE5BBB"/>
    <w:rsid w:val="00EE6488"/>
    <w:rsid w:val="00EE72FF"/>
    <w:rsid w:val="00EE7A09"/>
    <w:rsid w:val="00EE7B83"/>
    <w:rsid w:val="00EE7B9D"/>
    <w:rsid w:val="00EF310C"/>
    <w:rsid w:val="00EF45AE"/>
    <w:rsid w:val="00EF4D84"/>
    <w:rsid w:val="00EF5EB1"/>
    <w:rsid w:val="00F00E04"/>
    <w:rsid w:val="00F021FA"/>
    <w:rsid w:val="00F11EC4"/>
    <w:rsid w:val="00F13A55"/>
    <w:rsid w:val="00F17CDC"/>
    <w:rsid w:val="00F25F99"/>
    <w:rsid w:val="00F263C3"/>
    <w:rsid w:val="00F27CAD"/>
    <w:rsid w:val="00F308B4"/>
    <w:rsid w:val="00F32881"/>
    <w:rsid w:val="00F32C11"/>
    <w:rsid w:val="00F3334D"/>
    <w:rsid w:val="00F334F4"/>
    <w:rsid w:val="00F337C0"/>
    <w:rsid w:val="00F36C7A"/>
    <w:rsid w:val="00F41AA2"/>
    <w:rsid w:val="00F4235B"/>
    <w:rsid w:val="00F4676B"/>
    <w:rsid w:val="00F470C1"/>
    <w:rsid w:val="00F4710D"/>
    <w:rsid w:val="00F47CC3"/>
    <w:rsid w:val="00F502F4"/>
    <w:rsid w:val="00F52AE4"/>
    <w:rsid w:val="00F54EDC"/>
    <w:rsid w:val="00F561E7"/>
    <w:rsid w:val="00F57E64"/>
    <w:rsid w:val="00F620BF"/>
    <w:rsid w:val="00F62520"/>
    <w:rsid w:val="00F62E97"/>
    <w:rsid w:val="00F62FF0"/>
    <w:rsid w:val="00F64209"/>
    <w:rsid w:val="00F658F2"/>
    <w:rsid w:val="00F65920"/>
    <w:rsid w:val="00F6770D"/>
    <w:rsid w:val="00F70A03"/>
    <w:rsid w:val="00F7165C"/>
    <w:rsid w:val="00F75745"/>
    <w:rsid w:val="00F757E1"/>
    <w:rsid w:val="00F76372"/>
    <w:rsid w:val="00F76614"/>
    <w:rsid w:val="00F77552"/>
    <w:rsid w:val="00F808F3"/>
    <w:rsid w:val="00F80EF9"/>
    <w:rsid w:val="00F81D67"/>
    <w:rsid w:val="00F82EE4"/>
    <w:rsid w:val="00F830A2"/>
    <w:rsid w:val="00F85B51"/>
    <w:rsid w:val="00F9068D"/>
    <w:rsid w:val="00F9162D"/>
    <w:rsid w:val="00F92A14"/>
    <w:rsid w:val="00F92CAB"/>
    <w:rsid w:val="00F93BF5"/>
    <w:rsid w:val="00F9610C"/>
    <w:rsid w:val="00F96800"/>
    <w:rsid w:val="00FA4A52"/>
    <w:rsid w:val="00FA6743"/>
    <w:rsid w:val="00FA794B"/>
    <w:rsid w:val="00FA7C39"/>
    <w:rsid w:val="00FB1F06"/>
    <w:rsid w:val="00FB3265"/>
    <w:rsid w:val="00FB58B4"/>
    <w:rsid w:val="00FB619F"/>
    <w:rsid w:val="00FB6BB1"/>
    <w:rsid w:val="00FB6FB4"/>
    <w:rsid w:val="00FC052A"/>
    <w:rsid w:val="00FC5E16"/>
    <w:rsid w:val="00FC76FE"/>
    <w:rsid w:val="00FD02A5"/>
    <w:rsid w:val="00FD076D"/>
    <w:rsid w:val="00FD1D1B"/>
    <w:rsid w:val="00FD3A7A"/>
    <w:rsid w:val="00FD7AAC"/>
    <w:rsid w:val="00FE162A"/>
    <w:rsid w:val="00FE58AB"/>
    <w:rsid w:val="00FE6082"/>
    <w:rsid w:val="00FE6B1B"/>
    <w:rsid w:val="00FF2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05AF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note text" w:uiPriority="99" w:qFormat="1"/>
    <w:lsdException w:name="footer" w:uiPriority="99"/>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3330"/>
    <w:pPr>
      <w:widowControl w:val="0"/>
    </w:pPr>
    <w:rPr>
      <w:snapToGrid w:val="0"/>
      <w:kern w:val="28"/>
      <w:sz w:val="22"/>
    </w:rPr>
  </w:style>
  <w:style w:type="paragraph" w:styleId="Heading1">
    <w:name w:val="heading 1"/>
    <w:basedOn w:val="Normal"/>
    <w:next w:val="ParaNum"/>
    <w:link w:val="Heading1Char"/>
    <w:qFormat/>
    <w:rsid w:val="00626EB6"/>
    <w:pPr>
      <w:keepNext/>
      <w:numPr>
        <w:numId w:val="2"/>
      </w:numPr>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E34774"/>
    <w:pPr>
      <w:keepNext/>
      <w:numPr>
        <w:ilvl w:val="1"/>
        <w:numId w:val="2"/>
      </w:numPr>
      <w:spacing w:after="120"/>
      <w:outlineLvl w:val="1"/>
    </w:pPr>
    <w:rPr>
      <w:b/>
    </w:rPr>
  </w:style>
  <w:style w:type="paragraph" w:styleId="Heading3">
    <w:name w:val="heading 3"/>
    <w:basedOn w:val="Normal"/>
    <w:next w:val="ParaNum"/>
    <w:qFormat/>
    <w:rsid w:val="00BA6196"/>
    <w:pPr>
      <w:keepNext/>
      <w:numPr>
        <w:ilvl w:val="2"/>
        <w:numId w:val="2"/>
      </w:numPr>
      <w:tabs>
        <w:tab w:val="left" w:pos="2160"/>
      </w:tabs>
      <w:spacing w:after="120"/>
      <w:outlineLvl w:val="2"/>
    </w:pPr>
    <w:rPr>
      <w:b/>
    </w:rPr>
  </w:style>
  <w:style w:type="paragraph" w:styleId="Heading4">
    <w:name w:val="heading 4"/>
    <w:aliases w:val="Heading 4 Char2,Heading 4 Char1 Char,Heading 4 Char Char Char,Heading 4 Char Char1,Heading 4 Char1,Heading 4 Char Char"/>
    <w:basedOn w:val="Normal"/>
    <w:next w:val="ParaNum"/>
    <w:qFormat/>
    <w:rsid w:val="00C426B1"/>
    <w:pPr>
      <w:keepNext/>
      <w:numPr>
        <w:ilvl w:val="3"/>
        <w:numId w:val="2"/>
      </w:numPr>
      <w:tabs>
        <w:tab w:val="left" w:pos="2880"/>
      </w:tabs>
      <w:spacing w:after="120"/>
      <w:outlineLvl w:val="3"/>
    </w:pPr>
    <w:rPr>
      <w:b/>
    </w:rPr>
  </w:style>
  <w:style w:type="paragraph" w:styleId="Heading5">
    <w:name w:val="heading 5"/>
    <w:basedOn w:val="Normal"/>
    <w:next w:val="ParaNum"/>
    <w:qFormat/>
    <w:rsid w:val="00511968"/>
    <w:pPr>
      <w:keepNext/>
      <w:numPr>
        <w:ilvl w:val="4"/>
        <w:numId w:val="2"/>
      </w:numPr>
      <w:tabs>
        <w:tab w:val="left" w:pos="3600"/>
      </w:tabs>
      <w:suppressAutoHyphens/>
      <w:spacing w:after="120"/>
      <w:outlineLvl w:val="4"/>
    </w:pPr>
    <w:rPr>
      <w:b/>
    </w:rPr>
  </w:style>
  <w:style w:type="paragraph" w:styleId="Heading6">
    <w:name w:val="heading 6"/>
    <w:aliases w:val="h6"/>
    <w:basedOn w:val="Normal"/>
    <w:next w:val="ParaNum"/>
    <w:qFormat/>
    <w:rsid w:val="00036039"/>
    <w:pPr>
      <w:numPr>
        <w:ilvl w:val="5"/>
        <w:numId w:val="2"/>
      </w:numPr>
      <w:tabs>
        <w:tab w:val="left" w:pos="4320"/>
      </w:tabs>
      <w:spacing w:after="120"/>
      <w:outlineLvl w:val="5"/>
    </w:pPr>
    <w:rPr>
      <w:b/>
    </w:rPr>
  </w:style>
  <w:style w:type="paragraph" w:styleId="Heading7">
    <w:name w:val="heading 7"/>
    <w:basedOn w:val="Normal"/>
    <w:next w:val="ParaNum"/>
    <w:qFormat/>
    <w:rsid w:val="00036039"/>
    <w:pPr>
      <w:numPr>
        <w:ilvl w:val="6"/>
        <w:numId w:val="2"/>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2"/>
      </w:numPr>
      <w:tabs>
        <w:tab w:val="clear" w:pos="5400"/>
        <w:tab w:val="left" w:pos="5760"/>
      </w:tabs>
      <w:spacing w:after="120"/>
      <w:ind w:left="5760" w:hanging="720"/>
      <w:outlineLvl w:val="7"/>
    </w:pPr>
    <w:rPr>
      <w:b/>
    </w:rPr>
  </w:style>
  <w:style w:type="paragraph" w:styleId="Heading9">
    <w:name w:val="heading 9"/>
    <w:aliases w:val="Topic,table,t,9,Heading 9.table,Titre 9"/>
    <w:basedOn w:val="Normal"/>
    <w:next w:val="ParaNum"/>
    <w:qFormat/>
    <w:rsid w:val="001E01CA"/>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1"/>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2 Char,Footnote Text Char3 Char Char,Footnote Text Char2 Char Char Char,Footnote Text Char Char Char1 Char Char Char,Footnote Text Char1 Char1 Char Char Char,Footnote Text Char Char Char2 Char Char,fn,f,ALTS FOOTNOTE"/>
    <w:link w:val="FootnoteTextChar"/>
    <w:uiPriority w:val="99"/>
    <w:qFormat/>
    <w:rsid w:val="000E3D42"/>
    <w:pPr>
      <w:spacing w:after="120"/>
    </w:pPr>
  </w:style>
  <w:style w:type="character" w:styleId="FootnoteReference">
    <w:name w:val="footnote reference"/>
    <w:aliases w:val="Style 124,Appel note de bas de p,Style 12,(NECG) Footnote Reference,o,fr,Style 3,Style 17,FR,Style 13,Footnote Reference/,Style 6,Style 7,Style 4,Footnote Reference1,Style 34,Style 9,Style 20,callout"/>
    <w:qFormat/>
    <w:rsid w:val="00A32C3B"/>
    <w:rPr>
      <w:rFonts w:ascii="Times New Roman" w:hAnsi="Times New Roman"/>
      <w:dstrike w:val="0"/>
      <w:color w:val="auto"/>
      <w:sz w:val="20"/>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uiPriority w:val="39"/>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5B4851"/>
    <w:pPr>
      <w:tabs>
        <w:tab w:val="center" w:pos="4680"/>
        <w:tab w:val="right" w:pos="9360"/>
      </w:tabs>
      <w:jc w:val="center"/>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aliases w:val="Footnote Text Char2 Char Char,Footnote Text Char3 Char Char Char,Footnote Text Char2 Char Char Char Char,Footnote Text Char Char Char1 Char Char Char Char,Footnote Text Char1 Char1 Char Char Char Char,fn Char,f Char,ALTS FOOTNOTE Char"/>
    <w:link w:val="FootnoteText"/>
    <w:uiPriority w:val="99"/>
    <w:rsid w:val="00011C42"/>
  </w:style>
  <w:style w:type="character" w:styleId="CommentReference">
    <w:name w:val="annotation reference"/>
    <w:rsid w:val="00011C42"/>
    <w:rPr>
      <w:sz w:val="16"/>
      <w:szCs w:val="16"/>
    </w:rPr>
  </w:style>
  <w:style w:type="paragraph" w:styleId="CommentText">
    <w:name w:val="annotation text"/>
    <w:basedOn w:val="Normal"/>
    <w:link w:val="CommentTextChar"/>
    <w:rsid w:val="00011C42"/>
    <w:rPr>
      <w:sz w:val="20"/>
    </w:rPr>
  </w:style>
  <w:style w:type="character" w:customStyle="1" w:styleId="CommentTextChar">
    <w:name w:val="Comment Text Char"/>
    <w:basedOn w:val="DefaultParagraphFont"/>
    <w:link w:val="CommentText"/>
    <w:rsid w:val="00011C42"/>
    <w:rPr>
      <w:snapToGrid w:val="0"/>
      <w:kern w:val="28"/>
    </w:rPr>
  </w:style>
  <w:style w:type="paragraph" w:styleId="BalloonText">
    <w:name w:val="Balloon Text"/>
    <w:basedOn w:val="Normal"/>
    <w:link w:val="BalloonTextChar"/>
    <w:rsid w:val="00011C42"/>
    <w:rPr>
      <w:rFonts w:ascii="Segoe UI" w:hAnsi="Segoe UI" w:cs="Segoe UI"/>
      <w:sz w:val="18"/>
      <w:szCs w:val="18"/>
    </w:rPr>
  </w:style>
  <w:style w:type="character" w:customStyle="1" w:styleId="BalloonTextChar">
    <w:name w:val="Balloon Text Char"/>
    <w:basedOn w:val="DefaultParagraphFont"/>
    <w:link w:val="BalloonText"/>
    <w:rsid w:val="00011C42"/>
    <w:rPr>
      <w:rFonts w:ascii="Segoe UI" w:hAnsi="Segoe UI" w:cs="Segoe UI"/>
      <w:snapToGrid w:val="0"/>
      <w:kern w:val="28"/>
      <w:sz w:val="18"/>
      <w:szCs w:val="18"/>
    </w:rPr>
  </w:style>
  <w:style w:type="paragraph" w:styleId="CommentSubject">
    <w:name w:val="annotation subject"/>
    <w:basedOn w:val="CommentText"/>
    <w:next w:val="CommentText"/>
    <w:link w:val="CommentSubjectChar"/>
    <w:rsid w:val="00AB4DAC"/>
    <w:rPr>
      <w:b/>
      <w:bCs/>
    </w:rPr>
  </w:style>
  <w:style w:type="character" w:customStyle="1" w:styleId="CommentSubjectChar">
    <w:name w:val="Comment Subject Char"/>
    <w:basedOn w:val="CommentTextChar"/>
    <w:link w:val="CommentSubject"/>
    <w:rsid w:val="00AB4DAC"/>
    <w:rPr>
      <w:b/>
      <w:bCs/>
      <w:snapToGrid w:val="0"/>
      <w:kern w:val="28"/>
    </w:rPr>
  </w:style>
  <w:style w:type="paragraph" w:customStyle="1" w:styleId="StyleParaNumTimesNewRoman11pt">
    <w:name w:val="Style ParaNum + Times New Roman 11 pt"/>
    <w:basedOn w:val="ParaNum"/>
    <w:link w:val="StyleParaNumTimesNewRoman11ptChar"/>
    <w:autoRedefine/>
    <w:rsid w:val="00A7226F"/>
    <w:pPr>
      <w:widowControl/>
      <w:numPr>
        <w:numId w:val="0"/>
      </w:numPr>
      <w:tabs>
        <w:tab w:val="num" w:pos="360"/>
        <w:tab w:val="left" w:pos="1440"/>
      </w:tabs>
      <w:ind w:left="360" w:hanging="360"/>
    </w:pPr>
    <w:rPr>
      <w:snapToGrid/>
    </w:rPr>
  </w:style>
  <w:style w:type="character" w:customStyle="1" w:styleId="StyleParaNumTimesNewRoman11ptChar">
    <w:name w:val="Style ParaNum + Times New Roman 11 pt Char"/>
    <w:link w:val="StyleParaNumTimesNewRoman11pt"/>
    <w:locked/>
    <w:rsid w:val="00A7226F"/>
    <w:rPr>
      <w:kern w:val="28"/>
      <w:sz w:val="22"/>
    </w:rPr>
  </w:style>
  <w:style w:type="character" w:customStyle="1" w:styleId="ParaNumChar">
    <w:name w:val="ParaNum Char"/>
    <w:link w:val="ParaNum"/>
    <w:locked/>
    <w:rsid w:val="00B852E3"/>
    <w:rPr>
      <w:snapToGrid w:val="0"/>
      <w:kern w:val="28"/>
      <w:sz w:val="22"/>
    </w:rPr>
  </w:style>
  <w:style w:type="paragraph" w:customStyle="1" w:styleId="Default">
    <w:name w:val="Default"/>
    <w:rsid w:val="00835EB5"/>
    <w:pPr>
      <w:autoSpaceDE w:val="0"/>
      <w:autoSpaceDN w:val="0"/>
      <w:adjustRightInd w:val="0"/>
    </w:pPr>
    <w:rPr>
      <w:color w:val="000000"/>
      <w:sz w:val="24"/>
      <w:szCs w:val="24"/>
    </w:rPr>
  </w:style>
  <w:style w:type="paragraph" w:styleId="Revision">
    <w:name w:val="Revision"/>
    <w:hidden/>
    <w:uiPriority w:val="99"/>
    <w:semiHidden/>
    <w:rsid w:val="00C7445B"/>
    <w:rPr>
      <w:snapToGrid w:val="0"/>
      <w:kern w:val="28"/>
      <w:sz w:val="22"/>
    </w:rPr>
  </w:style>
  <w:style w:type="character" w:customStyle="1" w:styleId="Heading1Char">
    <w:name w:val="Heading 1 Char"/>
    <w:link w:val="Heading1"/>
    <w:locked/>
    <w:rsid w:val="00075919"/>
    <w:rPr>
      <w:rFonts w:ascii="Times New Roman Bold" w:hAnsi="Times New Roman Bold"/>
      <w:b/>
      <w:caps/>
      <w:snapToGrid w:val="0"/>
      <w:kern w:val="28"/>
      <w:sz w:val="22"/>
    </w:rPr>
  </w:style>
  <w:style w:type="character" w:styleId="FollowedHyperlink">
    <w:name w:val="FollowedHyperlink"/>
    <w:basedOn w:val="DefaultParagraphFont"/>
    <w:rsid w:val="00784A37"/>
    <w:rPr>
      <w:color w:val="954F72" w:themeColor="followedHyperlink"/>
      <w:u w:val="single"/>
    </w:rPr>
  </w:style>
  <w:style w:type="character" w:customStyle="1" w:styleId="StyleTimesNewRomanBold11ptBold">
    <w:name w:val="Style Times New Roman Bold 11 pt Bold"/>
    <w:rsid w:val="00590C89"/>
    <w:rPr>
      <w:rFonts w:hAnsi="Times New Roman Bold"/>
      <w:b/>
      <w:bCs/>
      <w:caps/>
      <w:sz w:val="22"/>
      <w:szCs w:val="22"/>
    </w:rPr>
  </w:style>
  <w:style w:type="character" w:customStyle="1" w:styleId="Normal1">
    <w:name w:val="Normal1"/>
    <w:rsid w:val="00590C89"/>
    <w:rPr>
      <w:rFonts w:ascii="Times New Roman" w:hAnsi="Times New Roman"/>
      <w:noProof w:val="0"/>
      <w:sz w:val="20"/>
      <w:lang w:val="en-US"/>
    </w:rPr>
  </w:style>
  <w:style w:type="character" w:styleId="Emphasis">
    <w:name w:val="Emphasis"/>
    <w:basedOn w:val="DefaultParagraphFont"/>
    <w:qFormat/>
    <w:rsid w:val="00B909DE"/>
    <w:rPr>
      <w:i/>
      <w:iCs/>
    </w:rPr>
  </w:style>
  <w:style w:type="paragraph" w:styleId="ListParagraph">
    <w:name w:val="List Paragraph"/>
    <w:basedOn w:val="Normal"/>
    <w:uiPriority w:val="1"/>
    <w:qFormat/>
    <w:rsid w:val="008A5FAB"/>
    <w:pPr>
      <w:widowControl/>
      <w:ind w:left="720"/>
      <w:contextualSpacing/>
    </w:pPr>
    <w:rPr>
      <w:rFonts w:eastAsiaTheme="minorHAnsi"/>
      <w:snapToGrid/>
      <w:kern w:val="0"/>
      <w:szCs w:val="22"/>
    </w:rPr>
  </w:style>
  <w:style w:type="character" w:customStyle="1" w:styleId="FootnoteTextCharChar1">
    <w:name w:val="Footnote Text Char Char1"/>
    <w:aliases w:val="Footnote Text Char2 Char2 Char,Footnote Text Char Char1 Char Char,Footnote Text Char2 Char2 Char Char Char,Footnote Text Char Char1 Char Char Char Char,Footnote Text Char1 Char1 Char Char Char Char Char,fn Char Char"/>
    <w:rsid w:val="00B648FE"/>
    <w:rPr>
      <w:lang w:val="en-US" w:eastAsia="en-US"/>
    </w:rPr>
  </w:style>
  <w:style w:type="character" w:customStyle="1" w:styleId="FootnoteCharacters">
    <w:name w:val="Footnote Characters"/>
    <w:rsid w:val="00ED6782"/>
    <w:rPr>
      <w:vertAlign w:val="superscript"/>
    </w:rPr>
  </w:style>
  <w:style w:type="table" w:styleId="TableGrid">
    <w:name w:val="Table Grid"/>
    <w:basedOn w:val="TableNormal"/>
    <w:rsid w:val="00EE0F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B53330"/>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B53330"/>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note text" w:uiPriority="99" w:qFormat="1"/>
    <w:lsdException w:name="footer" w:uiPriority="99"/>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3330"/>
    <w:pPr>
      <w:widowControl w:val="0"/>
    </w:pPr>
    <w:rPr>
      <w:snapToGrid w:val="0"/>
      <w:kern w:val="28"/>
      <w:sz w:val="22"/>
    </w:rPr>
  </w:style>
  <w:style w:type="paragraph" w:styleId="Heading1">
    <w:name w:val="heading 1"/>
    <w:basedOn w:val="Normal"/>
    <w:next w:val="ParaNum"/>
    <w:link w:val="Heading1Char"/>
    <w:qFormat/>
    <w:rsid w:val="00626EB6"/>
    <w:pPr>
      <w:keepNext/>
      <w:numPr>
        <w:numId w:val="2"/>
      </w:numPr>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E34774"/>
    <w:pPr>
      <w:keepNext/>
      <w:numPr>
        <w:ilvl w:val="1"/>
        <w:numId w:val="2"/>
      </w:numPr>
      <w:spacing w:after="120"/>
      <w:outlineLvl w:val="1"/>
    </w:pPr>
    <w:rPr>
      <w:b/>
    </w:rPr>
  </w:style>
  <w:style w:type="paragraph" w:styleId="Heading3">
    <w:name w:val="heading 3"/>
    <w:basedOn w:val="Normal"/>
    <w:next w:val="ParaNum"/>
    <w:qFormat/>
    <w:rsid w:val="00BA6196"/>
    <w:pPr>
      <w:keepNext/>
      <w:numPr>
        <w:ilvl w:val="2"/>
        <w:numId w:val="2"/>
      </w:numPr>
      <w:tabs>
        <w:tab w:val="left" w:pos="2160"/>
      </w:tabs>
      <w:spacing w:after="120"/>
      <w:outlineLvl w:val="2"/>
    </w:pPr>
    <w:rPr>
      <w:b/>
    </w:rPr>
  </w:style>
  <w:style w:type="paragraph" w:styleId="Heading4">
    <w:name w:val="heading 4"/>
    <w:aliases w:val="Heading 4 Char2,Heading 4 Char1 Char,Heading 4 Char Char Char,Heading 4 Char Char1,Heading 4 Char1,Heading 4 Char Char"/>
    <w:basedOn w:val="Normal"/>
    <w:next w:val="ParaNum"/>
    <w:qFormat/>
    <w:rsid w:val="00C426B1"/>
    <w:pPr>
      <w:keepNext/>
      <w:numPr>
        <w:ilvl w:val="3"/>
        <w:numId w:val="2"/>
      </w:numPr>
      <w:tabs>
        <w:tab w:val="left" w:pos="2880"/>
      </w:tabs>
      <w:spacing w:after="120"/>
      <w:outlineLvl w:val="3"/>
    </w:pPr>
    <w:rPr>
      <w:b/>
    </w:rPr>
  </w:style>
  <w:style w:type="paragraph" w:styleId="Heading5">
    <w:name w:val="heading 5"/>
    <w:basedOn w:val="Normal"/>
    <w:next w:val="ParaNum"/>
    <w:qFormat/>
    <w:rsid w:val="00511968"/>
    <w:pPr>
      <w:keepNext/>
      <w:numPr>
        <w:ilvl w:val="4"/>
        <w:numId w:val="2"/>
      </w:numPr>
      <w:tabs>
        <w:tab w:val="left" w:pos="3600"/>
      </w:tabs>
      <w:suppressAutoHyphens/>
      <w:spacing w:after="120"/>
      <w:outlineLvl w:val="4"/>
    </w:pPr>
    <w:rPr>
      <w:b/>
    </w:rPr>
  </w:style>
  <w:style w:type="paragraph" w:styleId="Heading6">
    <w:name w:val="heading 6"/>
    <w:aliases w:val="h6"/>
    <w:basedOn w:val="Normal"/>
    <w:next w:val="ParaNum"/>
    <w:qFormat/>
    <w:rsid w:val="00036039"/>
    <w:pPr>
      <w:numPr>
        <w:ilvl w:val="5"/>
        <w:numId w:val="2"/>
      </w:numPr>
      <w:tabs>
        <w:tab w:val="left" w:pos="4320"/>
      </w:tabs>
      <w:spacing w:after="120"/>
      <w:outlineLvl w:val="5"/>
    </w:pPr>
    <w:rPr>
      <w:b/>
    </w:rPr>
  </w:style>
  <w:style w:type="paragraph" w:styleId="Heading7">
    <w:name w:val="heading 7"/>
    <w:basedOn w:val="Normal"/>
    <w:next w:val="ParaNum"/>
    <w:qFormat/>
    <w:rsid w:val="00036039"/>
    <w:pPr>
      <w:numPr>
        <w:ilvl w:val="6"/>
        <w:numId w:val="2"/>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2"/>
      </w:numPr>
      <w:tabs>
        <w:tab w:val="clear" w:pos="5400"/>
        <w:tab w:val="left" w:pos="5760"/>
      </w:tabs>
      <w:spacing w:after="120"/>
      <w:ind w:left="5760" w:hanging="720"/>
      <w:outlineLvl w:val="7"/>
    </w:pPr>
    <w:rPr>
      <w:b/>
    </w:rPr>
  </w:style>
  <w:style w:type="paragraph" w:styleId="Heading9">
    <w:name w:val="heading 9"/>
    <w:aliases w:val="Topic,table,t,9,Heading 9.table,Titre 9"/>
    <w:basedOn w:val="Normal"/>
    <w:next w:val="ParaNum"/>
    <w:qFormat/>
    <w:rsid w:val="001E01CA"/>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1"/>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2 Char,Footnote Text Char3 Char Char,Footnote Text Char2 Char Char Char,Footnote Text Char Char Char1 Char Char Char,Footnote Text Char1 Char1 Char Char Char,Footnote Text Char Char Char2 Char Char,fn,f,ALTS FOOTNOTE"/>
    <w:link w:val="FootnoteTextChar"/>
    <w:uiPriority w:val="99"/>
    <w:qFormat/>
    <w:rsid w:val="000E3D42"/>
    <w:pPr>
      <w:spacing w:after="120"/>
    </w:pPr>
  </w:style>
  <w:style w:type="character" w:styleId="FootnoteReference">
    <w:name w:val="footnote reference"/>
    <w:aliases w:val="Style 124,Appel note de bas de p,Style 12,(NECG) Footnote Reference,o,fr,Style 3,Style 17,FR,Style 13,Footnote Reference/,Style 6,Style 7,Style 4,Footnote Reference1,Style 34,Style 9,Style 20,callout"/>
    <w:qFormat/>
    <w:rsid w:val="00A32C3B"/>
    <w:rPr>
      <w:rFonts w:ascii="Times New Roman" w:hAnsi="Times New Roman"/>
      <w:dstrike w:val="0"/>
      <w:color w:val="auto"/>
      <w:sz w:val="20"/>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uiPriority w:val="39"/>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5B4851"/>
    <w:pPr>
      <w:tabs>
        <w:tab w:val="center" w:pos="4680"/>
        <w:tab w:val="right" w:pos="9360"/>
      </w:tabs>
      <w:jc w:val="center"/>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aliases w:val="Footnote Text Char2 Char Char,Footnote Text Char3 Char Char Char,Footnote Text Char2 Char Char Char Char,Footnote Text Char Char Char1 Char Char Char Char,Footnote Text Char1 Char1 Char Char Char Char,fn Char,f Char,ALTS FOOTNOTE Char"/>
    <w:link w:val="FootnoteText"/>
    <w:uiPriority w:val="99"/>
    <w:rsid w:val="00011C42"/>
  </w:style>
  <w:style w:type="character" w:styleId="CommentReference">
    <w:name w:val="annotation reference"/>
    <w:rsid w:val="00011C42"/>
    <w:rPr>
      <w:sz w:val="16"/>
      <w:szCs w:val="16"/>
    </w:rPr>
  </w:style>
  <w:style w:type="paragraph" w:styleId="CommentText">
    <w:name w:val="annotation text"/>
    <w:basedOn w:val="Normal"/>
    <w:link w:val="CommentTextChar"/>
    <w:rsid w:val="00011C42"/>
    <w:rPr>
      <w:sz w:val="20"/>
    </w:rPr>
  </w:style>
  <w:style w:type="character" w:customStyle="1" w:styleId="CommentTextChar">
    <w:name w:val="Comment Text Char"/>
    <w:basedOn w:val="DefaultParagraphFont"/>
    <w:link w:val="CommentText"/>
    <w:rsid w:val="00011C42"/>
    <w:rPr>
      <w:snapToGrid w:val="0"/>
      <w:kern w:val="28"/>
    </w:rPr>
  </w:style>
  <w:style w:type="paragraph" w:styleId="BalloonText">
    <w:name w:val="Balloon Text"/>
    <w:basedOn w:val="Normal"/>
    <w:link w:val="BalloonTextChar"/>
    <w:rsid w:val="00011C42"/>
    <w:rPr>
      <w:rFonts w:ascii="Segoe UI" w:hAnsi="Segoe UI" w:cs="Segoe UI"/>
      <w:sz w:val="18"/>
      <w:szCs w:val="18"/>
    </w:rPr>
  </w:style>
  <w:style w:type="character" w:customStyle="1" w:styleId="BalloonTextChar">
    <w:name w:val="Balloon Text Char"/>
    <w:basedOn w:val="DefaultParagraphFont"/>
    <w:link w:val="BalloonText"/>
    <w:rsid w:val="00011C42"/>
    <w:rPr>
      <w:rFonts w:ascii="Segoe UI" w:hAnsi="Segoe UI" w:cs="Segoe UI"/>
      <w:snapToGrid w:val="0"/>
      <w:kern w:val="28"/>
      <w:sz w:val="18"/>
      <w:szCs w:val="18"/>
    </w:rPr>
  </w:style>
  <w:style w:type="paragraph" w:styleId="CommentSubject">
    <w:name w:val="annotation subject"/>
    <w:basedOn w:val="CommentText"/>
    <w:next w:val="CommentText"/>
    <w:link w:val="CommentSubjectChar"/>
    <w:rsid w:val="00AB4DAC"/>
    <w:rPr>
      <w:b/>
      <w:bCs/>
    </w:rPr>
  </w:style>
  <w:style w:type="character" w:customStyle="1" w:styleId="CommentSubjectChar">
    <w:name w:val="Comment Subject Char"/>
    <w:basedOn w:val="CommentTextChar"/>
    <w:link w:val="CommentSubject"/>
    <w:rsid w:val="00AB4DAC"/>
    <w:rPr>
      <w:b/>
      <w:bCs/>
      <w:snapToGrid w:val="0"/>
      <w:kern w:val="28"/>
    </w:rPr>
  </w:style>
  <w:style w:type="paragraph" w:customStyle="1" w:styleId="StyleParaNumTimesNewRoman11pt">
    <w:name w:val="Style ParaNum + Times New Roman 11 pt"/>
    <w:basedOn w:val="ParaNum"/>
    <w:link w:val="StyleParaNumTimesNewRoman11ptChar"/>
    <w:autoRedefine/>
    <w:rsid w:val="00A7226F"/>
    <w:pPr>
      <w:widowControl/>
      <w:numPr>
        <w:numId w:val="0"/>
      </w:numPr>
      <w:tabs>
        <w:tab w:val="num" w:pos="360"/>
        <w:tab w:val="left" w:pos="1440"/>
      </w:tabs>
      <w:ind w:left="360" w:hanging="360"/>
    </w:pPr>
    <w:rPr>
      <w:snapToGrid/>
    </w:rPr>
  </w:style>
  <w:style w:type="character" w:customStyle="1" w:styleId="StyleParaNumTimesNewRoman11ptChar">
    <w:name w:val="Style ParaNum + Times New Roman 11 pt Char"/>
    <w:link w:val="StyleParaNumTimesNewRoman11pt"/>
    <w:locked/>
    <w:rsid w:val="00A7226F"/>
    <w:rPr>
      <w:kern w:val="28"/>
      <w:sz w:val="22"/>
    </w:rPr>
  </w:style>
  <w:style w:type="character" w:customStyle="1" w:styleId="ParaNumChar">
    <w:name w:val="ParaNum Char"/>
    <w:link w:val="ParaNum"/>
    <w:locked/>
    <w:rsid w:val="00B852E3"/>
    <w:rPr>
      <w:snapToGrid w:val="0"/>
      <w:kern w:val="28"/>
      <w:sz w:val="22"/>
    </w:rPr>
  </w:style>
  <w:style w:type="paragraph" w:customStyle="1" w:styleId="Default">
    <w:name w:val="Default"/>
    <w:rsid w:val="00835EB5"/>
    <w:pPr>
      <w:autoSpaceDE w:val="0"/>
      <w:autoSpaceDN w:val="0"/>
      <w:adjustRightInd w:val="0"/>
    </w:pPr>
    <w:rPr>
      <w:color w:val="000000"/>
      <w:sz w:val="24"/>
      <w:szCs w:val="24"/>
    </w:rPr>
  </w:style>
  <w:style w:type="paragraph" w:styleId="Revision">
    <w:name w:val="Revision"/>
    <w:hidden/>
    <w:uiPriority w:val="99"/>
    <w:semiHidden/>
    <w:rsid w:val="00C7445B"/>
    <w:rPr>
      <w:snapToGrid w:val="0"/>
      <w:kern w:val="28"/>
      <w:sz w:val="22"/>
    </w:rPr>
  </w:style>
  <w:style w:type="character" w:customStyle="1" w:styleId="Heading1Char">
    <w:name w:val="Heading 1 Char"/>
    <w:link w:val="Heading1"/>
    <w:locked/>
    <w:rsid w:val="00075919"/>
    <w:rPr>
      <w:rFonts w:ascii="Times New Roman Bold" w:hAnsi="Times New Roman Bold"/>
      <w:b/>
      <w:caps/>
      <w:snapToGrid w:val="0"/>
      <w:kern w:val="28"/>
      <w:sz w:val="22"/>
    </w:rPr>
  </w:style>
  <w:style w:type="character" w:styleId="FollowedHyperlink">
    <w:name w:val="FollowedHyperlink"/>
    <w:basedOn w:val="DefaultParagraphFont"/>
    <w:rsid w:val="00784A37"/>
    <w:rPr>
      <w:color w:val="954F72" w:themeColor="followedHyperlink"/>
      <w:u w:val="single"/>
    </w:rPr>
  </w:style>
  <w:style w:type="character" w:customStyle="1" w:styleId="StyleTimesNewRomanBold11ptBold">
    <w:name w:val="Style Times New Roman Bold 11 pt Bold"/>
    <w:rsid w:val="00590C89"/>
    <w:rPr>
      <w:rFonts w:hAnsi="Times New Roman Bold"/>
      <w:b/>
      <w:bCs/>
      <w:caps/>
      <w:sz w:val="22"/>
      <w:szCs w:val="22"/>
    </w:rPr>
  </w:style>
  <w:style w:type="character" w:customStyle="1" w:styleId="Normal1">
    <w:name w:val="Normal1"/>
    <w:rsid w:val="00590C89"/>
    <w:rPr>
      <w:rFonts w:ascii="Times New Roman" w:hAnsi="Times New Roman"/>
      <w:noProof w:val="0"/>
      <w:sz w:val="20"/>
      <w:lang w:val="en-US"/>
    </w:rPr>
  </w:style>
  <w:style w:type="character" w:styleId="Emphasis">
    <w:name w:val="Emphasis"/>
    <w:basedOn w:val="DefaultParagraphFont"/>
    <w:qFormat/>
    <w:rsid w:val="00B909DE"/>
    <w:rPr>
      <w:i/>
      <w:iCs/>
    </w:rPr>
  </w:style>
  <w:style w:type="paragraph" w:styleId="ListParagraph">
    <w:name w:val="List Paragraph"/>
    <w:basedOn w:val="Normal"/>
    <w:uiPriority w:val="1"/>
    <w:qFormat/>
    <w:rsid w:val="008A5FAB"/>
    <w:pPr>
      <w:widowControl/>
      <w:ind w:left="720"/>
      <w:contextualSpacing/>
    </w:pPr>
    <w:rPr>
      <w:rFonts w:eastAsiaTheme="minorHAnsi"/>
      <w:snapToGrid/>
      <w:kern w:val="0"/>
      <w:szCs w:val="22"/>
    </w:rPr>
  </w:style>
  <w:style w:type="character" w:customStyle="1" w:styleId="FootnoteTextCharChar1">
    <w:name w:val="Footnote Text Char Char1"/>
    <w:aliases w:val="Footnote Text Char2 Char2 Char,Footnote Text Char Char1 Char Char,Footnote Text Char2 Char2 Char Char Char,Footnote Text Char Char1 Char Char Char Char,Footnote Text Char1 Char1 Char Char Char Char Char,fn Char Char"/>
    <w:rsid w:val="00B648FE"/>
    <w:rPr>
      <w:lang w:val="en-US" w:eastAsia="en-US"/>
    </w:rPr>
  </w:style>
  <w:style w:type="character" w:customStyle="1" w:styleId="FootnoteCharacters">
    <w:name w:val="Footnote Characters"/>
    <w:rsid w:val="00ED6782"/>
    <w:rPr>
      <w:vertAlign w:val="superscript"/>
    </w:rPr>
  </w:style>
  <w:style w:type="table" w:styleId="TableGrid">
    <w:name w:val="Table Grid"/>
    <w:basedOn w:val="TableNormal"/>
    <w:rsid w:val="00EE0F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B53330"/>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B53330"/>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04321">
      <w:bodyDiv w:val="1"/>
      <w:marLeft w:val="0"/>
      <w:marRight w:val="0"/>
      <w:marTop w:val="0"/>
      <w:marBottom w:val="0"/>
      <w:divBdr>
        <w:top w:val="none" w:sz="0" w:space="0" w:color="auto"/>
        <w:left w:val="none" w:sz="0" w:space="0" w:color="auto"/>
        <w:bottom w:val="none" w:sz="0" w:space="0" w:color="auto"/>
        <w:right w:val="none" w:sz="0" w:space="0" w:color="auto"/>
      </w:divBdr>
    </w:div>
    <w:div w:id="40860066">
      <w:bodyDiv w:val="1"/>
      <w:marLeft w:val="0"/>
      <w:marRight w:val="0"/>
      <w:marTop w:val="0"/>
      <w:marBottom w:val="0"/>
      <w:divBdr>
        <w:top w:val="none" w:sz="0" w:space="0" w:color="auto"/>
        <w:left w:val="none" w:sz="0" w:space="0" w:color="auto"/>
        <w:bottom w:val="none" w:sz="0" w:space="0" w:color="auto"/>
        <w:right w:val="none" w:sz="0" w:space="0" w:color="auto"/>
      </w:divBdr>
    </w:div>
    <w:div w:id="321665855">
      <w:bodyDiv w:val="1"/>
      <w:marLeft w:val="0"/>
      <w:marRight w:val="0"/>
      <w:marTop w:val="0"/>
      <w:marBottom w:val="0"/>
      <w:divBdr>
        <w:top w:val="none" w:sz="0" w:space="0" w:color="auto"/>
        <w:left w:val="none" w:sz="0" w:space="0" w:color="auto"/>
        <w:bottom w:val="none" w:sz="0" w:space="0" w:color="auto"/>
        <w:right w:val="none" w:sz="0" w:space="0" w:color="auto"/>
      </w:divBdr>
    </w:div>
    <w:div w:id="399907649">
      <w:bodyDiv w:val="1"/>
      <w:marLeft w:val="0"/>
      <w:marRight w:val="0"/>
      <w:marTop w:val="0"/>
      <w:marBottom w:val="0"/>
      <w:divBdr>
        <w:top w:val="none" w:sz="0" w:space="0" w:color="auto"/>
        <w:left w:val="none" w:sz="0" w:space="0" w:color="auto"/>
        <w:bottom w:val="none" w:sz="0" w:space="0" w:color="auto"/>
        <w:right w:val="none" w:sz="0" w:space="0" w:color="auto"/>
      </w:divBdr>
    </w:div>
    <w:div w:id="467362839">
      <w:bodyDiv w:val="1"/>
      <w:marLeft w:val="0"/>
      <w:marRight w:val="0"/>
      <w:marTop w:val="0"/>
      <w:marBottom w:val="0"/>
      <w:divBdr>
        <w:top w:val="none" w:sz="0" w:space="0" w:color="auto"/>
        <w:left w:val="none" w:sz="0" w:space="0" w:color="auto"/>
        <w:bottom w:val="none" w:sz="0" w:space="0" w:color="auto"/>
        <w:right w:val="none" w:sz="0" w:space="0" w:color="auto"/>
      </w:divBdr>
    </w:div>
    <w:div w:id="693769712">
      <w:bodyDiv w:val="1"/>
      <w:marLeft w:val="0"/>
      <w:marRight w:val="0"/>
      <w:marTop w:val="0"/>
      <w:marBottom w:val="0"/>
      <w:divBdr>
        <w:top w:val="none" w:sz="0" w:space="0" w:color="auto"/>
        <w:left w:val="none" w:sz="0" w:space="0" w:color="auto"/>
        <w:bottom w:val="none" w:sz="0" w:space="0" w:color="auto"/>
        <w:right w:val="none" w:sz="0" w:space="0" w:color="auto"/>
      </w:divBdr>
    </w:div>
    <w:div w:id="801849802">
      <w:bodyDiv w:val="1"/>
      <w:marLeft w:val="0"/>
      <w:marRight w:val="0"/>
      <w:marTop w:val="0"/>
      <w:marBottom w:val="0"/>
      <w:divBdr>
        <w:top w:val="none" w:sz="0" w:space="0" w:color="auto"/>
        <w:left w:val="none" w:sz="0" w:space="0" w:color="auto"/>
        <w:bottom w:val="none" w:sz="0" w:space="0" w:color="auto"/>
        <w:right w:val="none" w:sz="0" w:space="0" w:color="auto"/>
      </w:divBdr>
    </w:div>
    <w:div w:id="859322520">
      <w:bodyDiv w:val="1"/>
      <w:marLeft w:val="0"/>
      <w:marRight w:val="0"/>
      <w:marTop w:val="0"/>
      <w:marBottom w:val="0"/>
      <w:divBdr>
        <w:top w:val="none" w:sz="0" w:space="0" w:color="auto"/>
        <w:left w:val="none" w:sz="0" w:space="0" w:color="auto"/>
        <w:bottom w:val="none" w:sz="0" w:space="0" w:color="auto"/>
        <w:right w:val="none" w:sz="0" w:space="0" w:color="auto"/>
      </w:divBdr>
    </w:div>
    <w:div w:id="983897119">
      <w:bodyDiv w:val="1"/>
      <w:marLeft w:val="0"/>
      <w:marRight w:val="0"/>
      <w:marTop w:val="0"/>
      <w:marBottom w:val="0"/>
      <w:divBdr>
        <w:top w:val="none" w:sz="0" w:space="0" w:color="auto"/>
        <w:left w:val="none" w:sz="0" w:space="0" w:color="auto"/>
        <w:bottom w:val="none" w:sz="0" w:space="0" w:color="auto"/>
        <w:right w:val="none" w:sz="0" w:space="0" w:color="auto"/>
      </w:divBdr>
    </w:div>
    <w:div w:id="1130825599">
      <w:bodyDiv w:val="1"/>
      <w:marLeft w:val="0"/>
      <w:marRight w:val="0"/>
      <w:marTop w:val="0"/>
      <w:marBottom w:val="0"/>
      <w:divBdr>
        <w:top w:val="none" w:sz="0" w:space="0" w:color="auto"/>
        <w:left w:val="none" w:sz="0" w:space="0" w:color="auto"/>
        <w:bottom w:val="none" w:sz="0" w:space="0" w:color="auto"/>
        <w:right w:val="none" w:sz="0" w:space="0" w:color="auto"/>
      </w:divBdr>
    </w:div>
    <w:div w:id="1199705242">
      <w:bodyDiv w:val="1"/>
      <w:marLeft w:val="0"/>
      <w:marRight w:val="0"/>
      <w:marTop w:val="0"/>
      <w:marBottom w:val="0"/>
      <w:divBdr>
        <w:top w:val="none" w:sz="0" w:space="0" w:color="auto"/>
        <w:left w:val="none" w:sz="0" w:space="0" w:color="auto"/>
        <w:bottom w:val="none" w:sz="0" w:space="0" w:color="auto"/>
        <w:right w:val="none" w:sz="0" w:space="0" w:color="auto"/>
      </w:divBdr>
    </w:div>
    <w:div w:id="1238053311">
      <w:bodyDiv w:val="1"/>
      <w:marLeft w:val="0"/>
      <w:marRight w:val="0"/>
      <w:marTop w:val="0"/>
      <w:marBottom w:val="0"/>
      <w:divBdr>
        <w:top w:val="none" w:sz="0" w:space="0" w:color="auto"/>
        <w:left w:val="none" w:sz="0" w:space="0" w:color="auto"/>
        <w:bottom w:val="none" w:sz="0" w:space="0" w:color="auto"/>
        <w:right w:val="none" w:sz="0" w:space="0" w:color="auto"/>
      </w:divBdr>
    </w:div>
    <w:div w:id="1264873965">
      <w:bodyDiv w:val="1"/>
      <w:marLeft w:val="0"/>
      <w:marRight w:val="0"/>
      <w:marTop w:val="0"/>
      <w:marBottom w:val="0"/>
      <w:divBdr>
        <w:top w:val="none" w:sz="0" w:space="0" w:color="auto"/>
        <w:left w:val="none" w:sz="0" w:space="0" w:color="auto"/>
        <w:bottom w:val="none" w:sz="0" w:space="0" w:color="auto"/>
        <w:right w:val="none" w:sz="0" w:space="0" w:color="auto"/>
      </w:divBdr>
    </w:div>
    <w:div w:id="1304191740">
      <w:bodyDiv w:val="1"/>
      <w:marLeft w:val="0"/>
      <w:marRight w:val="0"/>
      <w:marTop w:val="0"/>
      <w:marBottom w:val="0"/>
      <w:divBdr>
        <w:top w:val="none" w:sz="0" w:space="0" w:color="auto"/>
        <w:left w:val="none" w:sz="0" w:space="0" w:color="auto"/>
        <w:bottom w:val="none" w:sz="0" w:space="0" w:color="auto"/>
        <w:right w:val="none" w:sz="0" w:space="0" w:color="auto"/>
      </w:divBdr>
    </w:div>
    <w:div w:id="1521121664">
      <w:bodyDiv w:val="1"/>
      <w:marLeft w:val="0"/>
      <w:marRight w:val="0"/>
      <w:marTop w:val="0"/>
      <w:marBottom w:val="0"/>
      <w:divBdr>
        <w:top w:val="none" w:sz="0" w:space="0" w:color="auto"/>
        <w:left w:val="none" w:sz="0" w:space="0" w:color="auto"/>
        <w:bottom w:val="none" w:sz="0" w:space="0" w:color="auto"/>
        <w:right w:val="none" w:sz="0" w:space="0" w:color="auto"/>
      </w:divBdr>
    </w:div>
    <w:div w:id="1580678931">
      <w:bodyDiv w:val="1"/>
      <w:marLeft w:val="0"/>
      <w:marRight w:val="0"/>
      <w:marTop w:val="0"/>
      <w:marBottom w:val="0"/>
      <w:divBdr>
        <w:top w:val="none" w:sz="0" w:space="0" w:color="auto"/>
        <w:left w:val="none" w:sz="0" w:space="0" w:color="auto"/>
        <w:bottom w:val="none" w:sz="0" w:space="0" w:color="auto"/>
        <w:right w:val="none" w:sz="0" w:space="0" w:color="auto"/>
      </w:divBdr>
    </w:div>
    <w:div w:id="1633947027">
      <w:bodyDiv w:val="1"/>
      <w:marLeft w:val="0"/>
      <w:marRight w:val="0"/>
      <w:marTop w:val="0"/>
      <w:marBottom w:val="0"/>
      <w:divBdr>
        <w:top w:val="none" w:sz="0" w:space="0" w:color="auto"/>
        <w:left w:val="none" w:sz="0" w:space="0" w:color="auto"/>
        <w:bottom w:val="none" w:sz="0" w:space="0" w:color="auto"/>
        <w:right w:val="none" w:sz="0" w:space="0" w:color="auto"/>
      </w:divBdr>
    </w:div>
    <w:div w:id="1689915234">
      <w:bodyDiv w:val="1"/>
      <w:marLeft w:val="0"/>
      <w:marRight w:val="0"/>
      <w:marTop w:val="0"/>
      <w:marBottom w:val="0"/>
      <w:divBdr>
        <w:top w:val="none" w:sz="0" w:space="0" w:color="auto"/>
        <w:left w:val="none" w:sz="0" w:space="0" w:color="auto"/>
        <w:bottom w:val="none" w:sz="0" w:space="0" w:color="auto"/>
        <w:right w:val="none" w:sz="0" w:space="0" w:color="auto"/>
      </w:divBdr>
    </w:div>
    <w:div w:id="1707632082">
      <w:bodyDiv w:val="1"/>
      <w:marLeft w:val="0"/>
      <w:marRight w:val="0"/>
      <w:marTop w:val="0"/>
      <w:marBottom w:val="0"/>
      <w:divBdr>
        <w:top w:val="none" w:sz="0" w:space="0" w:color="auto"/>
        <w:left w:val="none" w:sz="0" w:space="0" w:color="auto"/>
        <w:bottom w:val="none" w:sz="0" w:space="0" w:color="auto"/>
        <w:right w:val="none" w:sz="0" w:space="0" w:color="auto"/>
      </w:divBdr>
    </w:div>
    <w:div w:id="1798912343">
      <w:bodyDiv w:val="1"/>
      <w:marLeft w:val="0"/>
      <w:marRight w:val="0"/>
      <w:marTop w:val="0"/>
      <w:marBottom w:val="0"/>
      <w:divBdr>
        <w:top w:val="none" w:sz="0" w:space="0" w:color="auto"/>
        <w:left w:val="none" w:sz="0" w:space="0" w:color="auto"/>
        <w:bottom w:val="none" w:sz="0" w:space="0" w:color="auto"/>
        <w:right w:val="none" w:sz="0" w:space="0" w:color="auto"/>
      </w:divBdr>
    </w:div>
    <w:div w:id="1863324552">
      <w:bodyDiv w:val="1"/>
      <w:marLeft w:val="0"/>
      <w:marRight w:val="0"/>
      <w:marTop w:val="0"/>
      <w:marBottom w:val="0"/>
      <w:divBdr>
        <w:top w:val="none" w:sz="0" w:space="0" w:color="auto"/>
        <w:left w:val="none" w:sz="0" w:space="0" w:color="auto"/>
        <w:bottom w:val="none" w:sz="0" w:space="0" w:color="auto"/>
        <w:right w:val="none" w:sz="0" w:space="0" w:color="auto"/>
      </w:divBdr>
    </w:div>
    <w:div w:id="1922254043">
      <w:bodyDiv w:val="1"/>
      <w:marLeft w:val="0"/>
      <w:marRight w:val="0"/>
      <w:marTop w:val="0"/>
      <w:marBottom w:val="0"/>
      <w:divBdr>
        <w:top w:val="none" w:sz="0" w:space="0" w:color="auto"/>
        <w:left w:val="none" w:sz="0" w:space="0" w:color="auto"/>
        <w:bottom w:val="none" w:sz="0" w:space="0" w:color="auto"/>
        <w:right w:val="none" w:sz="0" w:space="0" w:color="auto"/>
      </w:divBdr>
    </w:div>
    <w:div w:id="2098599343">
      <w:bodyDiv w:val="1"/>
      <w:marLeft w:val="0"/>
      <w:marRight w:val="0"/>
      <w:marTop w:val="0"/>
      <w:marBottom w:val="0"/>
      <w:divBdr>
        <w:top w:val="none" w:sz="0" w:space="0" w:color="auto"/>
        <w:left w:val="none" w:sz="0" w:space="0" w:color="auto"/>
        <w:bottom w:val="none" w:sz="0" w:space="0" w:color="auto"/>
        <w:right w:val="none" w:sz="0" w:space="0" w:color="auto"/>
      </w:divBdr>
    </w:div>
    <w:div w:id="2126386205">
      <w:bodyDiv w:val="1"/>
      <w:marLeft w:val="0"/>
      <w:marRight w:val="0"/>
      <w:marTop w:val="0"/>
      <w:marBottom w:val="0"/>
      <w:divBdr>
        <w:top w:val="none" w:sz="0" w:space="0" w:color="auto"/>
        <w:left w:val="none" w:sz="0" w:space="0" w:color="auto"/>
        <w:bottom w:val="none" w:sz="0" w:space="0" w:color="auto"/>
        <w:right w:val="none" w:sz="0" w:space="0" w:color="auto"/>
      </w:divBdr>
    </w:div>
    <w:div w:id="213786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Relationship Id="rId13" Type="http://schemas.openxmlformats.org/officeDocument/2006/relationships/image" Target="media/image6.tiff"/><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tiff"/><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tif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tiff"/><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ntia.doc.gov/press-release/2014/ntia-publishes-federal-agency-spectrum-transition-plans" TargetMode="External"/><Relationship Id="rId7" Type="http://schemas.openxmlformats.org/officeDocument/2006/relationships/hyperlink" Target="https://www.ntia.doc.gov/other-publication/2015/transition-plans-and-transition-data-1695-1710-mhz-band" TargetMode="External"/><Relationship Id="rId2" Type="http://schemas.openxmlformats.org/officeDocument/2006/relationships/hyperlink" Target="http://www.sec.gov/Archives/edgar/data/1328571/000132857115000070/ntls-x09302015x10q.htm" TargetMode="External"/><Relationship Id="rId1" Type="http://schemas.openxmlformats.org/officeDocument/2006/relationships/hyperlink" Target="http://www.sec.gov/Archives/edgar/data/101830/000010183016000052/sprintcorp12-31x1510q.htm" TargetMode="External"/><Relationship Id="rId6" Type="http://schemas.openxmlformats.org/officeDocument/2006/relationships/hyperlink" Target="https://www.ntia.doc.gov/category/aws-3-transition" TargetMode="External"/><Relationship Id="rId5" Type="http://schemas.openxmlformats.org/officeDocument/2006/relationships/hyperlink" Target="https://www.ntia.doc.gov/other-publication/2015/transition-plans-and-transition-data-1695-1710-mhz-band" TargetMode="External"/><Relationship Id="rId4" Type="http://schemas.openxmlformats.org/officeDocument/2006/relationships/hyperlink" Target="https://www.ntia.doc.gov/category/aws-3-transit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7992</Words>
  <Characters>45326</Characters>
  <Application>Microsoft Office Word</Application>
  <DocSecurity>0</DocSecurity>
  <Lines>643</Lines>
  <Paragraphs>104</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53509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2016-04-05T12:53:00Z</cp:lastPrinted>
  <dcterms:created xsi:type="dcterms:W3CDTF">2016-04-15T17:05:00Z</dcterms:created>
  <dcterms:modified xsi:type="dcterms:W3CDTF">2016-04-15T17:05:00Z</dcterms:modified>
  <cp:category> </cp:category>
  <cp:contentStatus> </cp:contentStatus>
</cp:coreProperties>
</file>