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00684A98">
        <w:rPr>
          <w:b/>
          <w:szCs w:val="22"/>
        </w:rPr>
        <w:t>-416</w:t>
      </w:r>
    </w:p>
    <w:p w:rsidR="00F80FFB" w:rsidRPr="00D27120" w:rsidRDefault="00431BB2" w:rsidP="00F80FFB">
      <w:pPr>
        <w:spacing w:before="60"/>
        <w:jc w:val="right"/>
        <w:rPr>
          <w:b/>
          <w:szCs w:val="22"/>
        </w:rPr>
      </w:pPr>
      <w:r>
        <w:rPr>
          <w:b/>
          <w:szCs w:val="22"/>
        </w:rPr>
        <w:t>April 15</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4363ED" w:rsidRPr="00516EFB" w:rsidRDefault="00E0104E" w:rsidP="00516EFB">
      <w:pPr>
        <w:jc w:val="center"/>
        <w:rPr>
          <w:b/>
          <w:bCs/>
        </w:rPr>
      </w:pPr>
      <w:r>
        <w:rPr>
          <w:b/>
          <w:bCs/>
        </w:rPr>
        <w:t xml:space="preserve">TRANSFER OF CONTROL OF </w:t>
      </w:r>
      <w:r w:rsidR="00877AE3">
        <w:rPr>
          <w:b/>
          <w:bCs/>
        </w:rPr>
        <w:t>ETRALI NORTH AMERICA, LLC TO IPC SYSTEMS, INC.</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516EFB">
        <w:rPr>
          <w:b/>
          <w:szCs w:val="22"/>
        </w:rPr>
        <w:t>65</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EE232B">
        <w:rPr>
          <w:b/>
          <w:szCs w:val="22"/>
        </w:rPr>
        <w:t>April</w:t>
      </w:r>
      <w:r w:rsidR="00B03BB5" w:rsidRPr="006F6A1D">
        <w:rPr>
          <w:b/>
          <w:szCs w:val="22"/>
        </w:rPr>
        <w:t xml:space="preserve"> </w:t>
      </w:r>
      <w:r w:rsidR="00431BB2">
        <w:rPr>
          <w:b/>
          <w:szCs w:val="22"/>
        </w:rPr>
        <w:t>29</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431BB2">
        <w:rPr>
          <w:b/>
          <w:szCs w:val="22"/>
        </w:rPr>
        <w:t>May 6</w:t>
      </w:r>
      <w:r w:rsidR="00A1474A">
        <w:rPr>
          <w:b/>
          <w:szCs w:val="22"/>
        </w:rPr>
        <w:t>,</w:t>
      </w:r>
      <w:r w:rsidRPr="006F6A1D">
        <w:rPr>
          <w:b/>
          <w:szCs w:val="22"/>
        </w:rPr>
        <w:t xml:space="preserve"> 201</w:t>
      </w:r>
      <w:r w:rsidR="005437C5">
        <w:rPr>
          <w:b/>
          <w:szCs w:val="22"/>
        </w:rPr>
        <w:t>6</w:t>
      </w:r>
    </w:p>
    <w:p w:rsidR="009B1E00" w:rsidRPr="006F6A1D" w:rsidRDefault="009B1E00" w:rsidP="004363ED">
      <w:pPr>
        <w:pStyle w:val="NoSpacing"/>
        <w:rPr>
          <w:b/>
          <w:szCs w:val="22"/>
        </w:rPr>
      </w:pPr>
    </w:p>
    <w:p w:rsidR="00967F4A" w:rsidRPr="00527090" w:rsidRDefault="009B1E00" w:rsidP="00FC336B">
      <w:pPr>
        <w:autoSpaceDE w:val="0"/>
        <w:autoSpaceDN w:val="0"/>
        <w:adjustRightInd w:val="0"/>
        <w:ind w:firstLine="720"/>
        <w:rPr>
          <w:szCs w:val="22"/>
        </w:rPr>
      </w:pPr>
      <w:r>
        <w:rPr>
          <w:szCs w:val="22"/>
        </w:rPr>
        <w:t xml:space="preserve">Etrali North America, LLC (Etrali NA) and IPC Systems, Inc. (IPC Systems) </w:t>
      </w:r>
      <w:r w:rsidR="006800B9" w:rsidRPr="006F6A1D">
        <w:rPr>
          <w:szCs w:val="22"/>
        </w:rPr>
        <w:t>(</w:t>
      </w:r>
      <w:r w:rsidR="00B03BB5" w:rsidRPr="006F6A1D">
        <w:rPr>
          <w:szCs w:val="22"/>
        </w:rPr>
        <w:t>together, Applicants) fi</w:t>
      </w:r>
      <w:r w:rsidR="008C4993">
        <w:rPr>
          <w:szCs w:val="22"/>
        </w:rPr>
        <w:t xml:space="preserve">led an application pursuant to </w:t>
      </w:r>
      <w:r w:rsidR="00516EFB">
        <w:rPr>
          <w:szCs w:val="22"/>
        </w:rPr>
        <w:t>s</w:t>
      </w:r>
      <w:r w:rsidR="00B03BB5" w:rsidRPr="006F6A1D">
        <w:rPr>
          <w:szCs w:val="22"/>
        </w:rPr>
        <w:t>ection 214 of the Communications Act of 1934, as</w:t>
      </w:r>
      <w:r w:rsidR="008C4993">
        <w:rPr>
          <w:szCs w:val="22"/>
        </w:rPr>
        <w:t xml:space="preserve"> amended</w:t>
      </w:r>
      <w:r w:rsidR="00182812">
        <w:rPr>
          <w:szCs w:val="22"/>
        </w:rPr>
        <w:t xml:space="preserve"> (Act)</w:t>
      </w:r>
      <w:r w:rsidR="008C4993">
        <w:rPr>
          <w:szCs w:val="22"/>
        </w:rPr>
        <w:t xml:space="preserve">, and </w:t>
      </w:r>
      <w:r w:rsidR="00516EFB">
        <w:rPr>
          <w:szCs w:val="22"/>
        </w:rPr>
        <w:t>s</w:t>
      </w:r>
      <w:r w:rsidR="00B03BB5" w:rsidRPr="006F6A1D">
        <w:rPr>
          <w:szCs w:val="22"/>
        </w:rPr>
        <w:t xml:space="preserve">ection 63.03 of the Commission’s rules, </w:t>
      </w:r>
      <w:r w:rsidR="0020629D">
        <w:rPr>
          <w:szCs w:val="22"/>
        </w:rPr>
        <w:t>requesting</w:t>
      </w:r>
      <w:r w:rsidR="00527090" w:rsidRPr="00527090">
        <w:rPr>
          <w:i/>
          <w:iCs/>
          <w:color w:val="231F20"/>
          <w:sz w:val="24"/>
          <w:szCs w:val="24"/>
        </w:rPr>
        <w:t xml:space="preserve"> </w:t>
      </w:r>
      <w:r w:rsidR="00527090" w:rsidRPr="00527090">
        <w:rPr>
          <w:color w:val="231F20"/>
          <w:szCs w:val="22"/>
        </w:rPr>
        <w:t>approval to transfer control of</w:t>
      </w:r>
      <w:r w:rsidR="0062123A" w:rsidRPr="00527090">
        <w:rPr>
          <w:szCs w:val="22"/>
        </w:rPr>
        <w:t xml:space="preserve"> </w:t>
      </w:r>
      <w:r w:rsidR="0020629D" w:rsidRPr="00527090">
        <w:rPr>
          <w:szCs w:val="22"/>
        </w:rPr>
        <w:t xml:space="preserve"> </w:t>
      </w:r>
      <w:r w:rsidRPr="00527090">
        <w:rPr>
          <w:szCs w:val="22"/>
        </w:rPr>
        <w:t>Etrali NA to IPC Systems.</w:t>
      </w:r>
      <w:r w:rsidR="00B03BB5" w:rsidRPr="00527090">
        <w:rPr>
          <w:rStyle w:val="FootnoteReference"/>
          <w:szCs w:val="22"/>
        </w:rPr>
        <w:footnoteReference w:id="1"/>
      </w:r>
      <w:r w:rsidR="00516EFB">
        <w:rPr>
          <w:szCs w:val="22"/>
        </w:rPr>
        <w:t xml:space="preserve">  Applicants consummated this transaction without Commission approval on January 26, 2016.</w:t>
      </w:r>
    </w:p>
    <w:p w:rsidR="00FC336B" w:rsidRDefault="00FC336B" w:rsidP="00FC336B">
      <w:pPr>
        <w:autoSpaceDE w:val="0"/>
        <w:autoSpaceDN w:val="0"/>
        <w:adjustRightInd w:val="0"/>
        <w:ind w:firstLine="720"/>
        <w:rPr>
          <w:szCs w:val="22"/>
        </w:rPr>
      </w:pPr>
    </w:p>
    <w:p w:rsidR="00AF1FBE" w:rsidRPr="00796AFA" w:rsidRDefault="00AF1FBE" w:rsidP="00796AFA">
      <w:pPr>
        <w:autoSpaceDE w:val="0"/>
        <w:autoSpaceDN w:val="0"/>
        <w:adjustRightInd w:val="0"/>
        <w:ind w:firstLine="720"/>
        <w:rPr>
          <w:color w:val="231F20"/>
          <w:sz w:val="24"/>
          <w:szCs w:val="24"/>
        </w:rPr>
      </w:pPr>
      <w:r w:rsidRPr="00BA0886">
        <w:rPr>
          <w:color w:val="231F20"/>
          <w:szCs w:val="22"/>
        </w:rPr>
        <w:t>Etrali NA, a Delaware limited liability company, provides</w:t>
      </w:r>
      <w:r w:rsidR="00A55C51">
        <w:rPr>
          <w:color w:val="231F20"/>
          <w:szCs w:val="22"/>
        </w:rPr>
        <w:t xml:space="preserve">, </w:t>
      </w:r>
      <w:r w:rsidR="00995A69">
        <w:rPr>
          <w:color w:val="231F20"/>
          <w:szCs w:val="22"/>
        </w:rPr>
        <w:t xml:space="preserve">as part of </w:t>
      </w:r>
      <w:r w:rsidR="00431BB2">
        <w:rPr>
          <w:color w:val="231F20"/>
          <w:szCs w:val="22"/>
        </w:rPr>
        <w:t xml:space="preserve">an entity named </w:t>
      </w:r>
      <w:r w:rsidR="00995A69">
        <w:rPr>
          <w:color w:val="231F20"/>
          <w:szCs w:val="22"/>
        </w:rPr>
        <w:t xml:space="preserve">Etrali Trading Solutions, </w:t>
      </w:r>
      <w:r w:rsidR="00F321B4">
        <w:rPr>
          <w:color w:val="231F20"/>
          <w:szCs w:val="22"/>
        </w:rPr>
        <w:t xml:space="preserve">resold domestic private line services in California, Connecticut, Illinois, Massachusetts, New York, New Jersey, and Texas. </w:t>
      </w:r>
      <w:r w:rsidR="00995A69">
        <w:rPr>
          <w:color w:val="231F20"/>
          <w:szCs w:val="22"/>
        </w:rPr>
        <w:t xml:space="preserve"> </w:t>
      </w:r>
      <w:r w:rsidR="00275A06">
        <w:rPr>
          <w:color w:val="231F20"/>
          <w:szCs w:val="22"/>
        </w:rPr>
        <w:t>E</w:t>
      </w:r>
      <w:r w:rsidRPr="00BA0886">
        <w:rPr>
          <w:color w:val="231F20"/>
          <w:szCs w:val="22"/>
        </w:rPr>
        <w:t>trali NA</w:t>
      </w:r>
      <w:r>
        <w:rPr>
          <w:color w:val="231F20"/>
          <w:szCs w:val="22"/>
        </w:rPr>
        <w:t xml:space="preserve"> was, prior to the </w:t>
      </w:r>
      <w:r w:rsidR="00182812">
        <w:rPr>
          <w:color w:val="231F20"/>
          <w:szCs w:val="22"/>
        </w:rPr>
        <w:t>t</w:t>
      </w:r>
      <w:r w:rsidR="00995A69">
        <w:rPr>
          <w:color w:val="231F20"/>
          <w:szCs w:val="22"/>
        </w:rPr>
        <w:t xml:space="preserve">ransaction, an indirect wholly </w:t>
      </w:r>
      <w:r w:rsidRPr="00BA0886">
        <w:rPr>
          <w:color w:val="231F20"/>
          <w:szCs w:val="22"/>
        </w:rPr>
        <w:t>owned subsidiary of funds affiliated with The</w:t>
      </w:r>
      <w:r>
        <w:rPr>
          <w:color w:val="231F20"/>
          <w:szCs w:val="22"/>
        </w:rPr>
        <w:t xml:space="preserve"> </w:t>
      </w:r>
      <w:r w:rsidRPr="00BA0886">
        <w:rPr>
          <w:color w:val="231F20"/>
          <w:szCs w:val="22"/>
        </w:rPr>
        <w:t>Gores Group</w:t>
      </w:r>
      <w:r w:rsidR="00275A06">
        <w:rPr>
          <w:color w:val="231F20"/>
          <w:szCs w:val="22"/>
        </w:rPr>
        <w:t xml:space="preserve">, a private equity entity. </w:t>
      </w:r>
    </w:p>
    <w:p w:rsidR="00AF1FBE" w:rsidRDefault="00AF1FBE" w:rsidP="00FC336B">
      <w:pPr>
        <w:autoSpaceDE w:val="0"/>
        <w:autoSpaceDN w:val="0"/>
        <w:adjustRightInd w:val="0"/>
        <w:ind w:firstLine="720"/>
        <w:rPr>
          <w:szCs w:val="22"/>
        </w:rPr>
      </w:pPr>
    </w:p>
    <w:p w:rsidR="00814C04" w:rsidRPr="00D36D5A" w:rsidRDefault="00814C04" w:rsidP="00275A06">
      <w:pPr>
        <w:autoSpaceDE w:val="0"/>
        <w:autoSpaceDN w:val="0"/>
        <w:adjustRightInd w:val="0"/>
        <w:ind w:firstLine="720"/>
        <w:rPr>
          <w:color w:val="231F20"/>
          <w:szCs w:val="22"/>
        </w:rPr>
      </w:pPr>
      <w:r w:rsidRPr="00814C04">
        <w:rPr>
          <w:color w:val="231F20"/>
          <w:szCs w:val="22"/>
        </w:rPr>
        <w:t>IPC Systems</w:t>
      </w:r>
      <w:r w:rsidR="00182812">
        <w:rPr>
          <w:color w:val="231F20"/>
          <w:szCs w:val="22"/>
        </w:rPr>
        <w:t xml:space="preserve"> </w:t>
      </w:r>
      <w:r w:rsidR="00275A06">
        <w:rPr>
          <w:color w:val="231F20"/>
          <w:szCs w:val="22"/>
        </w:rPr>
        <w:t>and its</w:t>
      </w:r>
      <w:r>
        <w:rPr>
          <w:color w:val="231F20"/>
          <w:szCs w:val="22"/>
        </w:rPr>
        <w:t xml:space="preserve"> </w:t>
      </w:r>
      <w:r w:rsidR="00275A06">
        <w:rPr>
          <w:color w:val="231F20"/>
          <w:szCs w:val="22"/>
        </w:rPr>
        <w:t>subsidiaries provide</w:t>
      </w:r>
      <w:r w:rsidRPr="00814C04">
        <w:rPr>
          <w:color w:val="231F20"/>
          <w:szCs w:val="22"/>
        </w:rPr>
        <w:t xml:space="preserve"> and/or </w:t>
      </w:r>
      <w:r w:rsidR="00275A06">
        <w:rPr>
          <w:color w:val="231F20"/>
          <w:szCs w:val="22"/>
        </w:rPr>
        <w:t xml:space="preserve">are authorized to provide </w:t>
      </w:r>
      <w:r w:rsidR="005F1683">
        <w:rPr>
          <w:color w:val="231F20"/>
          <w:szCs w:val="22"/>
        </w:rPr>
        <w:t xml:space="preserve">competitive telecommunications </w:t>
      </w:r>
      <w:r w:rsidRPr="00814C04">
        <w:rPr>
          <w:color w:val="231F20"/>
          <w:szCs w:val="22"/>
        </w:rPr>
        <w:t>services</w:t>
      </w:r>
      <w:r>
        <w:rPr>
          <w:color w:val="231F20"/>
          <w:szCs w:val="22"/>
        </w:rPr>
        <w:t xml:space="preserve"> </w:t>
      </w:r>
      <w:r w:rsidRPr="00814C04">
        <w:rPr>
          <w:color w:val="231F20"/>
          <w:szCs w:val="22"/>
        </w:rPr>
        <w:t xml:space="preserve">to business customers in </w:t>
      </w:r>
      <w:r w:rsidR="00275A06">
        <w:rPr>
          <w:color w:val="231F20"/>
          <w:szCs w:val="22"/>
        </w:rPr>
        <w:t xml:space="preserve">multiple states.  </w:t>
      </w:r>
      <w:r w:rsidR="005F1683">
        <w:rPr>
          <w:color w:val="231F20"/>
          <w:szCs w:val="22"/>
        </w:rPr>
        <w:t xml:space="preserve">Applicants state that </w:t>
      </w:r>
      <w:r w:rsidR="00A55C51">
        <w:rPr>
          <w:color w:val="231F20"/>
          <w:szCs w:val="22"/>
        </w:rPr>
        <w:t xml:space="preserve">IPC Systems is wholly </w:t>
      </w:r>
      <w:r w:rsidR="00D36D5A" w:rsidRPr="00D36D5A">
        <w:rPr>
          <w:color w:val="231F20"/>
          <w:szCs w:val="22"/>
        </w:rPr>
        <w:t>owned</w:t>
      </w:r>
      <w:r w:rsidR="005F1683">
        <w:rPr>
          <w:color w:val="231F20"/>
          <w:szCs w:val="22"/>
        </w:rPr>
        <w:t xml:space="preserve"> </w:t>
      </w:r>
      <w:r w:rsidR="00D36D5A" w:rsidRPr="00D36D5A">
        <w:rPr>
          <w:color w:val="231F20"/>
          <w:szCs w:val="22"/>
        </w:rPr>
        <w:t xml:space="preserve">by IPC Systems Holdings Corp., </w:t>
      </w:r>
      <w:r w:rsidR="005F1683">
        <w:rPr>
          <w:color w:val="231F20"/>
          <w:szCs w:val="22"/>
        </w:rPr>
        <w:t>which is wholly owned by IPC Corp.</w:t>
      </w:r>
      <w:r w:rsidR="004F4FF9">
        <w:rPr>
          <w:color w:val="231F20"/>
          <w:szCs w:val="22"/>
        </w:rPr>
        <w:t xml:space="preserve">, </w:t>
      </w:r>
      <w:r w:rsidR="00182812">
        <w:rPr>
          <w:color w:val="231F20"/>
          <w:szCs w:val="22"/>
        </w:rPr>
        <w:t xml:space="preserve">all </w:t>
      </w:r>
      <w:r w:rsidR="004F4FF9">
        <w:rPr>
          <w:color w:val="231F20"/>
          <w:szCs w:val="22"/>
        </w:rPr>
        <w:t xml:space="preserve">Delaware corporations.  IPC Corp, through several Delaware entities, is </w:t>
      </w:r>
      <w:r w:rsidR="00995A69">
        <w:rPr>
          <w:color w:val="231F20"/>
          <w:szCs w:val="22"/>
        </w:rPr>
        <w:t xml:space="preserve">majority </w:t>
      </w:r>
      <w:r w:rsidR="004F4FF9">
        <w:rPr>
          <w:color w:val="231F20"/>
          <w:szCs w:val="22"/>
        </w:rPr>
        <w:t xml:space="preserve">owned by Centerbridge Capital </w:t>
      </w:r>
      <w:r w:rsidR="004F4FF9">
        <w:rPr>
          <w:color w:val="231F20"/>
          <w:szCs w:val="22"/>
        </w:rPr>
        <w:lastRenderedPageBreak/>
        <w:t>P</w:t>
      </w:r>
      <w:r w:rsidR="005F1683">
        <w:rPr>
          <w:color w:val="231F20"/>
          <w:szCs w:val="22"/>
        </w:rPr>
        <w:t>artners II,</w:t>
      </w:r>
      <w:r w:rsidR="004F4FF9">
        <w:rPr>
          <w:color w:val="231F20"/>
          <w:szCs w:val="22"/>
        </w:rPr>
        <w:t xml:space="preserve"> L.P. (Centerbridge), a Delaware limited partnership.</w:t>
      </w:r>
      <w:r w:rsidR="007E0DEA">
        <w:rPr>
          <w:rStyle w:val="FootnoteReference"/>
          <w:color w:val="231F20"/>
          <w:szCs w:val="22"/>
        </w:rPr>
        <w:footnoteReference w:id="2"/>
      </w:r>
      <w:r w:rsidR="004F4FF9">
        <w:rPr>
          <w:color w:val="231F20"/>
          <w:szCs w:val="22"/>
        </w:rPr>
        <w:t xml:space="preserve"> </w:t>
      </w:r>
      <w:r w:rsidR="00182812">
        <w:rPr>
          <w:color w:val="231F20"/>
          <w:szCs w:val="22"/>
        </w:rPr>
        <w:t xml:space="preserve"> Applicants state that the ownership of Centerbridge is widely distributed, and no investor holds 10 percent or more of the ownership interests.  Centerbridge is managed by its sole general </w:t>
      </w:r>
      <w:r w:rsidR="00995A69">
        <w:rPr>
          <w:color w:val="231F20"/>
          <w:szCs w:val="22"/>
        </w:rPr>
        <w:t>partner, Centerbridge Associates</w:t>
      </w:r>
      <w:r w:rsidR="00182812">
        <w:rPr>
          <w:color w:val="231F20"/>
          <w:szCs w:val="22"/>
        </w:rPr>
        <w:t xml:space="preserve"> II, L.P., a Del</w:t>
      </w:r>
      <w:r w:rsidR="00995A69">
        <w:rPr>
          <w:color w:val="231F20"/>
          <w:szCs w:val="22"/>
        </w:rPr>
        <w:t>a</w:t>
      </w:r>
      <w:r w:rsidR="00182812">
        <w:rPr>
          <w:color w:val="231F20"/>
          <w:szCs w:val="22"/>
        </w:rPr>
        <w:t>ware limited partnership, which is managed by its general partner</w:t>
      </w:r>
      <w:r w:rsidR="00995A69">
        <w:rPr>
          <w:color w:val="231F20"/>
          <w:szCs w:val="22"/>
        </w:rPr>
        <w:t>,</w:t>
      </w:r>
      <w:r w:rsidR="00182812">
        <w:rPr>
          <w:color w:val="231F20"/>
          <w:szCs w:val="22"/>
        </w:rPr>
        <w:t xml:space="preserve"> CCP II Cayman G</w:t>
      </w:r>
      <w:r w:rsidR="00995A69">
        <w:rPr>
          <w:color w:val="231F20"/>
          <w:szCs w:val="22"/>
        </w:rPr>
        <w:t>P</w:t>
      </w:r>
      <w:r w:rsidR="00182812">
        <w:rPr>
          <w:color w:val="231F20"/>
          <w:szCs w:val="22"/>
        </w:rPr>
        <w:t xml:space="preserve"> Ltd, a Cayman Islands entity.  Applicants state that the directors of CCP II Cayman GP Ltd. are Mark T. Gallogly and Jeffrey H. Aronson, both U.S. citizens.</w:t>
      </w:r>
    </w:p>
    <w:p w:rsidR="00BA0886" w:rsidRPr="00D36D5A" w:rsidRDefault="00BA0886" w:rsidP="00BA0886">
      <w:pPr>
        <w:autoSpaceDE w:val="0"/>
        <w:autoSpaceDN w:val="0"/>
        <w:adjustRightInd w:val="0"/>
        <w:rPr>
          <w:color w:val="231F20"/>
          <w:szCs w:val="22"/>
        </w:rPr>
      </w:pPr>
    </w:p>
    <w:p w:rsidR="00587F5D" w:rsidRPr="00587F5D" w:rsidRDefault="00F17A33" w:rsidP="005C289C">
      <w:pPr>
        <w:autoSpaceDE w:val="0"/>
        <w:autoSpaceDN w:val="0"/>
        <w:adjustRightInd w:val="0"/>
        <w:ind w:firstLine="720"/>
        <w:rPr>
          <w:szCs w:val="22"/>
        </w:rPr>
      </w:pPr>
      <w:r w:rsidRPr="00F17A33">
        <w:rPr>
          <w:szCs w:val="22"/>
        </w:rPr>
        <w:t xml:space="preserve">Pursuant to the terms of the </w:t>
      </w:r>
      <w:r w:rsidR="005B42F2">
        <w:rPr>
          <w:szCs w:val="22"/>
        </w:rPr>
        <w:t xml:space="preserve">consummated </w:t>
      </w:r>
      <w:r w:rsidRPr="00F17A33">
        <w:rPr>
          <w:szCs w:val="22"/>
        </w:rPr>
        <w:t>transaction,</w:t>
      </w:r>
      <w:r>
        <w:rPr>
          <w:szCs w:val="22"/>
        </w:rPr>
        <w:t xml:space="preserve"> </w:t>
      </w:r>
      <w:r w:rsidR="005B42F2">
        <w:rPr>
          <w:szCs w:val="22"/>
        </w:rPr>
        <w:t>o</w:t>
      </w:r>
      <w:r w:rsidR="005B42F2" w:rsidRPr="005B42F2">
        <w:rPr>
          <w:color w:val="231F20"/>
          <w:szCs w:val="22"/>
        </w:rPr>
        <w:t xml:space="preserve">n January 26, 2016, all shares of </w:t>
      </w:r>
      <w:r w:rsidR="005B42F2" w:rsidRPr="005B42F2">
        <w:rPr>
          <w:color w:val="312F30"/>
          <w:szCs w:val="22"/>
        </w:rPr>
        <w:t>Etrali Trading</w:t>
      </w:r>
      <w:r w:rsidR="005B42F2">
        <w:rPr>
          <w:szCs w:val="22"/>
        </w:rPr>
        <w:t xml:space="preserve"> </w:t>
      </w:r>
      <w:r w:rsidR="005B42F2" w:rsidRPr="005B42F2">
        <w:rPr>
          <w:color w:val="312F30"/>
          <w:szCs w:val="22"/>
        </w:rPr>
        <w:t xml:space="preserve">Solutions </w:t>
      </w:r>
      <w:r w:rsidR="005B42F2" w:rsidRPr="005B42F2">
        <w:rPr>
          <w:color w:val="231F20"/>
          <w:szCs w:val="22"/>
        </w:rPr>
        <w:t xml:space="preserve">were indirectly acquired by </w:t>
      </w:r>
      <w:r w:rsidR="005B42F2" w:rsidRPr="005B42F2">
        <w:rPr>
          <w:color w:val="312F30"/>
          <w:szCs w:val="22"/>
        </w:rPr>
        <w:t>Extra UK Holdings Limited</w:t>
      </w:r>
      <w:r w:rsidR="005B42F2" w:rsidRPr="005B42F2">
        <w:rPr>
          <w:color w:val="231F20"/>
          <w:szCs w:val="22"/>
        </w:rPr>
        <w:t xml:space="preserve">, </w:t>
      </w:r>
      <w:r w:rsidR="00995A69">
        <w:rPr>
          <w:color w:val="231F20"/>
          <w:szCs w:val="22"/>
        </w:rPr>
        <w:t xml:space="preserve">a United Kingdom entity and </w:t>
      </w:r>
      <w:r w:rsidR="005B42F2" w:rsidRPr="005B42F2">
        <w:rPr>
          <w:color w:val="231F20"/>
          <w:szCs w:val="22"/>
        </w:rPr>
        <w:t>IPC Systems’ indirectly</w:t>
      </w:r>
      <w:r w:rsidR="005B42F2">
        <w:rPr>
          <w:szCs w:val="22"/>
        </w:rPr>
        <w:t xml:space="preserve"> </w:t>
      </w:r>
      <w:r w:rsidR="007E0DEA">
        <w:rPr>
          <w:color w:val="231F20"/>
          <w:szCs w:val="22"/>
        </w:rPr>
        <w:t xml:space="preserve">wholly </w:t>
      </w:r>
      <w:r w:rsidR="005B42F2" w:rsidRPr="005B42F2">
        <w:rPr>
          <w:color w:val="231F20"/>
          <w:szCs w:val="22"/>
        </w:rPr>
        <w:t>owned subsidiary, through an acquisition of Gores Knight Holdings (Cayman), LP and</w:t>
      </w:r>
      <w:r w:rsidR="005B42F2">
        <w:rPr>
          <w:szCs w:val="22"/>
        </w:rPr>
        <w:t xml:space="preserve"> </w:t>
      </w:r>
      <w:r w:rsidR="005B42F2" w:rsidRPr="005B42F2">
        <w:rPr>
          <w:color w:val="231F20"/>
          <w:szCs w:val="22"/>
        </w:rPr>
        <w:t>Gores Etrali Holdings SAS from funds affiliated with The Gores Group and certain members of</w:t>
      </w:r>
      <w:r w:rsidR="005B42F2">
        <w:rPr>
          <w:szCs w:val="22"/>
        </w:rPr>
        <w:t xml:space="preserve"> </w:t>
      </w:r>
      <w:r w:rsidR="005B42F2" w:rsidRPr="005B42F2">
        <w:rPr>
          <w:color w:val="231F20"/>
          <w:szCs w:val="22"/>
        </w:rPr>
        <w:t xml:space="preserve">Etrali management. </w:t>
      </w:r>
      <w:r w:rsidR="00431BB2">
        <w:rPr>
          <w:color w:val="231F20"/>
          <w:szCs w:val="22"/>
        </w:rPr>
        <w:t xml:space="preserve"> </w:t>
      </w:r>
      <w:r w:rsidR="005B42F2" w:rsidRPr="005B42F2">
        <w:rPr>
          <w:color w:val="312F30"/>
          <w:szCs w:val="22"/>
        </w:rPr>
        <w:t xml:space="preserve">Upon consummation of the </w:t>
      </w:r>
      <w:r w:rsidR="00431BB2">
        <w:rPr>
          <w:color w:val="312F30"/>
          <w:szCs w:val="22"/>
        </w:rPr>
        <w:t>t</w:t>
      </w:r>
      <w:r w:rsidR="005B42F2" w:rsidRPr="005B42F2">
        <w:rPr>
          <w:color w:val="312F30"/>
          <w:szCs w:val="22"/>
        </w:rPr>
        <w:t>ransaction, Etrali Trading Solutions became an</w:t>
      </w:r>
      <w:r w:rsidR="005B42F2">
        <w:rPr>
          <w:szCs w:val="22"/>
        </w:rPr>
        <w:t xml:space="preserve"> </w:t>
      </w:r>
      <w:r w:rsidR="005B42F2" w:rsidRPr="005B42F2">
        <w:rPr>
          <w:color w:val="312F30"/>
          <w:szCs w:val="22"/>
        </w:rPr>
        <w:t>indirectly wholly</w:t>
      </w:r>
      <w:r w:rsidR="007E0DEA">
        <w:rPr>
          <w:color w:val="312F30"/>
          <w:szCs w:val="22"/>
        </w:rPr>
        <w:t xml:space="preserve"> </w:t>
      </w:r>
      <w:r w:rsidR="005B42F2" w:rsidRPr="005B42F2">
        <w:rPr>
          <w:color w:val="312F30"/>
          <w:szCs w:val="22"/>
        </w:rPr>
        <w:t>owned subsidiary of Extra UK Holdings Limited, and an indirect wholly</w:t>
      </w:r>
      <w:r w:rsidR="007E0DEA">
        <w:rPr>
          <w:color w:val="312F30"/>
          <w:szCs w:val="22"/>
        </w:rPr>
        <w:t xml:space="preserve"> </w:t>
      </w:r>
      <w:r w:rsidR="005B42F2" w:rsidRPr="005B42F2">
        <w:rPr>
          <w:color w:val="312F30"/>
          <w:szCs w:val="22"/>
        </w:rPr>
        <w:t>owned</w:t>
      </w:r>
      <w:r w:rsidR="005B42F2">
        <w:rPr>
          <w:szCs w:val="22"/>
        </w:rPr>
        <w:t xml:space="preserve"> </w:t>
      </w:r>
      <w:r w:rsidR="005B42F2" w:rsidRPr="005B42F2">
        <w:rPr>
          <w:color w:val="312F30"/>
          <w:szCs w:val="22"/>
        </w:rPr>
        <w:t xml:space="preserve">subsidiary of IPC Systems. </w:t>
      </w:r>
      <w:r w:rsidR="007E0DEA">
        <w:rPr>
          <w:color w:val="312F30"/>
          <w:szCs w:val="22"/>
        </w:rPr>
        <w:t xml:space="preserve"> </w:t>
      </w:r>
      <w:r w:rsidR="00995A69">
        <w:rPr>
          <w:color w:val="312F30"/>
          <w:szCs w:val="22"/>
        </w:rPr>
        <w:t>Applicants state that t</w:t>
      </w:r>
      <w:r w:rsidR="005B42F2" w:rsidRPr="005B42F2">
        <w:rPr>
          <w:color w:val="312F30"/>
          <w:szCs w:val="22"/>
        </w:rPr>
        <w:t>he ownership structure of IPC Systems was not affected by</w:t>
      </w:r>
      <w:r w:rsidR="005B42F2">
        <w:rPr>
          <w:szCs w:val="22"/>
        </w:rPr>
        <w:t xml:space="preserve"> </w:t>
      </w:r>
      <w:r w:rsidR="005B42F2" w:rsidRPr="005B42F2">
        <w:rPr>
          <w:color w:val="312F30"/>
          <w:szCs w:val="22"/>
        </w:rPr>
        <w:t xml:space="preserve">the </w:t>
      </w:r>
      <w:r w:rsidR="00995A69">
        <w:rPr>
          <w:color w:val="312F30"/>
          <w:szCs w:val="22"/>
        </w:rPr>
        <w:t>t</w:t>
      </w:r>
      <w:r w:rsidR="005B42F2" w:rsidRPr="005B42F2">
        <w:rPr>
          <w:color w:val="312F30"/>
          <w:szCs w:val="22"/>
        </w:rPr>
        <w:t>ransaction.</w:t>
      </w:r>
      <w:r w:rsidR="005C289C">
        <w:rPr>
          <w:szCs w:val="22"/>
        </w:rPr>
        <w:t xml:space="preserve"> </w:t>
      </w:r>
      <w:r w:rsidR="007E0DEA">
        <w:rPr>
          <w:szCs w:val="22"/>
        </w:rPr>
        <w:t xml:space="preserve"> </w:t>
      </w:r>
      <w:r w:rsidR="00587F5D" w:rsidRPr="00A1474A">
        <w:rPr>
          <w:color w:val="020100"/>
          <w:szCs w:val="22"/>
        </w:rPr>
        <w:t>Applicants assert that the proposed transaction is entitled to presumpti</w:t>
      </w:r>
      <w:r w:rsidR="008C4993">
        <w:rPr>
          <w:color w:val="020100"/>
          <w:szCs w:val="22"/>
        </w:rPr>
        <w:t xml:space="preserve">ve streamlined treatment under </w:t>
      </w:r>
      <w:r w:rsidR="007E0DEA">
        <w:rPr>
          <w:color w:val="020100"/>
          <w:szCs w:val="22"/>
        </w:rPr>
        <w:t>s</w:t>
      </w:r>
      <w:r w:rsidR="0090733F">
        <w:rPr>
          <w:color w:val="020100"/>
          <w:szCs w:val="22"/>
        </w:rPr>
        <w:t>ection 63.03(b)(2)(</w:t>
      </w:r>
      <w:r w:rsidR="00587F5D" w:rsidRPr="00A1474A">
        <w:rPr>
          <w:color w:val="020100"/>
          <w:szCs w:val="22"/>
        </w:rPr>
        <w:t>i)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3"/>
      </w:r>
    </w:p>
    <w:p w:rsidR="00BF1C1F" w:rsidRPr="007B54C3" w:rsidRDefault="00BF1C1F" w:rsidP="00587F5D">
      <w:pPr>
        <w:rPr>
          <w:szCs w:val="22"/>
        </w:rPr>
      </w:pPr>
    </w:p>
    <w:p w:rsidR="00BF1C1F" w:rsidRPr="00AA723D" w:rsidRDefault="00BF1C1F" w:rsidP="00995A69">
      <w:pPr>
        <w:autoSpaceDE w:val="0"/>
        <w:autoSpaceDN w:val="0"/>
        <w:adjustRightInd w:val="0"/>
        <w:ind w:left="720"/>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995A69">
        <w:rPr>
          <w:bCs/>
          <w:szCs w:val="22"/>
        </w:rPr>
        <w:t>Etrali North America, LL</w:t>
      </w:r>
      <w:r w:rsidR="007E0DEA">
        <w:rPr>
          <w:bCs/>
          <w:szCs w:val="22"/>
        </w:rPr>
        <w:t>C</w:t>
      </w:r>
      <w:r w:rsidR="00995A69">
        <w:rPr>
          <w:bCs/>
          <w:szCs w:val="22"/>
        </w:rPr>
        <w:t xml:space="preserve"> </w:t>
      </w:r>
      <w:r w:rsidR="004D04CF">
        <w:rPr>
          <w:bCs/>
          <w:szCs w:val="22"/>
        </w:rPr>
        <w:t xml:space="preserve">to IPC Systems, Inc., </w:t>
      </w:r>
      <w:r w:rsidRPr="00456680">
        <w:rPr>
          <w:szCs w:val="22"/>
        </w:rPr>
        <w:t>WC Docket No. 1</w:t>
      </w:r>
      <w:r w:rsidR="00AA723D">
        <w:rPr>
          <w:szCs w:val="22"/>
        </w:rPr>
        <w:t>6</w:t>
      </w:r>
      <w:r w:rsidRPr="00456680">
        <w:rPr>
          <w:szCs w:val="22"/>
        </w:rPr>
        <w:t>-</w:t>
      </w:r>
      <w:r w:rsidR="00995A69">
        <w:rPr>
          <w:szCs w:val="22"/>
        </w:rPr>
        <w:t>65</w:t>
      </w:r>
      <w:r w:rsidRPr="00456680">
        <w:rPr>
          <w:szCs w:val="22"/>
        </w:rPr>
        <w:t xml:space="preserve"> (filed </w:t>
      </w:r>
      <w:r w:rsidR="008E1145">
        <w:rPr>
          <w:szCs w:val="22"/>
        </w:rPr>
        <w:t>Feb</w:t>
      </w:r>
      <w:r w:rsidRPr="00456680">
        <w:rPr>
          <w:szCs w:val="22"/>
        </w:rPr>
        <w:t>.</w:t>
      </w:r>
      <w:r w:rsidR="00796AFA">
        <w:rPr>
          <w:szCs w:val="22"/>
        </w:rPr>
        <w:t xml:space="preserve"> 25</w:t>
      </w:r>
      <w:r w:rsidR="00AA723D">
        <w:rPr>
          <w:szCs w:val="22"/>
        </w:rPr>
        <w:t>, 2016</w:t>
      </w:r>
      <w:r w:rsidRPr="00456680">
        <w:rPr>
          <w:szCs w:val="22"/>
        </w:rPr>
        <w:t>).</w:t>
      </w:r>
    </w:p>
    <w:p w:rsidR="000F6B18" w:rsidRDefault="005C289C" w:rsidP="005C289C">
      <w:pPr>
        <w:tabs>
          <w:tab w:val="left" w:pos="3816"/>
        </w:tabs>
        <w:autoSpaceDE w:val="0"/>
        <w:autoSpaceDN w:val="0"/>
        <w:adjustRightInd w:val="0"/>
        <w:rPr>
          <w:szCs w:val="22"/>
        </w:rPr>
      </w:pPr>
      <w:r>
        <w:rPr>
          <w:szCs w:val="22"/>
        </w:rPr>
        <w:tab/>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EE232B">
        <w:rPr>
          <w:b/>
          <w:szCs w:val="22"/>
        </w:rPr>
        <w:t>April</w:t>
      </w:r>
      <w:r w:rsidR="00F03304" w:rsidRPr="006F6A1D">
        <w:rPr>
          <w:b/>
          <w:szCs w:val="22"/>
        </w:rPr>
        <w:t xml:space="preserve"> </w:t>
      </w:r>
      <w:r w:rsidR="00431BB2">
        <w:rPr>
          <w:b/>
          <w:szCs w:val="22"/>
        </w:rPr>
        <w:t>29</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431BB2">
        <w:rPr>
          <w:b/>
          <w:szCs w:val="22"/>
        </w:rPr>
        <w:t>May 6</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E70E5D" w:rsidP="00717C73">
      <w:pPr>
        <w:numPr>
          <w:ilvl w:val="0"/>
          <w:numId w:val="18"/>
        </w:numPr>
        <w:rPr>
          <w:szCs w:val="22"/>
        </w:rPr>
      </w:pPr>
      <w:r>
        <w:rPr>
          <w:szCs w:val="22"/>
        </w:rPr>
        <w:t>Tracey Wilson</w:t>
      </w:r>
      <w:r w:rsidR="00AC38C2">
        <w:rPr>
          <w:szCs w:val="22"/>
        </w:rPr>
        <w:t>,</w:t>
      </w:r>
      <w:r w:rsidR="00F80FFB" w:rsidRPr="006F6A1D">
        <w:rPr>
          <w:szCs w:val="22"/>
        </w:rPr>
        <w:t xml:space="preserve"> Wireline Competition Bureau,  </w:t>
      </w:r>
      <w:hyperlink r:id="rId14" w:history="1">
        <w:r w:rsidRPr="00237503">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995A69" w:rsidP="005B1E67">
      <w:pPr>
        <w:numPr>
          <w:ilvl w:val="0"/>
          <w:numId w:val="18"/>
        </w:numPr>
        <w:rPr>
          <w:szCs w:val="22"/>
        </w:rPr>
      </w:pPr>
      <w:r>
        <w:rPr>
          <w:szCs w:val="22"/>
        </w:rPr>
        <w:lastRenderedPageBreak/>
        <w:t>Jodie May</w:t>
      </w:r>
      <w:r w:rsidR="00AC38C2">
        <w:rPr>
          <w:szCs w:val="22"/>
        </w:rPr>
        <w:t xml:space="preserve">, </w:t>
      </w:r>
      <w:r w:rsidR="00F80FFB" w:rsidRPr="006F6A1D">
        <w:rPr>
          <w:szCs w:val="22"/>
        </w:rPr>
        <w:t xml:space="preserve">Wireline Competition Bureau, </w:t>
      </w:r>
      <w:r>
        <w:rPr>
          <w:szCs w:val="22"/>
        </w:rPr>
        <w:t>jodie.may@fcc.gov;</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5" w:history="1">
        <w:r w:rsidR="00995A69" w:rsidRPr="007A38D1">
          <w:rPr>
            <w:rStyle w:val="Hyperlink"/>
            <w:szCs w:val="22"/>
          </w:rPr>
          <w:t>jim.bird@fcc.gov</w:t>
        </w:r>
      </w:hyperlink>
      <w:r w:rsidR="00190FAB">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For furt</w:t>
      </w:r>
      <w:r w:rsidR="00E70E5D">
        <w:rPr>
          <w:szCs w:val="22"/>
        </w:rPr>
        <w:t>her information, please contact Tracey Wilson at (202) 418-1394</w:t>
      </w:r>
      <w:r w:rsidRPr="006F6A1D">
        <w:rPr>
          <w:szCs w:val="22"/>
        </w:rPr>
        <w:t xml:space="preserve"> or </w:t>
      </w:r>
      <w:r w:rsidR="00995A69">
        <w:rPr>
          <w:szCs w:val="22"/>
        </w:rPr>
        <w:t>Jodie May</w:t>
      </w:r>
      <w:r w:rsidR="005B1E67">
        <w:rPr>
          <w:szCs w:val="22"/>
        </w:rPr>
        <w:t xml:space="preserve"> </w:t>
      </w:r>
      <w:r w:rsidRPr="006F6A1D">
        <w:rPr>
          <w:szCs w:val="22"/>
        </w:rPr>
        <w:t>at (202) 418-</w:t>
      </w:r>
      <w:r w:rsidR="00995A69">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10" w:rsidRDefault="00BA2E10">
      <w:r>
        <w:separator/>
      </w:r>
    </w:p>
  </w:endnote>
  <w:endnote w:type="continuationSeparator" w:id="0">
    <w:p w:rsidR="00BA2E10" w:rsidRDefault="00BA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0" w:rsidRDefault="00BA2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E10" w:rsidRDefault="00BA2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0" w:rsidRDefault="00BA2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2E10" w:rsidRDefault="00BA2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F9" w:rsidRDefault="00F775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0" w:rsidRDefault="00BA2E10">
    <w:pPr>
      <w:pStyle w:val="Footer"/>
      <w:jc w:val="center"/>
    </w:pPr>
    <w:r>
      <w:rPr>
        <w:rStyle w:val="PageNumber"/>
      </w:rPr>
      <w:fldChar w:fldCharType="begin"/>
    </w:r>
    <w:r>
      <w:rPr>
        <w:rStyle w:val="PageNumber"/>
      </w:rPr>
      <w:instrText xml:space="preserve"> PAGE </w:instrText>
    </w:r>
    <w:r>
      <w:rPr>
        <w:rStyle w:val="PageNumber"/>
      </w:rPr>
      <w:fldChar w:fldCharType="separate"/>
    </w:r>
    <w:r w:rsidR="00223157">
      <w:rPr>
        <w:rStyle w:val="PageNumber"/>
        <w:noProof/>
      </w:rPr>
      <w:t>2</w:t>
    </w:r>
    <w:r>
      <w:rPr>
        <w:rStyle w:val="PageNumber"/>
      </w:rPr>
      <w:fldChar w:fldCharType="end"/>
    </w:r>
  </w:p>
  <w:p w:rsidR="00BA2E10" w:rsidRDefault="00BA2E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10" w:rsidRDefault="00BA2E10">
      <w:r>
        <w:separator/>
      </w:r>
    </w:p>
  </w:footnote>
  <w:footnote w:type="continuationSeparator" w:id="0">
    <w:p w:rsidR="00BA2E10" w:rsidRDefault="00BA2E10">
      <w:r>
        <w:continuationSeparator/>
      </w:r>
    </w:p>
  </w:footnote>
  <w:footnote w:id="1">
    <w:p w:rsidR="00F321B4" w:rsidRPr="00F321B4" w:rsidRDefault="00BA2E10" w:rsidP="00F321B4">
      <w:pPr>
        <w:autoSpaceDE w:val="0"/>
        <w:autoSpaceDN w:val="0"/>
        <w:adjustRightInd w:val="0"/>
        <w:rPr>
          <w:color w:val="231F20"/>
          <w:sz w:val="20"/>
        </w:rPr>
      </w:pPr>
      <w:r w:rsidRPr="00DE7522">
        <w:rPr>
          <w:rStyle w:val="FootnoteReference"/>
          <w:sz w:val="20"/>
        </w:rPr>
        <w:footnoteRef/>
      </w:r>
      <w:r w:rsidRPr="00DE7522">
        <w:rPr>
          <w:sz w:val="20"/>
        </w:rPr>
        <w:t xml:space="preserve"> </w:t>
      </w:r>
      <w:r w:rsidRPr="00F321B4">
        <w:rPr>
          <w:i/>
          <w:sz w:val="20"/>
        </w:rPr>
        <w:t xml:space="preserve">See </w:t>
      </w:r>
      <w:r w:rsidRPr="00F321B4">
        <w:rPr>
          <w:sz w:val="20"/>
        </w:rPr>
        <w:t xml:space="preserve">47 C.F.R § 63.03; 47 U.S.C. § 214.  </w:t>
      </w:r>
      <w:r w:rsidR="00516EFB" w:rsidRPr="00F321B4">
        <w:rPr>
          <w:color w:val="212121"/>
          <w:sz w:val="20"/>
        </w:rPr>
        <w:t>On March 21, 2016, Applicants filed supplemental information amending the domestic sec</w:t>
      </w:r>
      <w:r w:rsidR="006D1CC5" w:rsidRPr="00F321B4">
        <w:rPr>
          <w:color w:val="212121"/>
          <w:sz w:val="20"/>
        </w:rPr>
        <w:t>t</w:t>
      </w:r>
      <w:r w:rsidR="00516EFB" w:rsidRPr="00F321B4">
        <w:rPr>
          <w:color w:val="212121"/>
          <w:sz w:val="20"/>
        </w:rPr>
        <w:t>ion 214 application an</w:t>
      </w:r>
      <w:r w:rsidR="006D1CC5" w:rsidRPr="00F321B4">
        <w:rPr>
          <w:color w:val="212121"/>
          <w:sz w:val="20"/>
        </w:rPr>
        <w:t xml:space="preserve">d </w:t>
      </w:r>
      <w:r w:rsidR="00F321B4" w:rsidRPr="00F321B4">
        <w:rPr>
          <w:color w:val="212121"/>
          <w:sz w:val="20"/>
        </w:rPr>
        <w:t xml:space="preserve">withdrawing their request for confidential treatment of certain information contained in the application.  Letter from Andrew M. Klein and Susan C Goldhar Ornstein, Counsel for IPC Systems, Inc. and Etrali North America, LLC, to Marlene H. Dortch, Secretary, FCC, WC Docket No. 16-65 (filed Mar. 21, 2016).  On March 28, 2016, the </w:t>
      </w:r>
      <w:r w:rsidR="00516EFB" w:rsidRPr="00F321B4">
        <w:rPr>
          <w:color w:val="212121"/>
          <w:sz w:val="20"/>
        </w:rPr>
        <w:t>Wireline Competition Bureau granted Applicants' request for </w:t>
      </w:r>
      <w:r w:rsidR="00516EFB" w:rsidRPr="00F321B4">
        <w:rPr>
          <w:bCs/>
          <w:color w:val="252525"/>
          <w:sz w:val="20"/>
        </w:rPr>
        <w:t>Special</w:t>
      </w:r>
      <w:r w:rsidR="00516EFB" w:rsidRPr="00F321B4">
        <w:rPr>
          <w:color w:val="212121"/>
          <w:sz w:val="20"/>
        </w:rPr>
        <w:t> </w:t>
      </w:r>
      <w:r w:rsidR="00516EFB" w:rsidRPr="00F321B4">
        <w:rPr>
          <w:bCs/>
          <w:color w:val="252525"/>
          <w:sz w:val="20"/>
        </w:rPr>
        <w:t>Temporary</w:t>
      </w:r>
      <w:r w:rsidR="00516EFB" w:rsidRPr="00F321B4">
        <w:rPr>
          <w:color w:val="212121"/>
          <w:sz w:val="20"/>
        </w:rPr>
        <w:t> </w:t>
      </w:r>
      <w:r w:rsidR="00516EFB" w:rsidRPr="00F321B4">
        <w:rPr>
          <w:bCs/>
          <w:color w:val="252525"/>
          <w:sz w:val="20"/>
        </w:rPr>
        <w:t>Authority</w:t>
      </w:r>
      <w:r w:rsidR="00516EFB" w:rsidRPr="00F321B4">
        <w:rPr>
          <w:color w:val="212121"/>
          <w:sz w:val="20"/>
        </w:rPr>
        <w:t> (</w:t>
      </w:r>
      <w:r w:rsidR="00516EFB" w:rsidRPr="00F321B4">
        <w:rPr>
          <w:bCs/>
          <w:color w:val="252525"/>
          <w:sz w:val="20"/>
        </w:rPr>
        <w:t>STA</w:t>
      </w:r>
      <w:r w:rsidR="00516EFB" w:rsidRPr="00F321B4">
        <w:rPr>
          <w:color w:val="212121"/>
          <w:sz w:val="20"/>
        </w:rPr>
        <w:t>) for a period of </w:t>
      </w:r>
      <w:r w:rsidR="00F321B4" w:rsidRPr="00F321B4">
        <w:rPr>
          <w:color w:val="212121"/>
          <w:sz w:val="20"/>
        </w:rPr>
        <w:t>60 days</w:t>
      </w:r>
      <w:r w:rsidR="00516EFB" w:rsidRPr="00F321B4">
        <w:rPr>
          <w:color w:val="212121"/>
          <w:sz w:val="20"/>
        </w:rPr>
        <w:t xml:space="preserve"> for authorization to continue to provide service pending approval of the application. </w:t>
      </w:r>
      <w:r w:rsidR="00E87EC1">
        <w:rPr>
          <w:color w:val="212121"/>
          <w:sz w:val="20"/>
        </w:rPr>
        <w:t xml:space="preserve"> </w:t>
      </w:r>
      <w:r w:rsidR="00F321B4" w:rsidRPr="00F321B4">
        <w:rPr>
          <w:color w:val="212121"/>
          <w:sz w:val="20"/>
        </w:rPr>
        <w:t xml:space="preserve">Letter from Andrew M. Klein and Susan C Goldhar Ornstein, Counsel for IPC Systems, Inc. and Etrali North America, LLC, to Marlene H. Dortch, Secretary, FCC, WC Docket No. 16-65 (filed Mar. 21, 2016).  </w:t>
      </w:r>
      <w:r w:rsidR="00516EFB" w:rsidRPr="00F321B4">
        <w:rPr>
          <w:color w:val="212121"/>
          <w:sz w:val="20"/>
        </w:rPr>
        <w:t>A grant of the application will be without prejudice to any enforcement action by the Commission for non-compliance with the Act or the Commission's rules.</w:t>
      </w:r>
      <w:r w:rsidR="00F321B4" w:rsidRPr="00F321B4">
        <w:rPr>
          <w:color w:val="212121"/>
          <w:sz w:val="20"/>
        </w:rPr>
        <w:t xml:space="preserve">  </w:t>
      </w:r>
    </w:p>
    <w:p w:rsidR="00BA2E10" w:rsidRPr="00DD1309" w:rsidRDefault="00BA2E10" w:rsidP="00DD1309">
      <w:pPr>
        <w:autoSpaceDE w:val="0"/>
        <w:autoSpaceDN w:val="0"/>
        <w:adjustRightInd w:val="0"/>
        <w:rPr>
          <w:color w:val="231F20"/>
          <w:sz w:val="20"/>
        </w:rPr>
      </w:pPr>
    </w:p>
  </w:footnote>
  <w:footnote w:id="2">
    <w:p w:rsidR="007E0DEA" w:rsidRPr="007E0DEA" w:rsidRDefault="007E0DEA">
      <w:pPr>
        <w:pStyle w:val="FootnoteText"/>
        <w:rPr>
          <w:sz w:val="20"/>
        </w:rPr>
      </w:pPr>
      <w:r>
        <w:rPr>
          <w:rStyle w:val="FootnoteReference"/>
        </w:rPr>
        <w:footnoteRef/>
      </w:r>
      <w:r>
        <w:t xml:space="preserve"> </w:t>
      </w:r>
      <w:r w:rsidRPr="007E0DEA">
        <w:rPr>
          <w:sz w:val="20"/>
        </w:rPr>
        <w:t xml:space="preserve">Applicants state that </w:t>
      </w:r>
      <w:r w:rsidRPr="007E0DEA">
        <w:rPr>
          <w:color w:val="000000"/>
          <w:sz w:val="20"/>
        </w:rPr>
        <w:t>Centerbridge Capital Partners II, L.P. and its affiliates indirectly hold approximately 8 percent of the common units in Ligado Networks LLC, formerly known as New LightSquared, LLC, which provides mobile satellite voice and data services throughout North America.</w:t>
      </w:r>
    </w:p>
  </w:footnote>
  <w:footnote w:id="3">
    <w:p w:rsidR="00BA2E10" w:rsidRPr="00DE7522" w:rsidRDefault="00BA2E10">
      <w:pPr>
        <w:pStyle w:val="FootnoteText"/>
        <w:rPr>
          <w:sz w:val="20"/>
        </w:rPr>
      </w:pPr>
      <w:r w:rsidRPr="00DE7522">
        <w:rPr>
          <w:rStyle w:val="FootnoteReference"/>
          <w:sz w:val="20"/>
        </w:rPr>
        <w:footnoteRef/>
      </w:r>
      <w:r w:rsidRPr="00DE7522">
        <w:rPr>
          <w:sz w:val="20"/>
        </w:rPr>
        <w:t xml:space="preserve"> </w:t>
      </w:r>
      <w:r w:rsidRPr="00DE7522">
        <w:rPr>
          <w:color w:val="020100"/>
          <w:sz w:val="20"/>
        </w:rPr>
        <w:t>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F9" w:rsidRDefault="00F77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F9" w:rsidRDefault="00F77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0" w:rsidRDefault="0022315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A2E10" w:rsidRDefault="00BA2E10">
                <w:pPr>
                  <w:rPr>
                    <w:rFonts w:ascii="Arial" w:hAnsi="Arial"/>
                    <w:b/>
                  </w:rPr>
                </w:pPr>
                <w:r>
                  <w:rPr>
                    <w:rFonts w:ascii="Arial" w:hAnsi="Arial"/>
                    <w:b/>
                  </w:rPr>
                  <w:t>Federal Communications Commission</w:t>
                </w:r>
              </w:p>
              <w:p w:rsidR="00BA2E10" w:rsidRDefault="00BA2E1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A2E10" w:rsidRDefault="00BA2E10">
                <w:pPr>
                  <w:rPr>
                    <w:rFonts w:ascii="Arial" w:hAnsi="Arial"/>
                    <w:sz w:val="24"/>
                  </w:rPr>
                </w:pPr>
                <w:r>
                  <w:rPr>
                    <w:rFonts w:ascii="Arial" w:hAnsi="Arial"/>
                    <w:b/>
                  </w:rPr>
                  <w:t>Washington, D.C. 20554</w:t>
                </w:r>
              </w:p>
            </w:txbxContent>
          </v:textbox>
        </v:shape>
      </w:pict>
    </w:r>
    <w:r w:rsidR="00BA2E10">
      <w:rPr>
        <w:rFonts w:ascii="News Gothic MT" w:hAnsi="News Gothic MT"/>
        <w:b/>
        <w:kern w:val="28"/>
        <w:sz w:val="96"/>
      </w:rPr>
      <w:t>PUBLIC NOTICE</w:t>
    </w:r>
  </w:p>
  <w:p w:rsidR="00BA2E10" w:rsidRDefault="00223157">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A2E10" w:rsidRDefault="00BA2E10">
                <w:pPr>
                  <w:spacing w:before="40"/>
                  <w:jc w:val="right"/>
                  <w:rPr>
                    <w:rFonts w:ascii="Arial" w:hAnsi="Arial"/>
                    <w:b/>
                    <w:sz w:val="16"/>
                  </w:rPr>
                </w:pPr>
                <w:r>
                  <w:rPr>
                    <w:rFonts w:ascii="Arial" w:hAnsi="Arial"/>
                    <w:b/>
                    <w:sz w:val="16"/>
                  </w:rPr>
                  <w:t>News Media Information 202 / 418-0500</w:t>
                </w:r>
              </w:p>
              <w:p w:rsidR="00BA2E10" w:rsidRDefault="00BA2E1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A2E10" w:rsidRDefault="00BA2E10">
                <w:pPr>
                  <w:jc w:val="right"/>
                  <w:rPr>
                    <w:rFonts w:ascii="Arial" w:hAnsi="Arial"/>
                    <w:b/>
                    <w:sz w:val="16"/>
                  </w:rPr>
                </w:pPr>
                <w:r>
                  <w:rPr>
                    <w:rFonts w:ascii="Arial" w:hAnsi="Arial"/>
                    <w:b/>
                    <w:sz w:val="16"/>
                  </w:rPr>
                  <w:t>TTY: 1-888-835-5322</w:t>
                </w:r>
              </w:p>
              <w:p w:rsidR="00BA2E10" w:rsidRDefault="00BA2E10">
                <w:pPr>
                  <w:jc w:val="right"/>
                </w:pPr>
              </w:p>
            </w:txbxContent>
          </v:textbox>
        </v:shape>
      </w:pict>
    </w:r>
  </w:p>
  <w:p w:rsidR="00BA2E10" w:rsidRDefault="00BA2E10">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0" w:rsidRDefault="00223157">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A2E10" w:rsidRDefault="00BA2E10">
                <w:pPr>
                  <w:rPr>
                    <w:rFonts w:ascii="Arial" w:hAnsi="Arial"/>
                    <w:b/>
                  </w:rPr>
                </w:pPr>
                <w:r>
                  <w:rPr>
                    <w:rFonts w:ascii="Arial" w:hAnsi="Arial"/>
                    <w:b/>
                  </w:rPr>
                  <w:t>Federal Communications Commission</w:t>
                </w:r>
              </w:p>
              <w:p w:rsidR="00BA2E10" w:rsidRDefault="00BA2E1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A2E10" w:rsidRDefault="00BA2E10">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A2E10">
      <w:rPr>
        <w:rFonts w:ascii="Copperplate32bc" w:hAnsi="Copperplate32bc"/>
        <w:b/>
        <w:kern w:val="28"/>
        <w:sz w:val="96"/>
      </w:rPr>
      <w:t>PUBLIC NOTICE</w:t>
    </w:r>
  </w:p>
  <w:p w:rsidR="00BA2E10" w:rsidRDefault="00223157">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A2E10" w:rsidRDefault="00BA2E10">
                <w:pPr>
                  <w:spacing w:before="40"/>
                  <w:jc w:val="right"/>
                  <w:rPr>
                    <w:rFonts w:ascii="Arial" w:hAnsi="Arial"/>
                    <w:b/>
                    <w:sz w:val="16"/>
                  </w:rPr>
                </w:pPr>
                <w:r>
                  <w:rPr>
                    <w:rFonts w:ascii="Arial" w:hAnsi="Arial"/>
                    <w:b/>
                    <w:sz w:val="16"/>
                  </w:rPr>
                  <w:t>News Media Information 202 / 418-0500</w:t>
                </w:r>
              </w:p>
              <w:p w:rsidR="00BA2E10" w:rsidRDefault="00BA2E10">
                <w:pPr>
                  <w:jc w:val="right"/>
                  <w:rPr>
                    <w:rFonts w:ascii="Arial" w:hAnsi="Arial"/>
                    <w:b/>
                    <w:sz w:val="16"/>
                  </w:rPr>
                </w:pPr>
                <w:r>
                  <w:rPr>
                    <w:rFonts w:ascii="Arial" w:hAnsi="Arial"/>
                    <w:b/>
                    <w:sz w:val="16"/>
                  </w:rPr>
                  <w:tab/>
                  <w:t>Internet: http://www.fcc.gov</w:t>
                </w:r>
              </w:p>
              <w:p w:rsidR="00BA2E10" w:rsidRDefault="00BA2E10">
                <w:pPr>
                  <w:jc w:val="right"/>
                  <w:rPr>
                    <w:rFonts w:ascii="Arial" w:hAnsi="Arial"/>
                    <w:b/>
                    <w:sz w:val="16"/>
                  </w:rPr>
                </w:pPr>
                <w:r>
                  <w:rPr>
                    <w:rFonts w:ascii="Arial" w:hAnsi="Arial"/>
                    <w:b/>
                    <w:sz w:val="16"/>
                  </w:rPr>
                  <w:t>TTY: 1-888-835-5322</w:t>
                </w:r>
              </w:p>
              <w:p w:rsidR="00BA2E10" w:rsidRDefault="00BA2E10">
                <w:pPr>
                  <w:jc w:val="right"/>
                </w:pPr>
              </w:p>
            </w:txbxContent>
          </v:textbox>
        </v:shape>
      </w:pict>
    </w:r>
  </w:p>
  <w:p w:rsidR="00BA2E10" w:rsidRDefault="00BA2E1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7685"/>
    <w:rsid w:val="000B3D7A"/>
    <w:rsid w:val="000C0811"/>
    <w:rsid w:val="000C28B5"/>
    <w:rsid w:val="000C4780"/>
    <w:rsid w:val="000C4C46"/>
    <w:rsid w:val="000E157B"/>
    <w:rsid w:val="000E3155"/>
    <w:rsid w:val="000E760D"/>
    <w:rsid w:val="000F6B18"/>
    <w:rsid w:val="001026C6"/>
    <w:rsid w:val="00110942"/>
    <w:rsid w:val="00112A9B"/>
    <w:rsid w:val="00113666"/>
    <w:rsid w:val="0013052A"/>
    <w:rsid w:val="0013561C"/>
    <w:rsid w:val="00142D36"/>
    <w:rsid w:val="00151E72"/>
    <w:rsid w:val="00152109"/>
    <w:rsid w:val="00153E4E"/>
    <w:rsid w:val="00154DD3"/>
    <w:rsid w:val="00156895"/>
    <w:rsid w:val="00165BD0"/>
    <w:rsid w:val="001727F8"/>
    <w:rsid w:val="001809F9"/>
    <w:rsid w:val="001810DB"/>
    <w:rsid w:val="00182812"/>
    <w:rsid w:val="00187B28"/>
    <w:rsid w:val="00190FAB"/>
    <w:rsid w:val="00192F32"/>
    <w:rsid w:val="001A269E"/>
    <w:rsid w:val="001A6B9B"/>
    <w:rsid w:val="001B1295"/>
    <w:rsid w:val="001B2E39"/>
    <w:rsid w:val="001B3719"/>
    <w:rsid w:val="001B6FE3"/>
    <w:rsid w:val="001B7E4B"/>
    <w:rsid w:val="001C1B24"/>
    <w:rsid w:val="001D04A4"/>
    <w:rsid w:val="001D263C"/>
    <w:rsid w:val="001D31BD"/>
    <w:rsid w:val="001D3BE2"/>
    <w:rsid w:val="001D404B"/>
    <w:rsid w:val="001D65FC"/>
    <w:rsid w:val="001D79DC"/>
    <w:rsid w:val="001E0B77"/>
    <w:rsid w:val="001E1925"/>
    <w:rsid w:val="001E4E86"/>
    <w:rsid w:val="001F4668"/>
    <w:rsid w:val="001F70DD"/>
    <w:rsid w:val="0020536A"/>
    <w:rsid w:val="00205B87"/>
    <w:rsid w:val="0020629D"/>
    <w:rsid w:val="0020749C"/>
    <w:rsid w:val="002119BB"/>
    <w:rsid w:val="00223157"/>
    <w:rsid w:val="002277E1"/>
    <w:rsid w:val="00227CC7"/>
    <w:rsid w:val="00234FF8"/>
    <w:rsid w:val="002458B5"/>
    <w:rsid w:val="002479BC"/>
    <w:rsid w:val="00261E94"/>
    <w:rsid w:val="00264B89"/>
    <w:rsid w:val="00266585"/>
    <w:rsid w:val="00272E9B"/>
    <w:rsid w:val="00274C2B"/>
    <w:rsid w:val="00275A06"/>
    <w:rsid w:val="00295114"/>
    <w:rsid w:val="002A0D31"/>
    <w:rsid w:val="002A2546"/>
    <w:rsid w:val="002B1C38"/>
    <w:rsid w:val="002C2AD8"/>
    <w:rsid w:val="002D152E"/>
    <w:rsid w:val="002D3C39"/>
    <w:rsid w:val="002D7782"/>
    <w:rsid w:val="002E0322"/>
    <w:rsid w:val="002E2641"/>
    <w:rsid w:val="002E7F1A"/>
    <w:rsid w:val="002F2AB4"/>
    <w:rsid w:val="002F7245"/>
    <w:rsid w:val="003007C4"/>
    <w:rsid w:val="00304122"/>
    <w:rsid w:val="00305EAF"/>
    <w:rsid w:val="00321B06"/>
    <w:rsid w:val="0032475C"/>
    <w:rsid w:val="00331394"/>
    <w:rsid w:val="00333620"/>
    <w:rsid w:val="00336B43"/>
    <w:rsid w:val="00352555"/>
    <w:rsid w:val="003558D9"/>
    <w:rsid w:val="00356B0F"/>
    <w:rsid w:val="003664FF"/>
    <w:rsid w:val="00367CFE"/>
    <w:rsid w:val="00372CF6"/>
    <w:rsid w:val="00393BD4"/>
    <w:rsid w:val="003A1C84"/>
    <w:rsid w:val="003A47DB"/>
    <w:rsid w:val="003C124D"/>
    <w:rsid w:val="003C3C08"/>
    <w:rsid w:val="003D5E4D"/>
    <w:rsid w:val="003E65E9"/>
    <w:rsid w:val="003F08DD"/>
    <w:rsid w:val="004009F5"/>
    <w:rsid w:val="00402BBF"/>
    <w:rsid w:val="00402F08"/>
    <w:rsid w:val="00403092"/>
    <w:rsid w:val="00406D42"/>
    <w:rsid w:val="00406EA7"/>
    <w:rsid w:val="00412D95"/>
    <w:rsid w:val="0042630F"/>
    <w:rsid w:val="004272D7"/>
    <w:rsid w:val="00431BB2"/>
    <w:rsid w:val="00433C43"/>
    <w:rsid w:val="004363ED"/>
    <w:rsid w:val="00437390"/>
    <w:rsid w:val="00440540"/>
    <w:rsid w:val="00456F02"/>
    <w:rsid w:val="004634EA"/>
    <w:rsid w:val="00464B99"/>
    <w:rsid w:val="004668F2"/>
    <w:rsid w:val="0046747F"/>
    <w:rsid w:val="0047389D"/>
    <w:rsid w:val="00475064"/>
    <w:rsid w:val="004754AC"/>
    <w:rsid w:val="00483ED8"/>
    <w:rsid w:val="00487246"/>
    <w:rsid w:val="004908CF"/>
    <w:rsid w:val="004A06AD"/>
    <w:rsid w:val="004A52B7"/>
    <w:rsid w:val="004A767A"/>
    <w:rsid w:val="004B147E"/>
    <w:rsid w:val="004B6EA1"/>
    <w:rsid w:val="004C5F29"/>
    <w:rsid w:val="004C79ED"/>
    <w:rsid w:val="004D04CF"/>
    <w:rsid w:val="004D396B"/>
    <w:rsid w:val="004D6475"/>
    <w:rsid w:val="004D67C3"/>
    <w:rsid w:val="004D74B9"/>
    <w:rsid w:val="004D75F8"/>
    <w:rsid w:val="004E32BF"/>
    <w:rsid w:val="004F4FF9"/>
    <w:rsid w:val="005007B4"/>
    <w:rsid w:val="00514D74"/>
    <w:rsid w:val="00515FB3"/>
    <w:rsid w:val="00516EFB"/>
    <w:rsid w:val="0051799E"/>
    <w:rsid w:val="00525252"/>
    <w:rsid w:val="00525CA0"/>
    <w:rsid w:val="00527090"/>
    <w:rsid w:val="00536E8B"/>
    <w:rsid w:val="00537386"/>
    <w:rsid w:val="00541525"/>
    <w:rsid w:val="00542653"/>
    <w:rsid w:val="005437C5"/>
    <w:rsid w:val="00546040"/>
    <w:rsid w:val="00546786"/>
    <w:rsid w:val="00546FE7"/>
    <w:rsid w:val="005472BF"/>
    <w:rsid w:val="00551579"/>
    <w:rsid w:val="00553445"/>
    <w:rsid w:val="0055473C"/>
    <w:rsid w:val="00556EA7"/>
    <w:rsid w:val="00565FBE"/>
    <w:rsid w:val="0056768B"/>
    <w:rsid w:val="005741D7"/>
    <w:rsid w:val="00575E76"/>
    <w:rsid w:val="0058289C"/>
    <w:rsid w:val="00587F5D"/>
    <w:rsid w:val="00592FE0"/>
    <w:rsid w:val="005A06DF"/>
    <w:rsid w:val="005A5CC8"/>
    <w:rsid w:val="005B1E67"/>
    <w:rsid w:val="005B42F2"/>
    <w:rsid w:val="005C2131"/>
    <w:rsid w:val="005C26CE"/>
    <w:rsid w:val="005C289C"/>
    <w:rsid w:val="005C3917"/>
    <w:rsid w:val="005E6A88"/>
    <w:rsid w:val="005F1683"/>
    <w:rsid w:val="005F1B83"/>
    <w:rsid w:val="00612B09"/>
    <w:rsid w:val="00616866"/>
    <w:rsid w:val="0061742E"/>
    <w:rsid w:val="0062123A"/>
    <w:rsid w:val="00626A0C"/>
    <w:rsid w:val="00635D3A"/>
    <w:rsid w:val="006429B2"/>
    <w:rsid w:val="00650AC8"/>
    <w:rsid w:val="00653E9A"/>
    <w:rsid w:val="00654B02"/>
    <w:rsid w:val="00655B3B"/>
    <w:rsid w:val="00663A4E"/>
    <w:rsid w:val="00666BE8"/>
    <w:rsid w:val="00675394"/>
    <w:rsid w:val="00677248"/>
    <w:rsid w:val="006800B9"/>
    <w:rsid w:val="00684A98"/>
    <w:rsid w:val="0068743C"/>
    <w:rsid w:val="0069220A"/>
    <w:rsid w:val="00694E3C"/>
    <w:rsid w:val="006A554C"/>
    <w:rsid w:val="006A55EB"/>
    <w:rsid w:val="006A6B79"/>
    <w:rsid w:val="006B33F3"/>
    <w:rsid w:val="006C05E5"/>
    <w:rsid w:val="006C11FC"/>
    <w:rsid w:val="006C35E9"/>
    <w:rsid w:val="006C4EFF"/>
    <w:rsid w:val="006C636E"/>
    <w:rsid w:val="006D1A21"/>
    <w:rsid w:val="006D1CC5"/>
    <w:rsid w:val="006D1DCD"/>
    <w:rsid w:val="006D1FA6"/>
    <w:rsid w:val="006D3EF3"/>
    <w:rsid w:val="006E2CD3"/>
    <w:rsid w:val="006E6DB2"/>
    <w:rsid w:val="006F20ED"/>
    <w:rsid w:val="006F6A1D"/>
    <w:rsid w:val="00703EC6"/>
    <w:rsid w:val="00706AC9"/>
    <w:rsid w:val="0071025C"/>
    <w:rsid w:val="0071309C"/>
    <w:rsid w:val="00714819"/>
    <w:rsid w:val="00716D2D"/>
    <w:rsid w:val="00717C73"/>
    <w:rsid w:val="007217B1"/>
    <w:rsid w:val="00724554"/>
    <w:rsid w:val="007256ED"/>
    <w:rsid w:val="00727EC7"/>
    <w:rsid w:val="00732551"/>
    <w:rsid w:val="0073675C"/>
    <w:rsid w:val="0075287B"/>
    <w:rsid w:val="00755072"/>
    <w:rsid w:val="00755E16"/>
    <w:rsid w:val="00756B80"/>
    <w:rsid w:val="00756B88"/>
    <w:rsid w:val="0077636A"/>
    <w:rsid w:val="007857C7"/>
    <w:rsid w:val="00792794"/>
    <w:rsid w:val="00796AFA"/>
    <w:rsid w:val="0079745F"/>
    <w:rsid w:val="007B0E00"/>
    <w:rsid w:val="007B5F78"/>
    <w:rsid w:val="007C0877"/>
    <w:rsid w:val="007C0FD1"/>
    <w:rsid w:val="007C3A5F"/>
    <w:rsid w:val="007C3BD7"/>
    <w:rsid w:val="007C465B"/>
    <w:rsid w:val="007C6DF4"/>
    <w:rsid w:val="007D5DC4"/>
    <w:rsid w:val="007E0595"/>
    <w:rsid w:val="007E0DEA"/>
    <w:rsid w:val="007F3CD7"/>
    <w:rsid w:val="00801697"/>
    <w:rsid w:val="00804FE6"/>
    <w:rsid w:val="00805979"/>
    <w:rsid w:val="00807C6E"/>
    <w:rsid w:val="0081400F"/>
    <w:rsid w:val="00814C04"/>
    <w:rsid w:val="0081552C"/>
    <w:rsid w:val="00817653"/>
    <w:rsid w:val="008178EC"/>
    <w:rsid w:val="00817D67"/>
    <w:rsid w:val="00832D56"/>
    <w:rsid w:val="00856727"/>
    <w:rsid w:val="00856872"/>
    <w:rsid w:val="008656D9"/>
    <w:rsid w:val="008753EC"/>
    <w:rsid w:val="00877AE3"/>
    <w:rsid w:val="0088214B"/>
    <w:rsid w:val="00887198"/>
    <w:rsid w:val="008917E6"/>
    <w:rsid w:val="00891AD2"/>
    <w:rsid w:val="00894F4D"/>
    <w:rsid w:val="00897BDD"/>
    <w:rsid w:val="008A1274"/>
    <w:rsid w:val="008A6B6F"/>
    <w:rsid w:val="008B06B4"/>
    <w:rsid w:val="008B2C64"/>
    <w:rsid w:val="008B7C7A"/>
    <w:rsid w:val="008C2B82"/>
    <w:rsid w:val="008C4993"/>
    <w:rsid w:val="008C4B79"/>
    <w:rsid w:val="008D3DB7"/>
    <w:rsid w:val="008D6469"/>
    <w:rsid w:val="008E1145"/>
    <w:rsid w:val="008E37AE"/>
    <w:rsid w:val="008E78C2"/>
    <w:rsid w:val="008F2BD8"/>
    <w:rsid w:val="008F6A9B"/>
    <w:rsid w:val="009036A1"/>
    <w:rsid w:val="0090733F"/>
    <w:rsid w:val="009305A4"/>
    <w:rsid w:val="00930DEB"/>
    <w:rsid w:val="0093341E"/>
    <w:rsid w:val="00933726"/>
    <w:rsid w:val="00933F7C"/>
    <w:rsid w:val="00940008"/>
    <w:rsid w:val="00941ED1"/>
    <w:rsid w:val="00957B60"/>
    <w:rsid w:val="00960ED3"/>
    <w:rsid w:val="00967F4A"/>
    <w:rsid w:val="00972AE9"/>
    <w:rsid w:val="00975232"/>
    <w:rsid w:val="00977C32"/>
    <w:rsid w:val="00995A69"/>
    <w:rsid w:val="009A6CA9"/>
    <w:rsid w:val="009A6D5F"/>
    <w:rsid w:val="009A7FBD"/>
    <w:rsid w:val="009B1A42"/>
    <w:rsid w:val="009B1C8D"/>
    <w:rsid w:val="009B1E00"/>
    <w:rsid w:val="009C019F"/>
    <w:rsid w:val="009C2EED"/>
    <w:rsid w:val="009C4123"/>
    <w:rsid w:val="009C49A3"/>
    <w:rsid w:val="009C51B3"/>
    <w:rsid w:val="009D12E7"/>
    <w:rsid w:val="009D2374"/>
    <w:rsid w:val="009D7779"/>
    <w:rsid w:val="009D77FE"/>
    <w:rsid w:val="009E4540"/>
    <w:rsid w:val="009E5CFD"/>
    <w:rsid w:val="009F590D"/>
    <w:rsid w:val="009F764E"/>
    <w:rsid w:val="00A10A09"/>
    <w:rsid w:val="00A14541"/>
    <w:rsid w:val="00A1474A"/>
    <w:rsid w:val="00A149C4"/>
    <w:rsid w:val="00A31E0F"/>
    <w:rsid w:val="00A3235E"/>
    <w:rsid w:val="00A3589F"/>
    <w:rsid w:val="00A45A02"/>
    <w:rsid w:val="00A45E96"/>
    <w:rsid w:val="00A55C51"/>
    <w:rsid w:val="00A56D3D"/>
    <w:rsid w:val="00A75ACA"/>
    <w:rsid w:val="00A8048E"/>
    <w:rsid w:val="00A80AD8"/>
    <w:rsid w:val="00A82C60"/>
    <w:rsid w:val="00A93F47"/>
    <w:rsid w:val="00AA0ED6"/>
    <w:rsid w:val="00AA5130"/>
    <w:rsid w:val="00AA723D"/>
    <w:rsid w:val="00AB2CBC"/>
    <w:rsid w:val="00AB507C"/>
    <w:rsid w:val="00AB781A"/>
    <w:rsid w:val="00AC3819"/>
    <w:rsid w:val="00AC38C2"/>
    <w:rsid w:val="00AD765A"/>
    <w:rsid w:val="00AE2EB5"/>
    <w:rsid w:val="00AE3CBB"/>
    <w:rsid w:val="00AE761E"/>
    <w:rsid w:val="00AF1FBE"/>
    <w:rsid w:val="00AF3BBA"/>
    <w:rsid w:val="00B03BB5"/>
    <w:rsid w:val="00B1118C"/>
    <w:rsid w:val="00B17211"/>
    <w:rsid w:val="00B21A75"/>
    <w:rsid w:val="00B27DCF"/>
    <w:rsid w:val="00B418FA"/>
    <w:rsid w:val="00B427D3"/>
    <w:rsid w:val="00B527CD"/>
    <w:rsid w:val="00B53DE7"/>
    <w:rsid w:val="00B558E7"/>
    <w:rsid w:val="00B60477"/>
    <w:rsid w:val="00B658E6"/>
    <w:rsid w:val="00B750D5"/>
    <w:rsid w:val="00B800AF"/>
    <w:rsid w:val="00B815D7"/>
    <w:rsid w:val="00B969C9"/>
    <w:rsid w:val="00BA0886"/>
    <w:rsid w:val="00BA2E10"/>
    <w:rsid w:val="00BA30A4"/>
    <w:rsid w:val="00BA3857"/>
    <w:rsid w:val="00BB2CF8"/>
    <w:rsid w:val="00BC4533"/>
    <w:rsid w:val="00BC717D"/>
    <w:rsid w:val="00BD3DD4"/>
    <w:rsid w:val="00BE0887"/>
    <w:rsid w:val="00BE0BD9"/>
    <w:rsid w:val="00BE4CFF"/>
    <w:rsid w:val="00BF1C1F"/>
    <w:rsid w:val="00C04F2B"/>
    <w:rsid w:val="00C13DEF"/>
    <w:rsid w:val="00C2115F"/>
    <w:rsid w:val="00C21BE9"/>
    <w:rsid w:val="00C255BC"/>
    <w:rsid w:val="00C35242"/>
    <w:rsid w:val="00C419F7"/>
    <w:rsid w:val="00C41B9D"/>
    <w:rsid w:val="00C51228"/>
    <w:rsid w:val="00C527E5"/>
    <w:rsid w:val="00C54121"/>
    <w:rsid w:val="00C566D4"/>
    <w:rsid w:val="00C6038C"/>
    <w:rsid w:val="00C62628"/>
    <w:rsid w:val="00C6684C"/>
    <w:rsid w:val="00C76EFA"/>
    <w:rsid w:val="00C81BA2"/>
    <w:rsid w:val="00C900AE"/>
    <w:rsid w:val="00C921C0"/>
    <w:rsid w:val="00C923C2"/>
    <w:rsid w:val="00C959B1"/>
    <w:rsid w:val="00CA5DD3"/>
    <w:rsid w:val="00CB19AC"/>
    <w:rsid w:val="00CB3851"/>
    <w:rsid w:val="00CC5D6E"/>
    <w:rsid w:val="00CD3B03"/>
    <w:rsid w:val="00CD7FD6"/>
    <w:rsid w:val="00CE40A4"/>
    <w:rsid w:val="00CE6AA5"/>
    <w:rsid w:val="00CF6A87"/>
    <w:rsid w:val="00D0013A"/>
    <w:rsid w:val="00D011DA"/>
    <w:rsid w:val="00D24728"/>
    <w:rsid w:val="00D248A8"/>
    <w:rsid w:val="00D2614C"/>
    <w:rsid w:val="00D27120"/>
    <w:rsid w:val="00D36D5A"/>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309"/>
    <w:rsid w:val="00DD1600"/>
    <w:rsid w:val="00DD18F0"/>
    <w:rsid w:val="00DE1F42"/>
    <w:rsid w:val="00DE3B77"/>
    <w:rsid w:val="00DE7522"/>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70E5D"/>
    <w:rsid w:val="00E812F7"/>
    <w:rsid w:val="00E87EC1"/>
    <w:rsid w:val="00EA472D"/>
    <w:rsid w:val="00EB2EE1"/>
    <w:rsid w:val="00EB3220"/>
    <w:rsid w:val="00EB52D2"/>
    <w:rsid w:val="00EC45B8"/>
    <w:rsid w:val="00ED32CD"/>
    <w:rsid w:val="00EE232B"/>
    <w:rsid w:val="00EE5616"/>
    <w:rsid w:val="00EE690A"/>
    <w:rsid w:val="00EF7DA7"/>
    <w:rsid w:val="00F03304"/>
    <w:rsid w:val="00F11571"/>
    <w:rsid w:val="00F17A33"/>
    <w:rsid w:val="00F2097E"/>
    <w:rsid w:val="00F2332A"/>
    <w:rsid w:val="00F321B4"/>
    <w:rsid w:val="00F33F22"/>
    <w:rsid w:val="00F36993"/>
    <w:rsid w:val="00F43775"/>
    <w:rsid w:val="00F466A5"/>
    <w:rsid w:val="00F60F8D"/>
    <w:rsid w:val="00F775F9"/>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62FA"/>
    <w:rsid w:val="00FE6834"/>
    <w:rsid w:val="00FE75F6"/>
    <w:rsid w:val="00FF3615"/>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945</Words>
  <Characters>5331</Characters>
  <Application>Microsoft Office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6288</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2016-04-15T18:39:00Z</dcterms:created>
  <dcterms:modified xsi:type="dcterms:W3CDTF">2016-04-15T18:39:00Z</dcterms:modified>
  <cp:category> </cp:category>
  <cp:contentStatus> </cp:contentStatus>
</cp:coreProperties>
</file>