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5ED40" w14:textId="77777777" w:rsidR="00257CFD" w:rsidRDefault="00257CFD">
      <w:pPr>
        <w:jc w:val="right"/>
        <w:outlineLvl w:val="0"/>
        <w:rPr>
          <w:b/>
          <w:sz w:val="22"/>
        </w:rPr>
      </w:pPr>
      <w:bookmarkStart w:id="0" w:name="_GoBack"/>
      <w:bookmarkEnd w:id="0"/>
    </w:p>
    <w:p w14:paraId="523B8957" w14:textId="0779CC9E" w:rsidR="005754C7" w:rsidRPr="00FE3525" w:rsidRDefault="005754C7">
      <w:pPr>
        <w:jc w:val="right"/>
        <w:outlineLvl w:val="0"/>
        <w:rPr>
          <w:sz w:val="22"/>
        </w:rPr>
      </w:pPr>
      <w:r w:rsidRPr="00FE3525">
        <w:rPr>
          <w:b/>
          <w:sz w:val="22"/>
        </w:rPr>
        <w:t xml:space="preserve">DA </w:t>
      </w:r>
      <w:r w:rsidR="00A419F0" w:rsidRPr="00FE3525">
        <w:rPr>
          <w:b/>
          <w:sz w:val="22"/>
        </w:rPr>
        <w:t>16-</w:t>
      </w:r>
      <w:r w:rsidR="00B977CD">
        <w:rPr>
          <w:b/>
          <w:sz w:val="22"/>
        </w:rPr>
        <w:t>426</w:t>
      </w:r>
      <w:r w:rsidRPr="00FE3525">
        <w:rPr>
          <w:sz w:val="22"/>
        </w:rPr>
        <w:fldChar w:fldCharType="begin"/>
      </w:r>
      <w:r w:rsidRPr="00FE3525">
        <w:rPr>
          <w:sz w:val="22"/>
        </w:rPr>
        <w:instrText xml:space="preserve">PRIVATE </w:instrText>
      </w:r>
      <w:r w:rsidRPr="00FE3525">
        <w:rPr>
          <w:sz w:val="22"/>
        </w:rPr>
        <w:fldChar w:fldCharType="end"/>
      </w:r>
    </w:p>
    <w:p w14:paraId="5110A752" w14:textId="77777777" w:rsidR="00257CFD" w:rsidRPr="00FE3525" w:rsidRDefault="00257CFD">
      <w:pPr>
        <w:pStyle w:val="Heading1"/>
        <w:rPr>
          <w:sz w:val="22"/>
        </w:rPr>
      </w:pPr>
    </w:p>
    <w:p w14:paraId="06EFD108" w14:textId="77777777" w:rsidR="005754C7" w:rsidRPr="00FE3525" w:rsidRDefault="005754C7">
      <w:pPr>
        <w:pStyle w:val="Heading1"/>
        <w:rPr>
          <w:sz w:val="22"/>
        </w:rPr>
      </w:pPr>
      <w:r w:rsidRPr="00FE3525">
        <w:rPr>
          <w:sz w:val="22"/>
        </w:rPr>
        <w:t>Via Certified Mail, Return Receipt Requested</w:t>
      </w:r>
    </w:p>
    <w:p w14:paraId="3932C406" w14:textId="77777777" w:rsidR="005754C7" w:rsidRPr="00FE3525" w:rsidRDefault="005754C7">
      <w:pPr>
        <w:rPr>
          <w:sz w:val="22"/>
        </w:rPr>
      </w:pPr>
    </w:p>
    <w:p w14:paraId="6B96E2C8" w14:textId="77777777" w:rsidR="005754C7" w:rsidRPr="00FE3525" w:rsidRDefault="00891604">
      <w:pPr>
        <w:rPr>
          <w:sz w:val="22"/>
        </w:rPr>
      </w:pPr>
      <w:r w:rsidRPr="00FE3525">
        <w:rPr>
          <w:sz w:val="22"/>
        </w:rPr>
        <w:t>Rohan Ranaraja</w:t>
      </w:r>
    </w:p>
    <w:p w14:paraId="1687133C" w14:textId="77777777" w:rsidR="007A6893" w:rsidRPr="00FE3525" w:rsidRDefault="007A6893">
      <w:pPr>
        <w:rPr>
          <w:sz w:val="22"/>
        </w:rPr>
      </w:pPr>
      <w:r w:rsidRPr="00FE3525">
        <w:rPr>
          <w:sz w:val="22"/>
        </w:rPr>
        <w:t>SAL Spectrum, LLC</w:t>
      </w:r>
    </w:p>
    <w:p w14:paraId="56F9B2F2" w14:textId="77777777" w:rsidR="005754C7" w:rsidRPr="00FE3525" w:rsidRDefault="00891604">
      <w:pPr>
        <w:rPr>
          <w:sz w:val="22"/>
        </w:rPr>
      </w:pPr>
      <w:r w:rsidRPr="00FE3525">
        <w:rPr>
          <w:sz w:val="22"/>
        </w:rPr>
        <w:t>1001 Technology Drive</w:t>
      </w:r>
    </w:p>
    <w:p w14:paraId="4452D910" w14:textId="77777777" w:rsidR="005754C7" w:rsidRPr="00FE3525" w:rsidRDefault="00891604">
      <w:pPr>
        <w:rPr>
          <w:sz w:val="22"/>
        </w:rPr>
      </w:pPr>
      <w:r w:rsidRPr="00FE3525">
        <w:rPr>
          <w:sz w:val="22"/>
        </w:rPr>
        <w:t>Little Rock, Arkansas 72223</w:t>
      </w:r>
    </w:p>
    <w:p w14:paraId="395E0AE9" w14:textId="77777777" w:rsidR="005754C7" w:rsidRPr="00FE3525" w:rsidRDefault="005754C7">
      <w:pPr>
        <w:rPr>
          <w:sz w:val="22"/>
        </w:rPr>
      </w:pPr>
    </w:p>
    <w:p w14:paraId="67D56D26" w14:textId="77777777" w:rsidR="005754C7" w:rsidRPr="00FE3525" w:rsidRDefault="005754C7" w:rsidP="005B113F">
      <w:pPr>
        <w:ind w:left="1440" w:hanging="720"/>
        <w:rPr>
          <w:sz w:val="22"/>
        </w:rPr>
      </w:pPr>
      <w:r w:rsidRPr="00FE3525">
        <w:rPr>
          <w:sz w:val="22"/>
        </w:rPr>
        <w:t>Re:</w:t>
      </w:r>
      <w:r w:rsidRPr="00FE3525">
        <w:rPr>
          <w:sz w:val="22"/>
        </w:rPr>
        <w:tab/>
      </w:r>
      <w:r w:rsidR="007A6893" w:rsidRPr="00FE3525">
        <w:rPr>
          <w:sz w:val="22"/>
        </w:rPr>
        <w:t xml:space="preserve">SAL Spectrum, LLC </w:t>
      </w:r>
      <w:r w:rsidR="005B113F" w:rsidRPr="00FE3525">
        <w:rPr>
          <w:sz w:val="22"/>
        </w:rPr>
        <w:t>–</w:t>
      </w:r>
      <w:r w:rsidR="007A6893" w:rsidRPr="00FE3525">
        <w:rPr>
          <w:sz w:val="22"/>
        </w:rPr>
        <w:t xml:space="preserve"> </w:t>
      </w:r>
      <w:r w:rsidRPr="00FE3525">
        <w:rPr>
          <w:sz w:val="22"/>
        </w:rPr>
        <w:t>Request</w:t>
      </w:r>
      <w:r w:rsidR="007A6893" w:rsidRPr="00FE3525">
        <w:rPr>
          <w:sz w:val="22"/>
        </w:rPr>
        <w:t xml:space="preserve"> </w:t>
      </w:r>
      <w:r w:rsidRPr="00FE3525">
        <w:rPr>
          <w:sz w:val="22"/>
        </w:rPr>
        <w:t xml:space="preserve">for Confidential Treatment of </w:t>
      </w:r>
      <w:r w:rsidR="005B113F" w:rsidRPr="00FE3525">
        <w:rPr>
          <w:sz w:val="22"/>
        </w:rPr>
        <w:t>Subscriber</w:t>
      </w:r>
      <w:r w:rsidR="00C350C1" w:rsidRPr="00FE3525">
        <w:rPr>
          <w:sz w:val="22"/>
        </w:rPr>
        <w:t xml:space="preserve"> </w:t>
      </w:r>
      <w:r w:rsidRPr="00FE3525">
        <w:rPr>
          <w:sz w:val="22"/>
        </w:rPr>
        <w:t>Information</w:t>
      </w:r>
      <w:r w:rsidR="005B113F" w:rsidRPr="00FE3525">
        <w:rPr>
          <w:sz w:val="22"/>
        </w:rPr>
        <w:t xml:space="preserve"> Provided in </w:t>
      </w:r>
      <w:r w:rsidR="00001D41" w:rsidRPr="00FE3525">
        <w:rPr>
          <w:sz w:val="22"/>
        </w:rPr>
        <w:t xml:space="preserve">FCC </w:t>
      </w:r>
      <w:r w:rsidR="005B113F" w:rsidRPr="00FE3525">
        <w:rPr>
          <w:sz w:val="22"/>
        </w:rPr>
        <w:t>Form 175</w:t>
      </w:r>
    </w:p>
    <w:p w14:paraId="01C94936" w14:textId="77777777" w:rsidR="005754C7" w:rsidRPr="00FE3525" w:rsidRDefault="005754C7">
      <w:pPr>
        <w:rPr>
          <w:sz w:val="22"/>
        </w:rPr>
      </w:pPr>
    </w:p>
    <w:p w14:paraId="220A6081" w14:textId="77777777" w:rsidR="005754C7" w:rsidRPr="00FE3525" w:rsidRDefault="005754C7">
      <w:pPr>
        <w:rPr>
          <w:sz w:val="22"/>
        </w:rPr>
      </w:pPr>
      <w:r w:rsidRPr="00FE3525">
        <w:rPr>
          <w:sz w:val="22"/>
        </w:rPr>
        <w:t>Dear M</w:t>
      </w:r>
      <w:r w:rsidR="00891604" w:rsidRPr="00FE3525">
        <w:rPr>
          <w:sz w:val="22"/>
        </w:rPr>
        <w:t>r</w:t>
      </w:r>
      <w:r w:rsidRPr="00FE3525">
        <w:rPr>
          <w:sz w:val="22"/>
        </w:rPr>
        <w:t xml:space="preserve">. </w:t>
      </w:r>
      <w:r w:rsidR="00891604" w:rsidRPr="00FE3525">
        <w:rPr>
          <w:sz w:val="22"/>
        </w:rPr>
        <w:t>Ranaraja</w:t>
      </w:r>
      <w:r w:rsidRPr="00FE3525">
        <w:rPr>
          <w:sz w:val="22"/>
        </w:rPr>
        <w:t>:</w:t>
      </w:r>
    </w:p>
    <w:p w14:paraId="0324FE13" w14:textId="77777777" w:rsidR="005754C7" w:rsidRPr="00FE3525" w:rsidRDefault="005754C7">
      <w:pPr>
        <w:rPr>
          <w:sz w:val="22"/>
        </w:rPr>
      </w:pPr>
    </w:p>
    <w:p w14:paraId="3D33D4C7" w14:textId="3BD8B4DE" w:rsidR="00A43AF7" w:rsidRPr="00FE3525" w:rsidRDefault="005754C7">
      <w:pPr>
        <w:rPr>
          <w:sz w:val="22"/>
        </w:rPr>
      </w:pPr>
      <w:r w:rsidRPr="00FE3525">
        <w:rPr>
          <w:sz w:val="22"/>
        </w:rPr>
        <w:tab/>
      </w:r>
      <w:r w:rsidR="00566992" w:rsidRPr="00FE3525">
        <w:rPr>
          <w:sz w:val="22"/>
        </w:rPr>
        <w:t>In accordance</w:t>
      </w:r>
      <w:r w:rsidR="00182D4B" w:rsidRPr="00FE3525">
        <w:rPr>
          <w:sz w:val="22"/>
        </w:rPr>
        <w:t xml:space="preserve"> with Section 0.459(g),</w:t>
      </w:r>
      <w:r w:rsidR="00432F6D" w:rsidRPr="00FE3525">
        <w:rPr>
          <w:rStyle w:val="FootnoteReference"/>
          <w:sz w:val="22"/>
        </w:rPr>
        <w:footnoteReference w:id="2"/>
      </w:r>
      <w:r w:rsidR="00182D4B" w:rsidRPr="00FE3525">
        <w:rPr>
          <w:sz w:val="22"/>
        </w:rPr>
        <w:t xml:space="preserve"> t</w:t>
      </w:r>
      <w:r w:rsidRPr="00FE3525">
        <w:rPr>
          <w:sz w:val="22"/>
        </w:rPr>
        <w:t xml:space="preserve">his letter </w:t>
      </w:r>
      <w:r w:rsidR="00984D7D" w:rsidRPr="00FE3525">
        <w:rPr>
          <w:sz w:val="22"/>
        </w:rPr>
        <w:t xml:space="preserve">provides </w:t>
      </w:r>
      <w:r w:rsidR="00257CFD" w:rsidRPr="00FE3525">
        <w:rPr>
          <w:sz w:val="22"/>
        </w:rPr>
        <w:t xml:space="preserve">follow-up </w:t>
      </w:r>
      <w:r w:rsidR="003037CC" w:rsidRPr="00FE3525">
        <w:rPr>
          <w:sz w:val="22"/>
        </w:rPr>
        <w:t xml:space="preserve">notice </w:t>
      </w:r>
      <w:r w:rsidR="00280AD5" w:rsidRPr="00FE3525">
        <w:rPr>
          <w:sz w:val="22"/>
        </w:rPr>
        <w:t>of</w:t>
      </w:r>
      <w:r w:rsidR="00984D7D" w:rsidRPr="00FE3525">
        <w:rPr>
          <w:sz w:val="22"/>
        </w:rPr>
        <w:t xml:space="preserve"> </w:t>
      </w:r>
      <w:r w:rsidR="00280AD5" w:rsidRPr="00FE3525">
        <w:rPr>
          <w:sz w:val="22"/>
        </w:rPr>
        <w:t>our</w:t>
      </w:r>
      <w:r w:rsidR="00566992" w:rsidRPr="00FE3525">
        <w:rPr>
          <w:sz w:val="22"/>
        </w:rPr>
        <w:t xml:space="preserve"> </w:t>
      </w:r>
      <w:r w:rsidR="0037647D" w:rsidRPr="00FE3525">
        <w:rPr>
          <w:sz w:val="22"/>
        </w:rPr>
        <w:t>April</w:t>
      </w:r>
      <w:r w:rsidR="00566992" w:rsidRPr="00FE3525">
        <w:rPr>
          <w:sz w:val="22"/>
        </w:rPr>
        <w:t xml:space="preserve"> </w:t>
      </w:r>
      <w:r w:rsidR="00BD3AAC" w:rsidRPr="00FE3525">
        <w:rPr>
          <w:sz w:val="22"/>
        </w:rPr>
        <w:t>6</w:t>
      </w:r>
      <w:r w:rsidR="00566992" w:rsidRPr="00FE3525">
        <w:rPr>
          <w:sz w:val="22"/>
        </w:rPr>
        <w:t>, 2016</w:t>
      </w:r>
      <w:r w:rsidR="00201CA3" w:rsidRPr="00FE3525">
        <w:rPr>
          <w:sz w:val="22"/>
        </w:rPr>
        <w:t>,</w:t>
      </w:r>
      <w:r w:rsidR="00566992" w:rsidRPr="00FE3525">
        <w:rPr>
          <w:sz w:val="22"/>
        </w:rPr>
        <w:t xml:space="preserve"> </w:t>
      </w:r>
      <w:r w:rsidR="00280AD5" w:rsidRPr="00FE3525">
        <w:rPr>
          <w:sz w:val="22"/>
        </w:rPr>
        <w:t>telephone</w:t>
      </w:r>
      <w:r w:rsidR="00182D4B" w:rsidRPr="00FE3525">
        <w:rPr>
          <w:sz w:val="22"/>
        </w:rPr>
        <w:t xml:space="preserve"> </w:t>
      </w:r>
      <w:r w:rsidR="00257CFD" w:rsidRPr="00FE3525">
        <w:rPr>
          <w:sz w:val="22"/>
        </w:rPr>
        <w:t xml:space="preserve">conversation informing </w:t>
      </w:r>
      <w:r w:rsidR="00257CFD" w:rsidRPr="001F4C9B">
        <w:rPr>
          <w:sz w:val="22"/>
          <w:szCs w:val="22"/>
        </w:rPr>
        <w:t>you</w:t>
      </w:r>
      <w:r w:rsidR="00BD3AAC" w:rsidRPr="001F4C9B">
        <w:rPr>
          <w:sz w:val="22"/>
          <w:szCs w:val="22"/>
        </w:rPr>
        <w:t xml:space="preserve">r </w:t>
      </w:r>
      <w:r w:rsidR="00257CFD" w:rsidRPr="001F4C9B">
        <w:rPr>
          <w:sz w:val="22"/>
          <w:szCs w:val="22"/>
        </w:rPr>
        <w:t>counsel</w:t>
      </w:r>
      <w:r w:rsidR="00BD3AAC" w:rsidRPr="00FE3525">
        <w:rPr>
          <w:sz w:val="22"/>
        </w:rPr>
        <w:t>, David Kaufman,</w:t>
      </w:r>
      <w:r w:rsidR="00257CFD" w:rsidRPr="00FE3525">
        <w:rPr>
          <w:sz w:val="22"/>
        </w:rPr>
        <w:t xml:space="preserve"> of our </w:t>
      </w:r>
      <w:r w:rsidR="00182D4B" w:rsidRPr="00FE3525">
        <w:rPr>
          <w:sz w:val="22"/>
        </w:rPr>
        <w:t xml:space="preserve">denial of SAL Spectrum, LLC’s (SAL) </w:t>
      </w:r>
      <w:r w:rsidRPr="00FE3525">
        <w:rPr>
          <w:sz w:val="22"/>
        </w:rPr>
        <w:t xml:space="preserve">request for confidential treatment of </w:t>
      </w:r>
      <w:r w:rsidR="00267D2D" w:rsidRPr="00FE3525">
        <w:rPr>
          <w:sz w:val="22"/>
        </w:rPr>
        <w:t xml:space="preserve">the </w:t>
      </w:r>
      <w:r w:rsidR="00182D4B" w:rsidRPr="00FE3525">
        <w:rPr>
          <w:sz w:val="22"/>
        </w:rPr>
        <w:t xml:space="preserve">subscriber </w:t>
      </w:r>
      <w:r w:rsidRPr="00FE3525">
        <w:rPr>
          <w:sz w:val="22"/>
        </w:rPr>
        <w:t>information contained in</w:t>
      </w:r>
      <w:r w:rsidR="00182D4B" w:rsidRPr="00FE3525">
        <w:rPr>
          <w:sz w:val="22"/>
        </w:rPr>
        <w:t xml:space="preserve"> its </w:t>
      </w:r>
      <w:r w:rsidRPr="00FE3525">
        <w:rPr>
          <w:sz w:val="22"/>
        </w:rPr>
        <w:t>FCC Form 175 application</w:t>
      </w:r>
      <w:r w:rsidR="009E06C5" w:rsidRPr="00FE3525">
        <w:rPr>
          <w:sz w:val="22"/>
        </w:rPr>
        <w:t xml:space="preserve"> </w:t>
      </w:r>
      <w:r w:rsidR="00EE2249" w:rsidRPr="00FE3525">
        <w:rPr>
          <w:sz w:val="22"/>
        </w:rPr>
        <w:t>to participate in Auction 1002</w:t>
      </w:r>
      <w:r w:rsidR="00EE54C4" w:rsidRPr="00EE54C4">
        <w:rPr>
          <w:sz w:val="22"/>
        </w:rPr>
        <w:t xml:space="preserve"> </w:t>
      </w:r>
      <w:r w:rsidR="00EE54C4">
        <w:rPr>
          <w:sz w:val="22"/>
        </w:rPr>
        <w:t xml:space="preserve">and </w:t>
      </w:r>
      <w:r w:rsidR="008C2A19">
        <w:rPr>
          <w:sz w:val="22"/>
        </w:rPr>
        <w:t xml:space="preserve">related information submitted by </w:t>
      </w:r>
      <w:r w:rsidR="005121CB">
        <w:rPr>
          <w:sz w:val="22"/>
        </w:rPr>
        <w:t>attachment to the application</w:t>
      </w:r>
      <w:r w:rsidR="00280AD5" w:rsidRPr="00FE3525">
        <w:rPr>
          <w:sz w:val="22"/>
        </w:rPr>
        <w:t>,</w:t>
      </w:r>
      <w:r w:rsidR="00566992" w:rsidRPr="00FE3525">
        <w:rPr>
          <w:sz w:val="22"/>
        </w:rPr>
        <w:t xml:space="preserve"> and </w:t>
      </w:r>
      <w:r w:rsidR="00280AD5" w:rsidRPr="00FE3525">
        <w:rPr>
          <w:sz w:val="22"/>
        </w:rPr>
        <w:t xml:space="preserve">of </w:t>
      </w:r>
      <w:r w:rsidR="00566992" w:rsidRPr="00FE3525">
        <w:rPr>
          <w:sz w:val="22"/>
        </w:rPr>
        <w:t xml:space="preserve">the timing for seeking review of </w:t>
      </w:r>
      <w:r w:rsidR="009E38D2" w:rsidRPr="00FE3525">
        <w:rPr>
          <w:sz w:val="22"/>
        </w:rPr>
        <w:t>our decision</w:t>
      </w:r>
      <w:r w:rsidRPr="00FE3525">
        <w:rPr>
          <w:sz w:val="22"/>
        </w:rPr>
        <w:t>.</w:t>
      </w:r>
      <w:r w:rsidR="00B92E51">
        <w:rPr>
          <w:rStyle w:val="FootnoteReference"/>
          <w:sz w:val="22"/>
        </w:rPr>
        <w:footnoteReference w:id="3"/>
      </w:r>
      <w:r w:rsidR="00182D4B" w:rsidRPr="00FE3525">
        <w:rPr>
          <w:sz w:val="22"/>
        </w:rPr>
        <w:t xml:space="preserve">  </w:t>
      </w:r>
      <w:r w:rsidRPr="00FE3525">
        <w:rPr>
          <w:sz w:val="22"/>
        </w:rPr>
        <w:t xml:space="preserve">  </w:t>
      </w:r>
    </w:p>
    <w:p w14:paraId="0876A0C7" w14:textId="77777777" w:rsidR="007A6893" w:rsidRPr="00FE3525" w:rsidRDefault="007A6893">
      <w:pPr>
        <w:rPr>
          <w:sz w:val="22"/>
        </w:rPr>
      </w:pPr>
    </w:p>
    <w:p w14:paraId="4A02AB8A" w14:textId="77777777" w:rsidR="008C6993" w:rsidRPr="00B7777D" w:rsidRDefault="005754C7" w:rsidP="008C6993">
      <w:pPr>
        <w:ind w:firstLine="720"/>
        <w:rPr>
          <w:sz w:val="22"/>
        </w:rPr>
      </w:pPr>
      <w:r w:rsidRPr="00FE3525">
        <w:rPr>
          <w:sz w:val="22"/>
        </w:rPr>
        <w:t xml:space="preserve">In </w:t>
      </w:r>
      <w:r w:rsidR="00891604" w:rsidRPr="00FE3525">
        <w:rPr>
          <w:sz w:val="22"/>
        </w:rPr>
        <w:t>its</w:t>
      </w:r>
      <w:r w:rsidRPr="00FE3525">
        <w:rPr>
          <w:sz w:val="22"/>
        </w:rPr>
        <w:t xml:space="preserve"> application, </w:t>
      </w:r>
      <w:r w:rsidR="00891604" w:rsidRPr="00FE3525">
        <w:rPr>
          <w:sz w:val="22"/>
        </w:rPr>
        <w:t>SAL</w:t>
      </w:r>
      <w:r w:rsidRPr="00FE3525">
        <w:rPr>
          <w:sz w:val="22"/>
        </w:rPr>
        <w:t xml:space="preserve"> seeks</w:t>
      </w:r>
      <w:r w:rsidR="00182D4B" w:rsidRPr="00FE3525">
        <w:rPr>
          <w:sz w:val="22"/>
        </w:rPr>
        <w:t xml:space="preserve"> a rural service provider bidding credit.  An eligible </w:t>
      </w:r>
      <w:r w:rsidR="008C6993" w:rsidRPr="00FE3525">
        <w:rPr>
          <w:sz w:val="22"/>
        </w:rPr>
        <w:t>applicant in Auction 1002 may request a 15 percent discount on its winning bid</w:t>
      </w:r>
      <w:r w:rsidR="00267D2D" w:rsidRPr="00FE3525">
        <w:rPr>
          <w:sz w:val="22"/>
        </w:rPr>
        <w:t>(s)</w:t>
      </w:r>
      <w:r w:rsidR="008C6993" w:rsidRPr="00FE3525">
        <w:rPr>
          <w:sz w:val="22"/>
        </w:rPr>
        <w:t xml:space="preserve"> using a rural service provider bidding credit.  To be eligible for a rural service provider bidding credit, an applicant must be: (1) a service provider that is in the business of providing commercial communications services and, together with its controlling interests, affiliates, and the affiliates of its controlling interests, has fewer than 250,000 combined wireless, wireline, broadband, and cable subscribers; and (2) serves predominantly rural areas, defined as counties with a population density of 100 or fewer persons per square mile.</w:t>
      </w:r>
      <w:r w:rsidR="008C6993" w:rsidRPr="00B7777D">
        <w:rPr>
          <w:rStyle w:val="FootnoteReference"/>
          <w:sz w:val="22"/>
        </w:rPr>
        <w:footnoteReference w:id="4"/>
      </w:r>
      <w:r w:rsidR="008C6993" w:rsidRPr="00B7777D">
        <w:rPr>
          <w:sz w:val="22"/>
        </w:rPr>
        <w:t xml:space="preserve">  </w:t>
      </w:r>
      <w:r w:rsidR="00F33020" w:rsidRPr="00B7777D">
        <w:rPr>
          <w:sz w:val="22"/>
        </w:rPr>
        <w:t xml:space="preserve">In </w:t>
      </w:r>
      <w:r w:rsidRPr="00B7777D">
        <w:rPr>
          <w:sz w:val="22"/>
        </w:rPr>
        <w:t xml:space="preserve">support of </w:t>
      </w:r>
      <w:r w:rsidR="00F33020" w:rsidRPr="00B7777D">
        <w:rPr>
          <w:sz w:val="22"/>
        </w:rPr>
        <w:t xml:space="preserve">a </w:t>
      </w:r>
      <w:r w:rsidRPr="00B7777D">
        <w:rPr>
          <w:sz w:val="22"/>
        </w:rPr>
        <w:t xml:space="preserve">claim </w:t>
      </w:r>
      <w:r w:rsidR="00F33020" w:rsidRPr="00B7777D">
        <w:rPr>
          <w:sz w:val="22"/>
        </w:rPr>
        <w:t>for a</w:t>
      </w:r>
      <w:r w:rsidR="00891604" w:rsidRPr="00B7777D">
        <w:rPr>
          <w:sz w:val="22"/>
        </w:rPr>
        <w:t xml:space="preserve"> rural service provider</w:t>
      </w:r>
      <w:r w:rsidRPr="00B7777D">
        <w:rPr>
          <w:sz w:val="22"/>
        </w:rPr>
        <w:t xml:space="preserve"> bidding credit</w:t>
      </w:r>
      <w:r w:rsidR="00F33020" w:rsidRPr="00B7777D">
        <w:rPr>
          <w:sz w:val="22"/>
        </w:rPr>
        <w:t>, an applicant must provide</w:t>
      </w:r>
      <w:r w:rsidR="00381A41" w:rsidRPr="00B7777D">
        <w:rPr>
          <w:sz w:val="22"/>
        </w:rPr>
        <w:t xml:space="preserve"> the number of </w:t>
      </w:r>
      <w:r w:rsidR="00F33020" w:rsidRPr="00B7777D">
        <w:rPr>
          <w:sz w:val="22"/>
        </w:rPr>
        <w:t>subscriber</w:t>
      </w:r>
      <w:r w:rsidR="00381A41" w:rsidRPr="00B7777D">
        <w:rPr>
          <w:sz w:val="22"/>
        </w:rPr>
        <w:t>s</w:t>
      </w:r>
      <w:r w:rsidR="00F33020" w:rsidRPr="00B7777D">
        <w:rPr>
          <w:sz w:val="22"/>
        </w:rPr>
        <w:t xml:space="preserve"> for itself</w:t>
      </w:r>
      <w:r w:rsidR="00E23AEA" w:rsidRPr="00B7777D">
        <w:rPr>
          <w:sz w:val="22"/>
        </w:rPr>
        <w:t>, its controlling interests, affiliates, and the affiliates of its controlling interests</w:t>
      </w:r>
      <w:r w:rsidR="008C6993" w:rsidRPr="00B7777D">
        <w:rPr>
          <w:sz w:val="22"/>
        </w:rPr>
        <w:t xml:space="preserve"> in </w:t>
      </w:r>
      <w:r w:rsidR="001B327F" w:rsidRPr="00B7777D">
        <w:rPr>
          <w:sz w:val="22"/>
        </w:rPr>
        <w:t xml:space="preserve">its </w:t>
      </w:r>
      <w:r w:rsidR="008C6993" w:rsidRPr="00B7777D">
        <w:rPr>
          <w:sz w:val="22"/>
        </w:rPr>
        <w:t>FCC Form 175</w:t>
      </w:r>
      <w:r w:rsidRPr="00B7777D">
        <w:rPr>
          <w:sz w:val="22"/>
        </w:rPr>
        <w:t>.</w:t>
      </w:r>
      <w:r w:rsidR="00C148FC" w:rsidRPr="00B7777D">
        <w:rPr>
          <w:rStyle w:val="FootnoteReference"/>
          <w:sz w:val="22"/>
        </w:rPr>
        <w:footnoteReference w:id="5"/>
      </w:r>
      <w:r w:rsidRPr="00B7777D">
        <w:rPr>
          <w:sz w:val="22"/>
        </w:rPr>
        <w:t xml:space="preserve">  </w:t>
      </w:r>
    </w:p>
    <w:p w14:paraId="637B9E47" w14:textId="77777777" w:rsidR="008C6993" w:rsidRPr="00B7777D" w:rsidRDefault="008C6993" w:rsidP="008C6993">
      <w:pPr>
        <w:ind w:firstLine="720"/>
        <w:rPr>
          <w:sz w:val="22"/>
        </w:rPr>
      </w:pPr>
    </w:p>
    <w:p w14:paraId="1873FF22" w14:textId="134FF3C5" w:rsidR="00A43AF7" w:rsidRPr="006A6951" w:rsidRDefault="00A43AF7" w:rsidP="008C6993">
      <w:pPr>
        <w:ind w:firstLine="720"/>
        <w:rPr>
          <w:sz w:val="22"/>
        </w:rPr>
      </w:pPr>
      <w:r w:rsidRPr="00B7777D">
        <w:rPr>
          <w:sz w:val="22"/>
        </w:rPr>
        <w:lastRenderedPageBreak/>
        <w:t xml:space="preserve">SAL </w:t>
      </w:r>
      <w:r w:rsidR="00267D2D" w:rsidRPr="00B7777D">
        <w:rPr>
          <w:sz w:val="22"/>
        </w:rPr>
        <w:t>submitted</w:t>
      </w:r>
      <w:r w:rsidR="00E23AEA" w:rsidRPr="00B7777D">
        <w:rPr>
          <w:sz w:val="22"/>
        </w:rPr>
        <w:t xml:space="preserve"> subscriber</w:t>
      </w:r>
      <w:r w:rsidR="00376662" w:rsidRPr="00B7777D">
        <w:rPr>
          <w:sz w:val="22"/>
        </w:rPr>
        <w:t xml:space="preserve"> number</w:t>
      </w:r>
      <w:r w:rsidR="003037CC" w:rsidRPr="00B7777D">
        <w:rPr>
          <w:sz w:val="22"/>
        </w:rPr>
        <w:t>s</w:t>
      </w:r>
      <w:r w:rsidR="00DF09B9">
        <w:rPr>
          <w:sz w:val="22"/>
        </w:rPr>
        <w:t xml:space="preserve"> </w:t>
      </w:r>
      <w:r w:rsidR="008324ED" w:rsidRPr="00B7777D">
        <w:rPr>
          <w:sz w:val="22"/>
        </w:rPr>
        <w:t>in its FCC Form 175</w:t>
      </w:r>
      <w:r w:rsidR="008324ED">
        <w:rPr>
          <w:sz w:val="22"/>
        </w:rPr>
        <w:t xml:space="preserve">, </w:t>
      </w:r>
      <w:r w:rsidR="00DF09B9">
        <w:rPr>
          <w:sz w:val="22"/>
        </w:rPr>
        <w:t xml:space="preserve">as well as an </w:t>
      </w:r>
      <w:r w:rsidR="008C2A19">
        <w:rPr>
          <w:sz w:val="22"/>
        </w:rPr>
        <w:t xml:space="preserve">explanation by </w:t>
      </w:r>
      <w:r w:rsidR="002F0D9B">
        <w:rPr>
          <w:sz w:val="22"/>
        </w:rPr>
        <w:t>attachment</w:t>
      </w:r>
      <w:r w:rsidR="00DF09B9">
        <w:rPr>
          <w:sz w:val="22"/>
        </w:rPr>
        <w:t xml:space="preserve"> arguing the basis for its eligibility</w:t>
      </w:r>
      <w:r w:rsidR="008324ED">
        <w:rPr>
          <w:sz w:val="22"/>
        </w:rPr>
        <w:t>,</w:t>
      </w:r>
      <w:r w:rsidR="00E23AEA" w:rsidRPr="00B7777D">
        <w:rPr>
          <w:sz w:val="22"/>
        </w:rPr>
        <w:t xml:space="preserve"> </w:t>
      </w:r>
      <w:r w:rsidR="008C2A19">
        <w:rPr>
          <w:sz w:val="22"/>
        </w:rPr>
        <w:t>in</w:t>
      </w:r>
      <w:r w:rsidR="00376662" w:rsidRPr="00B7777D">
        <w:rPr>
          <w:sz w:val="22"/>
        </w:rPr>
        <w:t xml:space="preserve"> support </w:t>
      </w:r>
      <w:r w:rsidR="008C2A19">
        <w:rPr>
          <w:sz w:val="22"/>
        </w:rPr>
        <w:t xml:space="preserve">of </w:t>
      </w:r>
      <w:r w:rsidR="00376662" w:rsidRPr="00B7777D">
        <w:rPr>
          <w:sz w:val="22"/>
        </w:rPr>
        <w:t>its request for a rural service provider bidding</w:t>
      </w:r>
      <w:r w:rsidR="00D25548">
        <w:rPr>
          <w:sz w:val="22"/>
        </w:rPr>
        <w:t xml:space="preserve"> credit</w:t>
      </w:r>
      <w:r w:rsidR="00376662" w:rsidRPr="00B7777D">
        <w:rPr>
          <w:sz w:val="22"/>
        </w:rPr>
        <w:t xml:space="preserve">, </w:t>
      </w:r>
      <w:r w:rsidR="00E23AEA" w:rsidRPr="00B7777D">
        <w:rPr>
          <w:sz w:val="22"/>
        </w:rPr>
        <w:t xml:space="preserve">and </w:t>
      </w:r>
      <w:r w:rsidR="00F33020" w:rsidRPr="00B7777D">
        <w:rPr>
          <w:sz w:val="22"/>
        </w:rPr>
        <w:t xml:space="preserve">seeks confidential treatment </w:t>
      </w:r>
      <w:r w:rsidR="00E23AEA" w:rsidRPr="00B7777D">
        <w:rPr>
          <w:sz w:val="22"/>
        </w:rPr>
        <w:t>there</w:t>
      </w:r>
      <w:r w:rsidR="00F33020" w:rsidRPr="00B7777D">
        <w:rPr>
          <w:sz w:val="22"/>
        </w:rPr>
        <w:t>of.</w:t>
      </w:r>
      <w:r w:rsidR="00267D2D" w:rsidRPr="00FE65C7">
        <w:rPr>
          <w:rStyle w:val="FootnoteReference"/>
          <w:sz w:val="22"/>
        </w:rPr>
        <w:footnoteReference w:id="6"/>
      </w:r>
      <w:r w:rsidR="00F33020" w:rsidRPr="00FE65C7">
        <w:rPr>
          <w:sz w:val="22"/>
        </w:rPr>
        <w:t xml:space="preserve">  SAL </w:t>
      </w:r>
      <w:r w:rsidRPr="00FE65C7">
        <w:rPr>
          <w:sz w:val="22"/>
        </w:rPr>
        <w:t xml:space="preserve">argues that the subscriber </w:t>
      </w:r>
      <w:r w:rsidR="003037CC" w:rsidRPr="00FE65C7">
        <w:rPr>
          <w:sz w:val="22"/>
        </w:rPr>
        <w:t xml:space="preserve">information </w:t>
      </w:r>
      <w:r w:rsidRPr="00FE65C7">
        <w:rPr>
          <w:sz w:val="22"/>
        </w:rPr>
        <w:t xml:space="preserve">is entitled to confidential treatment because it constitutes </w:t>
      </w:r>
      <w:r w:rsidR="00E01A9E" w:rsidRPr="00FE65C7">
        <w:rPr>
          <w:sz w:val="22"/>
        </w:rPr>
        <w:t>“</w:t>
      </w:r>
      <w:r w:rsidRPr="00FE65C7">
        <w:rPr>
          <w:sz w:val="22"/>
        </w:rPr>
        <w:t>confidential commercial, proprietary information</w:t>
      </w:r>
      <w:r w:rsidR="00E01A9E" w:rsidRPr="00FE65C7">
        <w:rPr>
          <w:sz w:val="22"/>
        </w:rPr>
        <w:t>, which</w:t>
      </w:r>
      <w:r w:rsidRPr="00FE65C7">
        <w:rPr>
          <w:sz w:val="22"/>
        </w:rPr>
        <w:t xml:space="preserve"> </w:t>
      </w:r>
      <w:r w:rsidR="00E01A9E" w:rsidRPr="00FE65C7">
        <w:rPr>
          <w:sz w:val="22"/>
        </w:rPr>
        <w:t>[</w:t>
      </w:r>
      <w:r w:rsidRPr="00FE65C7">
        <w:rPr>
          <w:sz w:val="22"/>
        </w:rPr>
        <w:t>SAL</w:t>
      </w:r>
      <w:r w:rsidR="00E01A9E" w:rsidRPr="00FE65C7">
        <w:rPr>
          <w:sz w:val="22"/>
        </w:rPr>
        <w:t>]</w:t>
      </w:r>
      <w:r w:rsidRPr="00FE65C7">
        <w:rPr>
          <w:sz w:val="22"/>
        </w:rPr>
        <w:t xml:space="preserve"> and its affiliates routinely withhold from the public;</w:t>
      </w:r>
      <w:r w:rsidR="00E01A9E" w:rsidRPr="00FE65C7">
        <w:rPr>
          <w:sz w:val="22"/>
        </w:rPr>
        <w:t>”</w:t>
      </w:r>
      <w:r w:rsidRPr="00FE65C7">
        <w:rPr>
          <w:sz w:val="22"/>
        </w:rPr>
        <w:t xml:space="preserve"> </w:t>
      </w:r>
      <w:r w:rsidR="00E01A9E" w:rsidRPr="00FE65C7">
        <w:rPr>
          <w:sz w:val="22"/>
        </w:rPr>
        <w:t>“</w:t>
      </w:r>
      <w:r w:rsidRPr="00FE65C7">
        <w:rPr>
          <w:sz w:val="22"/>
        </w:rPr>
        <w:t>is not otherwise available to the public</w:t>
      </w:r>
      <w:r w:rsidR="00E01A9E" w:rsidRPr="00FE65C7">
        <w:rPr>
          <w:sz w:val="22"/>
        </w:rPr>
        <w:t>,</w:t>
      </w:r>
      <w:r w:rsidRPr="00FE65C7">
        <w:rPr>
          <w:sz w:val="22"/>
        </w:rPr>
        <w:t xml:space="preserve"> and has never been disclosed to the public</w:t>
      </w:r>
      <w:r w:rsidR="00E01A9E" w:rsidRPr="00FE65C7">
        <w:rPr>
          <w:sz w:val="22"/>
        </w:rPr>
        <w:t>,</w:t>
      </w:r>
      <w:r w:rsidRPr="00FE65C7">
        <w:rPr>
          <w:sz w:val="22"/>
        </w:rPr>
        <w:t xml:space="preserve"> or any third parties;</w:t>
      </w:r>
      <w:r w:rsidR="00E01A9E" w:rsidRPr="00FE65C7">
        <w:rPr>
          <w:sz w:val="22"/>
        </w:rPr>
        <w:t>”</w:t>
      </w:r>
      <w:r w:rsidRPr="00FE65C7">
        <w:rPr>
          <w:sz w:val="22"/>
        </w:rPr>
        <w:t xml:space="preserve"> </w:t>
      </w:r>
      <w:r w:rsidR="00E01A9E" w:rsidRPr="00FE65C7">
        <w:rPr>
          <w:sz w:val="22"/>
        </w:rPr>
        <w:t>“</w:t>
      </w:r>
      <w:r w:rsidRPr="00FE65C7">
        <w:rPr>
          <w:sz w:val="22"/>
        </w:rPr>
        <w:t xml:space="preserve">would place </w:t>
      </w:r>
      <w:r w:rsidR="00E01A9E" w:rsidRPr="00FE65C7">
        <w:rPr>
          <w:sz w:val="22"/>
        </w:rPr>
        <w:t>[</w:t>
      </w:r>
      <w:r w:rsidRPr="00FE65C7">
        <w:rPr>
          <w:sz w:val="22"/>
        </w:rPr>
        <w:t>SAL</w:t>
      </w:r>
      <w:r w:rsidR="00E01A9E" w:rsidRPr="00FE65C7">
        <w:rPr>
          <w:sz w:val="22"/>
        </w:rPr>
        <w:t>]</w:t>
      </w:r>
      <w:r w:rsidRPr="00FE65C7">
        <w:rPr>
          <w:sz w:val="22"/>
        </w:rPr>
        <w:t xml:space="preserve"> at a severe competitive disadvantage </w:t>
      </w:r>
      <w:r w:rsidR="00086A77" w:rsidRPr="00FE65C7">
        <w:rPr>
          <w:sz w:val="22"/>
        </w:rPr>
        <w:t>by</w:t>
      </w:r>
      <w:r w:rsidRPr="00FE65C7">
        <w:rPr>
          <w:sz w:val="22"/>
        </w:rPr>
        <w:t xml:space="preserve"> reveal</w:t>
      </w:r>
      <w:r w:rsidR="00086A77" w:rsidRPr="00FE65C7">
        <w:rPr>
          <w:sz w:val="22"/>
        </w:rPr>
        <w:t>ing</w:t>
      </w:r>
      <w:r w:rsidRPr="00FE65C7">
        <w:rPr>
          <w:sz w:val="22"/>
        </w:rPr>
        <w:t xml:space="preserve"> the extent to which each individual affiliate can or cannot spread fixed costs of operation across a customer base</w:t>
      </w:r>
      <w:r w:rsidR="00086A77" w:rsidRPr="00FE65C7">
        <w:rPr>
          <w:sz w:val="22"/>
        </w:rPr>
        <w:t>,</w:t>
      </w:r>
      <w:r w:rsidRPr="00FE65C7">
        <w:rPr>
          <w:sz w:val="22"/>
        </w:rPr>
        <w:t xml:space="preserve"> </w:t>
      </w:r>
      <w:r w:rsidR="00086A77" w:rsidRPr="00FE65C7">
        <w:rPr>
          <w:sz w:val="22"/>
        </w:rPr>
        <w:t>a</w:t>
      </w:r>
      <w:r w:rsidR="00E01A9E" w:rsidRPr="00FE65C7">
        <w:rPr>
          <w:sz w:val="22"/>
        </w:rPr>
        <w:t>s well as</w:t>
      </w:r>
      <w:r w:rsidRPr="00FE65C7">
        <w:rPr>
          <w:sz w:val="22"/>
        </w:rPr>
        <w:t xml:space="preserve"> the existing market share;</w:t>
      </w:r>
      <w:r w:rsidR="00E01A9E" w:rsidRPr="00FE65C7">
        <w:rPr>
          <w:sz w:val="22"/>
        </w:rPr>
        <w:t>”</w:t>
      </w:r>
      <w:r w:rsidRPr="00FE65C7">
        <w:rPr>
          <w:sz w:val="22"/>
        </w:rPr>
        <w:t xml:space="preserve"> and is being submitted </w:t>
      </w:r>
      <w:r w:rsidR="00E01A9E" w:rsidRPr="00FE65C7">
        <w:rPr>
          <w:sz w:val="22"/>
        </w:rPr>
        <w:t>“‘</w:t>
      </w:r>
      <w:r w:rsidRPr="00FE65C7">
        <w:rPr>
          <w:sz w:val="22"/>
        </w:rPr>
        <w:t>involuntarily</w:t>
      </w:r>
      <w:r w:rsidR="00E01A9E" w:rsidRPr="00FE65C7">
        <w:rPr>
          <w:sz w:val="22"/>
        </w:rPr>
        <w:t xml:space="preserve">’, </w:t>
      </w:r>
      <w:r w:rsidR="00E01A9E" w:rsidRPr="00FE65C7">
        <w:rPr>
          <w:i/>
          <w:sz w:val="22"/>
        </w:rPr>
        <w:t xml:space="preserve">i.e., </w:t>
      </w:r>
      <w:r w:rsidR="00E01A9E" w:rsidRPr="00FE65C7">
        <w:rPr>
          <w:sz w:val="22"/>
        </w:rPr>
        <w:t>as a prerequisite to receiving an otherwise unavailable government benefit</w:t>
      </w:r>
      <w:r w:rsidRPr="00FE65C7">
        <w:rPr>
          <w:sz w:val="22"/>
        </w:rPr>
        <w:t>.</w:t>
      </w:r>
      <w:r w:rsidR="00E01A9E" w:rsidRPr="00FE65C7">
        <w:rPr>
          <w:sz w:val="22"/>
        </w:rPr>
        <w:t>”</w:t>
      </w:r>
      <w:r w:rsidRPr="00FE65C7">
        <w:rPr>
          <w:rStyle w:val="FootnoteReference"/>
          <w:sz w:val="22"/>
        </w:rPr>
        <w:footnoteReference w:id="7"/>
      </w:r>
    </w:p>
    <w:p w14:paraId="350F8010" w14:textId="77777777" w:rsidR="00A43AF7" w:rsidRPr="006A6951" w:rsidRDefault="00A43AF7">
      <w:pPr>
        <w:rPr>
          <w:sz w:val="22"/>
        </w:rPr>
      </w:pPr>
    </w:p>
    <w:p w14:paraId="2EB0AEF2" w14:textId="20CA4D2C" w:rsidR="005754C7" w:rsidRPr="00F21458" w:rsidRDefault="005754C7">
      <w:pPr>
        <w:rPr>
          <w:sz w:val="22"/>
        </w:rPr>
      </w:pPr>
      <w:r w:rsidRPr="006A6951">
        <w:rPr>
          <w:sz w:val="22"/>
        </w:rPr>
        <w:t xml:space="preserve"> </w:t>
      </w:r>
      <w:r w:rsidRPr="006A6951">
        <w:rPr>
          <w:sz w:val="22"/>
        </w:rPr>
        <w:tab/>
        <w:t>We review requests for confidentiality on a case-by-case basis.</w:t>
      </w:r>
      <w:r w:rsidR="006C3ED4">
        <w:rPr>
          <w:rStyle w:val="FootnoteReference"/>
          <w:sz w:val="22"/>
          <w:szCs w:val="22"/>
        </w:rPr>
        <w:footnoteReference w:id="8"/>
      </w:r>
      <w:r w:rsidRPr="00F21458">
        <w:rPr>
          <w:sz w:val="22"/>
        </w:rPr>
        <w:t xml:space="preserve">  Section 0.459 of the Commission</w:t>
      </w:r>
      <w:r w:rsidR="004375D4" w:rsidRPr="00F21458">
        <w:rPr>
          <w:sz w:val="22"/>
        </w:rPr>
        <w:t>’</w:t>
      </w:r>
      <w:r w:rsidRPr="00F21458">
        <w:rPr>
          <w:sz w:val="22"/>
        </w:rPr>
        <w:t xml:space="preserve">s rules requires an entity requesting confidential treatment to submit a statement of the reasons for withholding the materials from inspection and the facts upon which those reasons are based.  Mere conclusory or generalized allegations cannot support </w:t>
      </w:r>
      <w:r w:rsidR="00BB56F0" w:rsidRPr="00F21458">
        <w:rPr>
          <w:sz w:val="22"/>
        </w:rPr>
        <w:t xml:space="preserve">such </w:t>
      </w:r>
      <w:r w:rsidRPr="00F21458">
        <w:rPr>
          <w:sz w:val="22"/>
        </w:rPr>
        <w:t>a request.</w:t>
      </w:r>
      <w:r w:rsidR="00FA66E4">
        <w:rPr>
          <w:rStyle w:val="FootnoteReference"/>
          <w:sz w:val="22"/>
        </w:rPr>
        <w:footnoteReference w:id="9"/>
      </w:r>
      <w:r w:rsidRPr="00F21458">
        <w:rPr>
          <w:sz w:val="22"/>
        </w:rPr>
        <w:t xml:space="preserve">  Rather, the </w:t>
      </w:r>
      <w:r w:rsidR="00930496" w:rsidRPr="00F21458">
        <w:rPr>
          <w:sz w:val="22"/>
        </w:rPr>
        <w:t>request</w:t>
      </w:r>
      <w:r w:rsidRPr="00F21458">
        <w:rPr>
          <w:sz w:val="22"/>
        </w:rPr>
        <w:t xml:space="preserve"> must show by a preponderance of the evidence that non-disclosure is consistent with the provisions of the Freedom of Information Act</w:t>
      </w:r>
      <w:r w:rsidR="00573C34" w:rsidRPr="00F21458">
        <w:rPr>
          <w:sz w:val="22"/>
        </w:rPr>
        <w:t xml:space="preserve"> (FOIA)</w:t>
      </w:r>
      <w:r w:rsidRPr="00F21458">
        <w:rPr>
          <w:sz w:val="22"/>
        </w:rPr>
        <w:t>, 5 U.S.C. § 552.</w:t>
      </w:r>
      <w:r w:rsidR="002200FC">
        <w:rPr>
          <w:rStyle w:val="FootnoteReference"/>
          <w:sz w:val="22"/>
        </w:rPr>
        <w:footnoteReference w:id="10"/>
      </w:r>
    </w:p>
    <w:p w14:paraId="4B34382E" w14:textId="77777777" w:rsidR="00097170" w:rsidRPr="00F21458" w:rsidRDefault="00097170" w:rsidP="00097170">
      <w:pPr>
        <w:ind w:firstLine="720"/>
        <w:rPr>
          <w:sz w:val="22"/>
        </w:rPr>
      </w:pPr>
    </w:p>
    <w:p w14:paraId="30850CD6" w14:textId="77777777" w:rsidR="00F20905" w:rsidRDefault="00BB56F0" w:rsidP="00F20905">
      <w:pPr>
        <w:ind w:firstLine="720"/>
        <w:rPr>
          <w:sz w:val="22"/>
        </w:rPr>
      </w:pPr>
      <w:r w:rsidRPr="00F21458">
        <w:rPr>
          <w:sz w:val="22"/>
        </w:rPr>
        <w:t xml:space="preserve">SAL’s </w:t>
      </w:r>
      <w:r w:rsidR="0060642E" w:rsidRPr="00F21458">
        <w:rPr>
          <w:sz w:val="22"/>
        </w:rPr>
        <w:t xml:space="preserve">request </w:t>
      </w:r>
      <w:r w:rsidR="00930496" w:rsidRPr="00F21458">
        <w:rPr>
          <w:sz w:val="22"/>
        </w:rPr>
        <w:t xml:space="preserve">does not justify withholding from public inspection </w:t>
      </w:r>
      <w:r w:rsidR="001B327F" w:rsidRPr="00F21458">
        <w:rPr>
          <w:sz w:val="22"/>
        </w:rPr>
        <w:t xml:space="preserve">the subscriber </w:t>
      </w:r>
      <w:r w:rsidR="003E71BD" w:rsidRPr="00F21458">
        <w:rPr>
          <w:sz w:val="22"/>
        </w:rPr>
        <w:t>number</w:t>
      </w:r>
      <w:r w:rsidR="001B327F" w:rsidRPr="00F21458">
        <w:rPr>
          <w:sz w:val="22"/>
        </w:rPr>
        <w:t xml:space="preserve">s </w:t>
      </w:r>
      <w:r w:rsidR="00E01A9E" w:rsidRPr="00F21458">
        <w:rPr>
          <w:sz w:val="22"/>
        </w:rPr>
        <w:t xml:space="preserve">intended to support </w:t>
      </w:r>
      <w:r w:rsidR="00BB6D54" w:rsidRPr="00F21458">
        <w:rPr>
          <w:sz w:val="22"/>
        </w:rPr>
        <w:t>SAL’s</w:t>
      </w:r>
      <w:r w:rsidR="00930496" w:rsidRPr="00F21458">
        <w:rPr>
          <w:sz w:val="22"/>
        </w:rPr>
        <w:t xml:space="preserve"> </w:t>
      </w:r>
      <w:r w:rsidR="00E01A9E" w:rsidRPr="00F21458">
        <w:rPr>
          <w:sz w:val="22"/>
        </w:rPr>
        <w:t xml:space="preserve">claim of </w:t>
      </w:r>
      <w:r w:rsidR="00EC4928" w:rsidRPr="00F21458">
        <w:rPr>
          <w:sz w:val="22"/>
        </w:rPr>
        <w:t xml:space="preserve">eligibility for </w:t>
      </w:r>
      <w:r w:rsidR="00BB6D54" w:rsidRPr="00F21458">
        <w:rPr>
          <w:sz w:val="22"/>
        </w:rPr>
        <w:t xml:space="preserve">a </w:t>
      </w:r>
      <w:r w:rsidR="00930496" w:rsidRPr="00F21458">
        <w:rPr>
          <w:sz w:val="22"/>
        </w:rPr>
        <w:t>rural service provider bidding credit</w:t>
      </w:r>
      <w:r w:rsidR="00BB6D54" w:rsidRPr="00F21458">
        <w:rPr>
          <w:sz w:val="22"/>
        </w:rPr>
        <w:t xml:space="preserve">, and public policy considerations favor disclosure of </w:t>
      </w:r>
      <w:r w:rsidR="00E01A9E" w:rsidRPr="00F21458">
        <w:rPr>
          <w:sz w:val="22"/>
        </w:rPr>
        <w:t xml:space="preserve">such supporting </w:t>
      </w:r>
      <w:r w:rsidR="00CD1363" w:rsidRPr="00F21458">
        <w:rPr>
          <w:sz w:val="22"/>
        </w:rPr>
        <w:t>information</w:t>
      </w:r>
      <w:r w:rsidR="00BB6D54" w:rsidRPr="00F21458">
        <w:rPr>
          <w:sz w:val="22"/>
        </w:rPr>
        <w:t>.</w:t>
      </w:r>
      <w:r w:rsidR="00DA4057" w:rsidRPr="00F21458">
        <w:rPr>
          <w:sz w:val="22"/>
        </w:rPr>
        <w:t xml:space="preserve">  </w:t>
      </w:r>
      <w:r w:rsidR="00006696">
        <w:rPr>
          <w:sz w:val="22"/>
        </w:rPr>
        <w:t>The Commission has held generally that it may publicly release confidential business information where the party has put that information at issue in a Commission proceeding or where the Commission has identified a compelling public interest in disclosing the information.</w:t>
      </w:r>
      <w:r w:rsidR="00006696">
        <w:rPr>
          <w:rStyle w:val="FootnoteReference"/>
          <w:sz w:val="22"/>
        </w:rPr>
        <w:footnoteReference w:id="11"/>
      </w:r>
      <w:r w:rsidR="00006696">
        <w:rPr>
          <w:sz w:val="22"/>
        </w:rPr>
        <w:t xml:space="preserve">  And specifically with regard to information submitted in support of receiving bidding credits in auction proceedings, it has held that both of these criteria are met: that in</w:t>
      </w:r>
      <w:r w:rsidR="00F20905">
        <w:rPr>
          <w:sz w:val="22"/>
        </w:rPr>
        <w:t xml:space="preserve"> </w:t>
      </w:r>
    </w:p>
    <w:p w14:paraId="6B3BB5B6" w14:textId="77777777" w:rsidR="00F20905" w:rsidRDefault="00F20905">
      <w:pPr>
        <w:rPr>
          <w:sz w:val="22"/>
        </w:rPr>
      </w:pPr>
      <w:r>
        <w:rPr>
          <w:sz w:val="22"/>
        </w:rPr>
        <w:br w:type="page"/>
      </w:r>
    </w:p>
    <w:p w14:paraId="2D5C1461" w14:textId="7B4A44BB" w:rsidR="00623132" w:rsidRPr="008A62E9" w:rsidRDefault="00006696" w:rsidP="00F20905">
      <w:pPr>
        <w:rPr>
          <w:sz w:val="22"/>
        </w:rPr>
      </w:pPr>
      <w:r>
        <w:rPr>
          <w:sz w:val="22"/>
        </w:rPr>
        <w:lastRenderedPageBreak/>
        <w:t xml:space="preserve">seeking bidding credits based on certain </w:t>
      </w:r>
      <w:r w:rsidRPr="00EE0C43">
        <w:rPr>
          <w:sz w:val="22"/>
        </w:rPr>
        <w:t xml:space="preserve">criteria (here, the number of subscribers), the applicant has </w:t>
      </w:r>
      <w:r w:rsidR="00623132" w:rsidRPr="00EE0C43">
        <w:rPr>
          <w:sz w:val="22"/>
        </w:rPr>
        <w:t>placed in issue the very information which it seeks to shield from public scrutiny</w:t>
      </w:r>
      <w:r w:rsidR="007B2E13" w:rsidRPr="00EE0C43">
        <w:rPr>
          <w:sz w:val="22"/>
        </w:rPr>
        <w:t xml:space="preserve">, and that fairness to other </w:t>
      </w:r>
      <w:r w:rsidR="006F19CE" w:rsidRPr="00EE0C43">
        <w:rPr>
          <w:sz w:val="22"/>
        </w:rPr>
        <w:t xml:space="preserve">auction </w:t>
      </w:r>
      <w:r w:rsidR="007B2E13" w:rsidRPr="00EE0C43">
        <w:rPr>
          <w:sz w:val="22"/>
        </w:rPr>
        <w:t>participants requires that this information be available to the public; and that there is a compelling interest in having the basis for the bidding credit request be available to the public</w:t>
      </w:r>
      <w:r w:rsidR="00623132" w:rsidRPr="00EE0C43">
        <w:rPr>
          <w:sz w:val="22"/>
        </w:rPr>
        <w:t>.</w:t>
      </w:r>
      <w:r w:rsidR="00623132" w:rsidRPr="00EE0C43">
        <w:rPr>
          <w:rStyle w:val="FootnoteReference"/>
          <w:sz w:val="22"/>
        </w:rPr>
        <w:footnoteReference w:id="12"/>
      </w:r>
      <w:r w:rsidR="00623132" w:rsidRPr="00EE0C43">
        <w:rPr>
          <w:sz w:val="22"/>
        </w:rPr>
        <w:t xml:space="preserve">  </w:t>
      </w:r>
      <w:r w:rsidR="006356A6" w:rsidRPr="00EE0C43">
        <w:rPr>
          <w:sz w:val="22"/>
        </w:rPr>
        <w:t xml:space="preserve">Therefore, </w:t>
      </w:r>
      <w:r w:rsidR="006356A6" w:rsidRPr="00EE0C43">
        <w:rPr>
          <w:sz w:val="22"/>
          <w:szCs w:val="22"/>
        </w:rPr>
        <w:t>consistent with</w:t>
      </w:r>
      <w:r w:rsidR="006356A6" w:rsidRPr="005E4F10">
        <w:rPr>
          <w:sz w:val="22"/>
          <w:szCs w:val="22"/>
        </w:rPr>
        <w:t xml:space="preserve"> the Commission’s rules</w:t>
      </w:r>
      <w:r w:rsidR="006356A6">
        <w:rPr>
          <w:sz w:val="22"/>
          <w:szCs w:val="22"/>
        </w:rPr>
        <w:t xml:space="preserve"> and prior decisions</w:t>
      </w:r>
      <w:r w:rsidR="006356A6" w:rsidRPr="005E4F10">
        <w:rPr>
          <w:sz w:val="22"/>
          <w:szCs w:val="22"/>
        </w:rPr>
        <w:t xml:space="preserve">, balancing the public and private interests at stake, we find that there is a public interest in favor of </w:t>
      </w:r>
      <w:r w:rsidR="006356A6">
        <w:rPr>
          <w:sz w:val="22"/>
          <w:szCs w:val="22"/>
        </w:rPr>
        <w:t xml:space="preserve">publicly </w:t>
      </w:r>
      <w:r w:rsidR="006356A6" w:rsidRPr="0084599C">
        <w:rPr>
          <w:sz w:val="22"/>
          <w:szCs w:val="22"/>
        </w:rPr>
        <w:t xml:space="preserve">releasing </w:t>
      </w:r>
      <w:r w:rsidR="006356A6" w:rsidRPr="005E4F10">
        <w:rPr>
          <w:sz w:val="22"/>
          <w:szCs w:val="22"/>
        </w:rPr>
        <w:t>SAL’s subscriber count information.</w:t>
      </w:r>
      <w:r w:rsidR="006356A6" w:rsidRPr="005E4F10">
        <w:rPr>
          <w:rStyle w:val="FootnoteReference"/>
          <w:sz w:val="22"/>
          <w:szCs w:val="22"/>
        </w:rPr>
        <w:footnoteReference w:id="13"/>
      </w:r>
      <w:r w:rsidR="006356A6" w:rsidRPr="005E4F10">
        <w:rPr>
          <w:sz w:val="22"/>
          <w:szCs w:val="22"/>
        </w:rPr>
        <w:t xml:space="preserve">  </w:t>
      </w:r>
    </w:p>
    <w:p w14:paraId="7D29BE78" w14:textId="77777777" w:rsidR="00B97121" w:rsidRDefault="00B97121">
      <w:pPr>
        <w:ind w:firstLine="720"/>
        <w:rPr>
          <w:sz w:val="22"/>
          <w:szCs w:val="22"/>
        </w:rPr>
      </w:pPr>
    </w:p>
    <w:p w14:paraId="457D0D1C" w14:textId="7A3271A3" w:rsidR="00196FE8" w:rsidRDefault="00A563CC">
      <w:pPr>
        <w:ind w:firstLine="720"/>
        <w:rPr>
          <w:sz w:val="22"/>
        </w:rPr>
      </w:pPr>
      <w:r w:rsidRPr="00DE7F5C">
        <w:rPr>
          <w:sz w:val="22"/>
          <w:szCs w:val="22"/>
        </w:rPr>
        <w:t xml:space="preserve">As a separate and independent basis for denying SAL’s request for confidentiality, we find </w:t>
      </w:r>
      <w:r w:rsidR="00385676" w:rsidRPr="00DE7F5C">
        <w:rPr>
          <w:sz w:val="22"/>
          <w:szCs w:val="22"/>
        </w:rPr>
        <w:t xml:space="preserve">SAL’s </w:t>
      </w:r>
      <w:r w:rsidR="003619F8" w:rsidRPr="00DE7F5C">
        <w:rPr>
          <w:sz w:val="22"/>
          <w:szCs w:val="22"/>
        </w:rPr>
        <w:t xml:space="preserve">claim </w:t>
      </w:r>
      <w:r w:rsidR="00385676" w:rsidRPr="00DE7F5C">
        <w:rPr>
          <w:sz w:val="22"/>
          <w:szCs w:val="22"/>
        </w:rPr>
        <w:t>of</w:t>
      </w:r>
      <w:r w:rsidR="00385676" w:rsidRPr="004944FF">
        <w:rPr>
          <w:sz w:val="22"/>
        </w:rPr>
        <w:t xml:space="preserve"> </w:t>
      </w:r>
      <w:r w:rsidR="00474F12" w:rsidRPr="004944FF">
        <w:rPr>
          <w:sz w:val="22"/>
        </w:rPr>
        <w:t xml:space="preserve">potential </w:t>
      </w:r>
      <w:r w:rsidR="00385676" w:rsidRPr="004944FF">
        <w:rPr>
          <w:sz w:val="22"/>
        </w:rPr>
        <w:t xml:space="preserve">competitive harm resulting from the disclosure of </w:t>
      </w:r>
      <w:r w:rsidR="00294115">
        <w:rPr>
          <w:sz w:val="22"/>
        </w:rPr>
        <w:t>its subscriber numbers</w:t>
      </w:r>
      <w:r w:rsidR="002E6A40" w:rsidRPr="004944FF">
        <w:rPr>
          <w:sz w:val="22"/>
        </w:rPr>
        <w:t xml:space="preserve"> </w:t>
      </w:r>
      <w:r w:rsidR="00385676" w:rsidRPr="004944FF">
        <w:rPr>
          <w:sz w:val="22"/>
        </w:rPr>
        <w:t>unconvincing</w:t>
      </w:r>
      <w:r w:rsidR="005D3232">
        <w:rPr>
          <w:sz w:val="22"/>
        </w:rPr>
        <w:t xml:space="preserve"> and reject it</w:t>
      </w:r>
      <w:r w:rsidR="00385676" w:rsidRPr="004944FF">
        <w:rPr>
          <w:sz w:val="22"/>
        </w:rPr>
        <w:t xml:space="preserve">.  </w:t>
      </w:r>
      <w:r w:rsidR="009A290B" w:rsidRPr="004944FF">
        <w:rPr>
          <w:sz w:val="22"/>
        </w:rPr>
        <w:t>G</w:t>
      </w:r>
      <w:r w:rsidR="00E86733" w:rsidRPr="004944FF">
        <w:rPr>
          <w:sz w:val="22"/>
        </w:rPr>
        <w:t xml:space="preserve">iven the eligibility requirements for qualifying for a rural service provider bidding credit, </w:t>
      </w:r>
      <w:r w:rsidR="001224A3" w:rsidRPr="004944FF">
        <w:rPr>
          <w:sz w:val="22"/>
        </w:rPr>
        <w:t xml:space="preserve">an </w:t>
      </w:r>
      <w:r w:rsidR="00E86733" w:rsidRPr="004944FF">
        <w:rPr>
          <w:sz w:val="22"/>
        </w:rPr>
        <w:t xml:space="preserve">applicant seeking </w:t>
      </w:r>
      <w:r w:rsidR="003A5679" w:rsidRPr="004944FF">
        <w:rPr>
          <w:sz w:val="22"/>
        </w:rPr>
        <w:t xml:space="preserve">this </w:t>
      </w:r>
      <w:r w:rsidR="00E86733" w:rsidRPr="004944FF">
        <w:rPr>
          <w:sz w:val="22"/>
        </w:rPr>
        <w:t xml:space="preserve">credit </w:t>
      </w:r>
      <w:r w:rsidR="00BE78B2" w:rsidRPr="004944FF">
        <w:rPr>
          <w:sz w:val="22"/>
        </w:rPr>
        <w:t xml:space="preserve">must by definition </w:t>
      </w:r>
      <w:r w:rsidR="00E86733" w:rsidRPr="004944FF">
        <w:rPr>
          <w:sz w:val="22"/>
        </w:rPr>
        <w:t>be</w:t>
      </w:r>
      <w:r w:rsidR="001224A3" w:rsidRPr="004944FF">
        <w:rPr>
          <w:sz w:val="22"/>
        </w:rPr>
        <w:t xml:space="preserve"> an</w:t>
      </w:r>
      <w:r w:rsidR="00E86733" w:rsidRPr="004944FF">
        <w:rPr>
          <w:sz w:val="22"/>
        </w:rPr>
        <w:t xml:space="preserve"> </w:t>
      </w:r>
      <w:r w:rsidR="001224A3" w:rsidRPr="004944FF">
        <w:rPr>
          <w:sz w:val="22"/>
        </w:rPr>
        <w:t>entity that, together with its controlling interest</w:t>
      </w:r>
      <w:r w:rsidR="002E6A40" w:rsidRPr="004944FF">
        <w:rPr>
          <w:sz w:val="22"/>
        </w:rPr>
        <w:t>s</w:t>
      </w:r>
      <w:r w:rsidR="001224A3" w:rsidRPr="004944FF">
        <w:rPr>
          <w:sz w:val="22"/>
        </w:rPr>
        <w:t>, affiliates, and the affiliates of its controlling interests,</w:t>
      </w:r>
      <w:r w:rsidR="00E86733" w:rsidRPr="004944FF">
        <w:rPr>
          <w:sz w:val="22"/>
        </w:rPr>
        <w:t xml:space="preserve"> </w:t>
      </w:r>
      <w:r w:rsidR="001224A3" w:rsidRPr="004944FF">
        <w:rPr>
          <w:sz w:val="22"/>
        </w:rPr>
        <w:t>has</w:t>
      </w:r>
      <w:r w:rsidR="00E86733" w:rsidRPr="004944FF">
        <w:rPr>
          <w:sz w:val="22"/>
        </w:rPr>
        <w:t xml:space="preserve"> fewer than 250,000</w:t>
      </w:r>
      <w:r w:rsidR="001224A3" w:rsidRPr="004944FF">
        <w:rPr>
          <w:sz w:val="22"/>
        </w:rPr>
        <w:t xml:space="preserve"> </w:t>
      </w:r>
      <w:r w:rsidR="00C148FC" w:rsidRPr="004944FF">
        <w:rPr>
          <w:sz w:val="22"/>
        </w:rPr>
        <w:t xml:space="preserve">subscribers </w:t>
      </w:r>
      <w:r w:rsidR="001224A3" w:rsidRPr="004944FF">
        <w:rPr>
          <w:sz w:val="22"/>
        </w:rPr>
        <w:t>and serves predominantly rural areas</w:t>
      </w:r>
      <w:r w:rsidR="00E86733" w:rsidRPr="004944FF">
        <w:rPr>
          <w:sz w:val="22"/>
        </w:rPr>
        <w:t>.</w:t>
      </w:r>
      <w:r w:rsidR="00E86733" w:rsidRPr="00045DAB">
        <w:rPr>
          <w:rStyle w:val="FootnoteReference"/>
          <w:sz w:val="22"/>
        </w:rPr>
        <w:footnoteReference w:id="14"/>
      </w:r>
      <w:r w:rsidR="00E86733" w:rsidRPr="00045DAB">
        <w:rPr>
          <w:sz w:val="22"/>
        </w:rPr>
        <w:t xml:space="preserve">  </w:t>
      </w:r>
      <w:r w:rsidR="004143C8" w:rsidRPr="00045DAB">
        <w:rPr>
          <w:sz w:val="22"/>
        </w:rPr>
        <w:t xml:space="preserve">Thus, the public will already have a </w:t>
      </w:r>
      <w:r w:rsidR="003A21E9" w:rsidRPr="00045DAB">
        <w:rPr>
          <w:sz w:val="22"/>
        </w:rPr>
        <w:t xml:space="preserve">general </w:t>
      </w:r>
      <w:r w:rsidR="004143C8" w:rsidRPr="00045DAB">
        <w:rPr>
          <w:sz w:val="22"/>
        </w:rPr>
        <w:t xml:space="preserve">sense of </w:t>
      </w:r>
      <w:r w:rsidR="00013537" w:rsidRPr="00045DAB">
        <w:rPr>
          <w:sz w:val="22"/>
        </w:rPr>
        <w:t xml:space="preserve">the </w:t>
      </w:r>
      <w:r w:rsidR="004143C8" w:rsidRPr="00045DAB">
        <w:rPr>
          <w:sz w:val="22"/>
        </w:rPr>
        <w:t xml:space="preserve">applicant’s </w:t>
      </w:r>
      <w:r w:rsidR="00C148FC" w:rsidRPr="00045DAB">
        <w:rPr>
          <w:sz w:val="22"/>
        </w:rPr>
        <w:t xml:space="preserve">size in terms of subscribership </w:t>
      </w:r>
      <w:r w:rsidR="004143C8" w:rsidRPr="00045DAB">
        <w:rPr>
          <w:sz w:val="22"/>
        </w:rPr>
        <w:t xml:space="preserve">based on the applicant’s assertion of </w:t>
      </w:r>
      <w:r w:rsidR="00086A77" w:rsidRPr="00045DAB">
        <w:rPr>
          <w:sz w:val="22"/>
        </w:rPr>
        <w:t>its eligibility</w:t>
      </w:r>
      <w:r w:rsidR="004143C8" w:rsidRPr="00045DAB">
        <w:rPr>
          <w:sz w:val="22"/>
        </w:rPr>
        <w:t xml:space="preserve"> for a rural service provider bidding</w:t>
      </w:r>
      <w:r w:rsidR="006409D2" w:rsidRPr="00045DAB">
        <w:rPr>
          <w:sz w:val="22"/>
        </w:rPr>
        <w:t xml:space="preserve"> </w:t>
      </w:r>
      <w:r w:rsidR="006409D2" w:rsidRPr="001F4C9B">
        <w:rPr>
          <w:sz w:val="22"/>
          <w:szCs w:val="22"/>
        </w:rPr>
        <w:t>credit</w:t>
      </w:r>
      <w:r w:rsidR="00B53F32" w:rsidRPr="001F4C9B">
        <w:rPr>
          <w:sz w:val="22"/>
          <w:szCs w:val="22"/>
        </w:rPr>
        <w:t xml:space="preserve"> </w:t>
      </w:r>
      <w:r w:rsidR="00D9723B" w:rsidRPr="00045DAB">
        <w:rPr>
          <w:sz w:val="22"/>
        </w:rPr>
        <w:t>(i.e., the applicant w</w:t>
      </w:r>
      <w:r w:rsidR="00086A77" w:rsidRPr="00045DAB">
        <w:rPr>
          <w:sz w:val="22"/>
        </w:rPr>
        <w:t>ill</w:t>
      </w:r>
      <w:r w:rsidR="00D9723B" w:rsidRPr="00045DAB">
        <w:rPr>
          <w:sz w:val="22"/>
        </w:rPr>
        <w:t xml:space="preserve"> be know</w:t>
      </w:r>
      <w:r w:rsidR="00C81C31" w:rsidRPr="00045DAB">
        <w:rPr>
          <w:sz w:val="22"/>
        </w:rPr>
        <w:t>n</w:t>
      </w:r>
      <w:r w:rsidR="00D9723B" w:rsidRPr="00045DAB">
        <w:rPr>
          <w:sz w:val="22"/>
        </w:rPr>
        <w:t xml:space="preserve"> to have a combined subscribership count of no more </w:t>
      </w:r>
      <w:r w:rsidR="00086A77" w:rsidRPr="00045DAB">
        <w:rPr>
          <w:sz w:val="22"/>
        </w:rPr>
        <w:t>than</w:t>
      </w:r>
      <w:r w:rsidR="00D9723B" w:rsidRPr="00045DAB">
        <w:rPr>
          <w:sz w:val="22"/>
        </w:rPr>
        <w:t xml:space="preserve"> 249,999)</w:t>
      </w:r>
      <w:r w:rsidR="004143C8" w:rsidRPr="00045DAB">
        <w:rPr>
          <w:sz w:val="22"/>
        </w:rPr>
        <w:t>.</w:t>
      </w:r>
      <w:r w:rsidR="00B96287">
        <w:rPr>
          <w:rStyle w:val="FootnoteReference"/>
          <w:sz w:val="22"/>
        </w:rPr>
        <w:footnoteReference w:id="15"/>
      </w:r>
      <w:r w:rsidR="00B96287" w:rsidRPr="00045DAB">
        <w:rPr>
          <w:sz w:val="22"/>
        </w:rPr>
        <w:t xml:space="preserve"> </w:t>
      </w:r>
      <w:r w:rsidR="00083489" w:rsidRPr="00045DAB">
        <w:rPr>
          <w:sz w:val="22"/>
        </w:rPr>
        <w:t xml:space="preserve"> </w:t>
      </w:r>
      <w:r w:rsidR="00837A8F">
        <w:rPr>
          <w:sz w:val="22"/>
          <w:szCs w:val="22"/>
        </w:rPr>
        <w:t>We recognize that</w:t>
      </w:r>
      <w:r w:rsidR="00083489">
        <w:rPr>
          <w:sz w:val="22"/>
          <w:szCs w:val="22"/>
        </w:rPr>
        <w:t xml:space="preserve"> the </w:t>
      </w:r>
      <w:r w:rsidR="00562777" w:rsidRPr="00562777">
        <w:rPr>
          <w:i/>
          <w:sz w:val="22"/>
          <w:szCs w:val="22"/>
        </w:rPr>
        <w:t>Auction 1002 Application Instructions</w:t>
      </w:r>
      <w:r w:rsidR="00562777" w:rsidRPr="00562777">
        <w:rPr>
          <w:sz w:val="22"/>
          <w:szCs w:val="22"/>
        </w:rPr>
        <w:t xml:space="preserve"> </w:t>
      </w:r>
      <w:r w:rsidR="00562777">
        <w:rPr>
          <w:sz w:val="22"/>
          <w:szCs w:val="22"/>
        </w:rPr>
        <w:t>require an applicant seeking the credit to disclose separately the subscribers of each Disclosable Interest Holder and affiliate.</w:t>
      </w:r>
      <w:r w:rsidR="00083489">
        <w:rPr>
          <w:rStyle w:val="FootnoteReference"/>
          <w:sz w:val="22"/>
          <w:szCs w:val="22"/>
        </w:rPr>
        <w:footnoteReference w:id="16"/>
      </w:r>
      <w:r w:rsidR="00C81C31" w:rsidRPr="001F4C9B">
        <w:rPr>
          <w:sz w:val="22"/>
          <w:szCs w:val="22"/>
        </w:rPr>
        <w:t xml:space="preserve">  </w:t>
      </w:r>
      <w:r w:rsidR="00837A8F">
        <w:rPr>
          <w:sz w:val="22"/>
          <w:szCs w:val="22"/>
        </w:rPr>
        <w:t xml:space="preserve">However, an applicant seeking this credit is not required to provide a detailed breakdown of the subscribers associated with any particular operating area, and SAL did not do so.  </w:t>
      </w:r>
      <w:r w:rsidR="00F97EDD" w:rsidRPr="00045DAB">
        <w:rPr>
          <w:sz w:val="22"/>
        </w:rPr>
        <w:t>This subscriber disclosure requirement applie</w:t>
      </w:r>
      <w:r w:rsidR="00E361D8" w:rsidRPr="00045DAB">
        <w:rPr>
          <w:sz w:val="22"/>
        </w:rPr>
        <w:t>s</w:t>
      </w:r>
      <w:r w:rsidR="00F97EDD" w:rsidRPr="00045DAB">
        <w:rPr>
          <w:sz w:val="22"/>
        </w:rPr>
        <w:t xml:space="preserve"> uniformly to </w:t>
      </w:r>
      <w:r w:rsidR="00196FE8" w:rsidRPr="00045DAB">
        <w:rPr>
          <w:sz w:val="22"/>
        </w:rPr>
        <w:t xml:space="preserve">all applicants seeking </w:t>
      </w:r>
      <w:r w:rsidR="00BE78B2" w:rsidRPr="00045DAB">
        <w:rPr>
          <w:sz w:val="22"/>
        </w:rPr>
        <w:t xml:space="preserve">eligibility for </w:t>
      </w:r>
      <w:r w:rsidR="00196FE8" w:rsidRPr="00045DAB">
        <w:rPr>
          <w:sz w:val="22"/>
        </w:rPr>
        <w:t xml:space="preserve">this bidding credit.  </w:t>
      </w:r>
      <w:r w:rsidR="00837A8F" w:rsidRPr="004340D8">
        <w:rPr>
          <w:sz w:val="22"/>
        </w:rPr>
        <w:t xml:space="preserve">Yet none of the other applicants </w:t>
      </w:r>
      <w:r w:rsidR="00837A8F" w:rsidRPr="00EE0C43">
        <w:rPr>
          <w:sz w:val="22"/>
        </w:rPr>
        <w:t>seeking the credit have sought confidentiality for information concerning the numbers of their subscribers.</w:t>
      </w:r>
      <w:r w:rsidR="0070583A" w:rsidRPr="00EE0C43">
        <w:rPr>
          <w:rStyle w:val="FootnoteReference"/>
          <w:sz w:val="22"/>
        </w:rPr>
        <w:footnoteReference w:id="17"/>
      </w:r>
      <w:r w:rsidR="00837A8F" w:rsidRPr="00EE0C43">
        <w:rPr>
          <w:sz w:val="22"/>
        </w:rPr>
        <w:t xml:space="preserve">  Indeed, S</w:t>
      </w:r>
      <w:r w:rsidR="00AC7803" w:rsidRPr="00EE0C43">
        <w:rPr>
          <w:sz w:val="22"/>
        </w:rPr>
        <w:t xml:space="preserve">ecurities and </w:t>
      </w:r>
      <w:r w:rsidR="00837A8F" w:rsidRPr="00EE0C43">
        <w:rPr>
          <w:sz w:val="22"/>
        </w:rPr>
        <w:t>E</w:t>
      </w:r>
      <w:r w:rsidR="00AC7803" w:rsidRPr="00EE0C43">
        <w:rPr>
          <w:sz w:val="22"/>
        </w:rPr>
        <w:t xml:space="preserve">xchange </w:t>
      </w:r>
      <w:r w:rsidR="00837A8F" w:rsidRPr="00EE0C43">
        <w:rPr>
          <w:sz w:val="22"/>
        </w:rPr>
        <w:t>C</w:t>
      </w:r>
      <w:r w:rsidR="00AC7803" w:rsidRPr="00EE0C43">
        <w:rPr>
          <w:sz w:val="22"/>
        </w:rPr>
        <w:t>ommission</w:t>
      </w:r>
      <w:r w:rsidR="00837A8F" w:rsidRPr="00EE0C43">
        <w:rPr>
          <w:sz w:val="22"/>
        </w:rPr>
        <w:t xml:space="preserve"> filings by SAL’s parent company themselves have already disclosed </w:t>
      </w:r>
      <w:r w:rsidR="00550135" w:rsidRPr="00EE0C43">
        <w:rPr>
          <w:sz w:val="22"/>
        </w:rPr>
        <w:t xml:space="preserve">certain </w:t>
      </w:r>
      <w:r w:rsidR="007C1EA2">
        <w:rPr>
          <w:sz w:val="22"/>
        </w:rPr>
        <w:t xml:space="preserve">subscriber </w:t>
      </w:r>
      <w:r w:rsidR="00837A8F" w:rsidRPr="00EE0C43">
        <w:rPr>
          <w:sz w:val="22"/>
        </w:rPr>
        <w:t>information.</w:t>
      </w:r>
      <w:r w:rsidR="00837A8F" w:rsidRPr="00EE0C43">
        <w:rPr>
          <w:rStyle w:val="FootnoteReference"/>
          <w:sz w:val="22"/>
        </w:rPr>
        <w:footnoteReference w:id="18"/>
      </w:r>
      <w:r w:rsidR="00837A8F" w:rsidRPr="00EE0C43">
        <w:rPr>
          <w:sz w:val="22"/>
        </w:rPr>
        <w:t xml:space="preserve">  </w:t>
      </w:r>
      <w:r w:rsidR="00196FE8" w:rsidRPr="00EE0C43">
        <w:rPr>
          <w:sz w:val="22"/>
        </w:rPr>
        <w:t xml:space="preserve">Accordingly, </w:t>
      </w:r>
      <w:r w:rsidR="00BE78B2" w:rsidRPr="00EE0C43">
        <w:rPr>
          <w:sz w:val="22"/>
        </w:rPr>
        <w:t>contrary to SAL’s assertions</w:t>
      </w:r>
      <w:r w:rsidR="00541D7B" w:rsidRPr="00EE0C43">
        <w:rPr>
          <w:sz w:val="22"/>
        </w:rPr>
        <w:t>,</w:t>
      </w:r>
      <w:r w:rsidR="00BE78B2" w:rsidRPr="00EE0C43">
        <w:rPr>
          <w:sz w:val="22"/>
        </w:rPr>
        <w:t xml:space="preserve"> </w:t>
      </w:r>
      <w:r w:rsidR="00196FE8" w:rsidRPr="00EE0C43">
        <w:rPr>
          <w:sz w:val="22"/>
        </w:rPr>
        <w:t xml:space="preserve">we </w:t>
      </w:r>
      <w:r w:rsidR="00C81C31" w:rsidRPr="00EE0C43">
        <w:rPr>
          <w:sz w:val="22"/>
        </w:rPr>
        <w:t xml:space="preserve">are not persuaded that public disclosure of SAL’s </w:t>
      </w:r>
      <w:r w:rsidR="002E6A40" w:rsidRPr="00EE0C43">
        <w:rPr>
          <w:sz w:val="22"/>
        </w:rPr>
        <w:t>s</w:t>
      </w:r>
      <w:r w:rsidR="00C81C31" w:rsidRPr="00EE0C43">
        <w:rPr>
          <w:sz w:val="22"/>
        </w:rPr>
        <w:t>ubscriber</w:t>
      </w:r>
      <w:r w:rsidR="00103B6C" w:rsidRPr="00EE0C43">
        <w:rPr>
          <w:sz w:val="22"/>
        </w:rPr>
        <w:t xml:space="preserve"> number</w:t>
      </w:r>
      <w:r w:rsidR="002E6A40" w:rsidRPr="00EE0C43">
        <w:rPr>
          <w:sz w:val="22"/>
        </w:rPr>
        <w:t>s</w:t>
      </w:r>
      <w:r w:rsidR="00C81C31" w:rsidRPr="00EE0C43">
        <w:rPr>
          <w:sz w:val="22"/>
        </w:rPr>
        <w:t xml:space="preserve"> places SAL at a </w:t>
      </w:r>
      <w:r w:rsidR="00294115" w:rsidRPr="00EE0C43">
        <w:rPr>
          <w:sz w:val="22"/>
        </w:rPr>
        <w:t>substantial</w:t>
      </w:r>
      <w:r w:rsidR="00C81C31" w:rsidRPr="00EE0C43">
        <w:rPr>
          <w:sz w:val="22"/>
        </w:rPr>
        <w:t xml:space="preserve"> competitive disadvantage</w:t>
      </w:r>
      <w:r w:rsidR="00F97EDD" w:rsidRPr="00EE0C43">
        <w:rPr>
          <w:sz w:val="22"/>
        </w:rPr>
        <w:t xml:space="preserve"> relative to other</w:t>
      </w:r>
      <w:r w:rsidR="00741E8A" w:rsidRPr="00EE0C43">
        <w:rPr>
          <w:sz w:val="22"/>
        </w:rPr>
        <w:t xml:space="preserve"> Auction 1002</w:t>
      </w:r>
      <w:r w:rsidR="00F97EDD" w:rsidRPr="00EE0C43">
        <w:rPr>
          <w:sz w:val="22"/>
        </w:rPr>
        <w:t xml:space="preserve"> applicants seeking a rural service provider bidding credit</w:t>
      </w:r>
      <w:r w:rsidR="00D97986" w:rsidRPr="00EE0C43">
        <w:rPr>
          <w:sz w:val="22"/>
        </w:rPr>
        <w:t xml:space="preserve"> or provides any sort of “blueprint” for </w:t>
      </w:r>
      <w:r w:rsidR="00C07D54" w:rsidRPr="00EE0C43">
        <w:rPr>
          <w:sz w:val="22"/>
          <w:szCs w:val="22"/>
        </w:rPr>
        <w:t>SAL’s</w:t>
      </w:r>
      <w:r w:rsidR="00196FE8" w:rsidRPr="00EE0C43">
        <w:rPr>
          <w:sz w:val="22"/>
        </w:rPr>
        <w:t xml:space="preserve"> </w:t>
      </w:r>
      <w:r w:rsidR="00D97986" w:rsidRPr="00EE0C43">
        <w:rPr>
          <w:sz w:val="22"/>
        </w:rPr>
        <w:t>competitors in their marketing strategies.</w:t>
      </w:r>
      <w:r w:rsidR="007D32F9" w:rsidRPr="00EE0C43">
        <w:rPr>
          <w:rStyle w:val="FootnoteReference"/>
          <w:sz w:val="22"/>
        </w:rPr>
        <w:footnoteReference w:id="19"/>
      </w:r>
      <w:r w:rsidR="007D32F9" w:rsidRPr="00045DAB">
        <w:rPr>
          <w:sz w:val="22"/>
        </w:rPr>
        <w:t xml:space="preserve"> </w:t>
      </w:r>
      <w:r w:rsidR="004143C8" w:rsidRPr="00045DAB">
        <w:rPr>
          <w:sz w:val="22"/>
        </w:rPr>
        <w:t xml:space="preserve">  </w:t>
      </w:r>
    </w:p>
    <w:p w14:paraId="7477DE47" w14:textId="77777777" w:rsidR="00402450" w:rsidRPr="00045DAB" w:rsidRDefault="00402450">
      <w:pPr>
        <w:ind w:firstLine="720"/>
        <w:rPr>
          <w:sz w:val="22"/>
        </w:rPr>
      </w:pPr>
    </w:p>
    <w:p w14:paraId="646E7530" w14:textId="25E9019E" w:rsidR="009E1DB5" w:rsidRDefault="00F834A4" w:rsidP="0077172C">
      <w:pPr>
        <w:ind w:firstLine="720"/>
        <w:rPr>
          <w:sz w:val="22"/>
        </w:rPr>
      </w:pPr>
      <w:r>
        <w:rPr>
          <w:sz w:val="22"/>
        </w:rPr>
        <w:t>Furthermore</w:t>
      </w:r>
      <w:r w:rsidR="00BD2B0B" w:rsidRPr="00A30F1E">
        <w:rPr>
          <w:sz w:val="22"/>
        </w:rPr>
        <w:t xml:space="preserve">, we </w:t>
      </w:r>
      <w:r w:rsidR="0077172C" w:rsidRPr="00A30F1E">
        <w:rPr>
          <w:sz w:val="22"/>
        </w:rPr>
        <w:t>find the cases SAL cites in support of its claim to be inapposite.</w:t>
      </w:r>
      <w:r w:rsidR="0077172C" w:rsidRPr="00A30F1E">
        <w:rPr>
          <w:rStyle w:val="FootnoteReference"/>
          <w:sz w:val="22"/>
        </w:rPr>
        <w:footnoteReference w:id="20"/>
      </w:r>
      <w:r w:rsidR="0077172C" w:rsidRPr="00A30F1E">
        <w:rPr>
          <w:sz w:val="22"/>
        </w:rPr>
        <w:t xml:space="preserve">  As a threshold matter, those cases do not involve subscriber</w:t>
      </w:r>
      <w:r w:rsidR="00740306" w:rsidRPr="00A30F1E">
        <w:rPr>
          <w:sz w:val="22"/>
        </w:rPr>
        <w:t xml:space="preserve"> </w:t>
      </w:r>
      <w:r w:rsidR="003369C8" w:rsidRPr="00A30F1E">
        <w:rPr>
          <w:sz w:val="22"/>
        </w:rPr>
        <w:t>numbers</w:t>
      </w:r>
      <w:r w:rsidR="0077172C" w:rsidRPr="00A30F1E">
        <w:rPr>
          <w:sz w:val="22"/>
        </w:rPr>
        <w:t xml:space="preserve">.  </w:t>
      </w:r>
      <w:r w:rsidR="0077172C" w:rsidRPr="00A30F1E">
        <w:rPr>
          <w:i/>
          <w:sz w:val="22"/>
        </w:rPr>
        <w:t xml:space="preserve">Mobile Relay Associates </w:t>
      </w:r>
      <w:r w:rsidR="0077172C" w:rsidRPr="00A30F1E">
        <w:rPr>
          <w:sz w:val="22"/>
        </w:rPr>
        <w:t xml:space="preserve">concerns confidential treatment of customer lists containing customer names and numbers, </w:t>
      </w:r>
      <w:r w:rsidR="0077172C" w:rsidRPr="00A30F1E">
        <w:rPr>
          <w:i/>
          <w:sz w:val="22"/>
        </w:rPr>
        <w:t>Antenna Systems</w:t>
      </w:r>
      <w:r w:rsidR="0077172C" w:rsidRPr="00A30F1E">
        <w:rPr>
          <w:sz w:val="22"/>
        </w:rPr>
        <w:t xml:space="preserve"> concerns confidential treatment of customer records, price lists, sales invoices</w:t>
      </w:r>
      <w:r w:rsidR="00740306" w:rsidRPr="00A30F1E">
        <w:rPr>
          <w:sz w:val="22"/>
        </w:rPr>
        <w:t>,</w:t>
      </w:r>
      <w:r w:rsidR="0077172C" w:rsidRPr="00A30F1E">
        <w:rPr>
          <w:sz w:val="22"/>
        </w:rPr>
        <w:t xml:space="preserve"> and presentations, and device and equipment manufacturing and distribution data, and </w:t>
      </w:r>
      <w:r w:rsidR="0077172C" w:rsidRPr="00A30F1E">
        <w:rPr>
          <w:i/>
          <w:sz w:val="22"/>
        </w:rPr>
        <w:t>Ward &amp; Mendelsohn</w:t>
      </w:r>
      <w:r w:rsidR="0077172C" w:rsidRPr="00A30F1E">
        <w:rPr>
          <w:sz w:val="22"/>
        </w:rPr>
        <w:t xml:space="preserve"> involves non-disclosure of customer sales contracts.</w:t>
      </w:r>
      <w:r w:rsidR="0077172C" w:rsidRPr="00A30F1E">
        <w:rPr>
          <w:rStyle w:val="FootnoteReference"/>
          <w:sz w:val="22"/>
        </w:rPr>
        <w:footnoteReference w:id="21"/>
      </w:r>
      <w:r w:rsidR="0077172C" w:rsidRPr="00A30F1E">
        <w:rPr>
          <w:sz w:val="22"/>
        </w:rPr>
        <w:t xml:space="preserve">  The type of </w:t>
      </w:r>
      <w:r w:rsidR="009E5826" w:rsidRPr="00A30F1E">
        <w:rPr>
          <w:sz w:val="22"/>
        </w:rPr>
        <w:t xml:space="preserve">sensitive </w:t>
      </w:r>
      <w:r w:rsidR="0077172C" w:rsidRPr="00A30F1E">
        <w:rPr>
          <w:sz w:val="22"/>
        </w:rPr>
        <w:t xml:space="preserve">customer-specific information at issue in those cases </w:t>
      </w:r>
      <w:r w:rsidR="009E5826" w:rsidRPr="00A30F1E">
        <w:rPr>
          <w:sz w:val="22"/>
        </w:rPr>
        <w:t>differs significantly from</w:t>
      </w:r>
      <w:r w:rsidR="0077172C" w:rsidRPr="00A30F1E">
        <w:rPr>
          <w:sz w:val="22"/>
        </w:rPr>
        <w:t xml:space="preserve"> the aggregate financial or subscribership data that </w:t>
      </w:r>
      <w:r w:rsidR="009E5826" w:rsidRPr="00A30F1E">
        <w:rPr>
          <w:sz w:val="22"/>
        </w:rPr>
        <w:t xml:space="preserve">must </w:t>
      </w:r>
      <w:r w:rsidR="0077172C" w:rsidRPr="00A30F1E">
        <w:rPr>
          <w:sz w:val="22"/>
        </w:rPr>
        <w:t xml:space="preserve">be included in an auction application by an applicant seeking a bidding credit, as competitors could use </w:t>
      </w:r>
      <w:r w:rsidR="009E5826" w:rsidRPr="00A30F1E">
        <w:rPr>
          <w:sz w:val="22"/>
        </w:rPr>
        <w:t>such customer records, pricing</w:t>
      </w:r>
      <w:r w:rsidR="00C07D54" w:rsidRPr="001F4C9B">
        <w:rPr>
          <w:sz w:val="22"/>
          <w:szCs w:val="22"/>
        </w:rPr>
        <w:t>,</w:t>
      </w:r>
      <w:r w:rsidR="009E5826" w:rsidRPr="00A30F1E">
        <w:rPr>
          <w:sz w:val="22"/>
        </w:rPr>
        <w:t xml:space="preserve"> and data</w:t>
      </w:r>
      <w:r w:rsidR="0077172C" w:rsidRPr="00A30F1E">
        <w:rPr>
          <w:sz w:val="22"/>
        </w:rPr>
        <w:t xml:space="preserve"> to directly solicit the parties’ customers.</w:t>
      </w:r>
      <w:r w:rsidR="0077172C" w:rsidRPr="00A30F1E">
        <w:rPr>
          <w:rStyle w:val="FootnoteReference"/>
          <w:sz w:val="22"/>
        </w:rPr>
        <w:footnoteReference w:id="22"/>
      </w:r>
      <w:r w:rsidR="0077172C" w:rsidRPr="00A30F1E">
        <w:rPr>
          <w:sz w:val="22"/>
        </w:rPr>
        <w:t xml:space="preserve">  </w:t>
      </w:r>
      <w:r w:rsidR="00A746FF">
        <w:rPr>
          <w:sz w:val="22"/>
        </w:rPr>
        <w:t xml:space="preserve">Moreover, in </w:t>
      </w:r>
      <w:r w:rsidR="00A746FF">
        <w:rPr>
          <w:i/>
          <w:sz w:val="22"/>
        </w:rPr>
        <w:t xml:space="preserve">Ward and Mendelsohn </w:t>
      </w:r>
      <w:r w:rsidR="00A746FF">
        <w:rPr>
          <w:sz w:val="22"/>
        </w:rPr>
        <w:t xml:space="preserve">neither of the party’s competitors was being required to disclose its sales contracts; here, the subscriber numbers of all </w:t>
      </w:r>
      <w:r w:rsidR="005D082C">
        <w:rPr>
          <w:sz w:val="22"/>
        </w:rPr>
        <w:t xml:space="preserve">other </w:t>
      </w:r>
      <w:r w:rsidR="00A746FF">
        <w:rPr>
          <w:sz w:val="22"/>
        </w:rPr>
        <w:t>applicants seeking a rural service provider bidding credit in Auction 1002 are publicly available.</w:t>
      </w:r>
      <w:r w:rsidR="006163FA">
        <w:rPr>
          <w:sz w:val="22"/>
        </w:rPr>
        <w:t xml:space="preserve">  </w:t>
      </w:r>
    </w:p>
    <w:p w14:paraId="2018EF11" w14:textId="77777777" w:rsidR="009E1DB5" w:rsidRDefault="009E1DB5" w:rsidP="0077172C">
      <w:pPr>
        <w:ind w:firstLine="720"/>
        <w:rPr>
          <w:sz w:val="22"/>
        </w:rPr>
      </w:pPr>
    </w:p>
    <w:p w14:paraId="5613835E" w14:textId="76EFBE2C" w:rsidR="00DE5C5F" w:rsidRPr="00EA3BAA" w:rsidRDefault="00F834A4" w:rsidP="0077172C">
      <w:pPr>
        <w:ind w:firstLine="720"/>
        <w:rPr>
          <w:sz w:val="22"/>
        </w:rPr>
      </w:pPr>
      <w:r w:rsidRPr="00A30F1E">
        <w:rPr>
          <w:sz w:val="22"/>
        </w:rPr>
        <w:t>Finally</w:t>
      </w:r>
      <w:r w:rsidR="002C32CD">
        <w:rPr>
          <w:sz w:val="22"/>
        </w:rPr>
        <w:t xml:space="preserve">, </w:t>
      </w:r>
      <w:r w:rsidR="009E1DB5">
        <w:rPr>
          <w:sz w:val="22"/>
        </w:rPr>
        <w:t xml:space="preserve">while </w:t>
      </w:r>
      <w:r w:rsidR="006163FA">
        <w:rPr>
          <w:sz w:val="22"/>
        </w:rPr>
        <w:t>the Commission has simplified the process for a party to request confidential treatment</w:t>
      </w:r>
      <w:r w:rsidR="009E1DB5">
        <w:rPr>
          <w:sz w:val="22"/>
        </w:rPr>
        <w:t xml:space="preserve"> of the data provided in </w:t>
      </w:r>
      <w:r w:rsidR="002C32CD">
        <w:rPr>
          <w:sz w:val="22"/>
        </w:rPr>
        <w:t>F</w:t>
      </w:r>
      <w:r w:rsidR="009E1DB5">
        <w:rPr>
          <w:sz w:val="22"/>
        </w:rPr>
        <w:t>orm</w:t>
      </w:r>
      <w:r w:rsidR="002C32CD">
        <w:rPr>
          <w:sz w:val="22"/>
        </w:rPr>
        <w:t xml:space="preserve"> 477</w:t>
      </w:r>
      <w:r w:rsidR="006163FA">
        <w:rPr>
          <w:sz w:val="22"/>
        </w:rPr>
        <w:t>,</w:t>
      </w:r>
      <w:r w:rsidR="009E1DB5">
        <w:rPr>
          <w:sz w:val="22"/>
        </w:rPr>
        <w:t xml:space="preserve"> confidential treatment is not automatically granted as SAL suggests.</w:t>
      </w:r>
      <w:r w:rsidR="009E1DB5">
        <w:rPr>
          <w:rStyle w:val="FootnoteReference"/>
          <w:sz w:val="22"/>
        </w:rPr>
        <w:footnoteReference w:id="23"/>
      </w:r>
      <w:r w:rsidR="009E1DB5">
        <w:rPr>
          <w:sz w:val="22"/>
        </w:rPr>
        <w:t xml:space="preserve">  If the Commission receives a request for, or proposes disclosure of, t</w:t>
      </w:r>
      <w:r w:rsidR="006163FA">
        <w:rPr>
          <w:sz w:val="22"/>
        </w:rPr>
        <w:t xml:space="preserve">he </w:t>
      </w:r>
      <w:r w:rsidR="009E1DB5">
        <w:rPr>
          <w:sz w:val="22"/>
        </w:rPr>
        <w:t xml:space="preserve">information at issue, the party seeking confidential treatment </w:t>
      </w:r>
      <w:r w:rsidR="002C32CD">
        <w:rPr>
          <w:sz w:val="22"/>
        </w:rPr>
        <w:t xml:space="preserve">of its data </w:t>
      </w:r>
      <w:r w:rsidR="009E1DB5">
        <w:rPr>
          <w:sz w:val="22"/>
        </w:rPr>
        <w:t xml:space="preserve">must make a </w:t>
      </w:r>
      <w:r w:rsidR="00AF75F4">
        <w:rPr>
          <w:sz w:val="22"/>
        </w:rPr>
        <w:t>“</w:t>
      </w:r>
      <w:r w:rsidR="009E1DB5">
        <w:rPr>
          <w:sz w:val="22"/>
        </w:rPr>
        <w:t>full showing</w:t>
      </w:r>
      <w:r w:rsidR="00AF75F4">
        <w:rPr>
          <w:sz w:val="22"/>
        </w:rPr>
        <w:t>”</w:t>
      </w:r>
      <w:r w:rsidR="009E1DB5">
        <w:rPr>
          <w:sz w:val="22"/>
        </w:rPr>
        <w:t xml:space="preserve"> under the </w:t>
      </w:r>
      <w:r w:rsidR="006163FA">
        <w:rPr>
          <w:sz w:val="22"/>
        </w:rPr>
        <w:t>Commission</w:t>
      </w:r>
      <w:r w:rsidR="009E1DB5">
        <w:rPr>
          <w:sz w:val="22"/>
        </w:rPr>
        <w:t>’s rules.</w:t>
      </w:r>
      <w:r w:rsidR="009E1DB5">
        <w:rPr>
          <w:rStyle w:val="FootnoteReference"/>
          <w:sz w:val="22"/>
        </w:rPr>
        <w:footnoteReference w:id="24"/>
      </w:r>
      <w:r w:rsidR="009E1DB5">
        <w:rPr>
          <w:sz w:val="22"/>
        </w:rPr>
        <w:t xml:space="preserve">  </w:t>
      </w:r>
      <w:r w:rsidR="002C32CD">
        <w:rPr>
          <w:sz w:val="22"/>
        </w:rPr>
        <w:t>T</w:t>
      </w:r>
      <w:r w:rsidR="009E1DB5">
        <w:rPr>
          <w:sz w:val="22"/>
        </w:rPr>
        <w:t xml:space="preserve">he Commission </w:t>
      </w:r>
      <w:r w:rsidR="002C32CD">
        <w:rPr>
          <w:sz w:val="22"/>
        </w:rPr>
        <w:t xml:space="preserve">has </w:t>
      </w:r>
      <w:r w:rsidR="009E1DB5">
        <w:rPr>
          <w:sz w:val="22"/>
        </w:rPr>
        <w:t>made clear that it has not made any findings about whether the data elements requested in Form 477 would satisfy the Commission’s standards for confidentiality.</w:t>
      </w:r>
      <w:r w:rsidR="002C32CD">
        <w:rPr>
          <w:rStyle w:val="FootnoteReference"/>
          <w:sz w:val="22"/>
        </w:rPr>
        <w:footnoteReference w:id="25"/>
      </w:r>
      <w:r w:rsidR="009E1DB5">
        <w:rPr>
          <w:sz w:val="22"/>
        </w:rPr>
        <w:t xml:space="preserve">  </w:t>
      </w:r>
    </w:p>
    <w:p w14:paraId="45A39479" w14:textId="77777777" w:rsidR="0077172C" w:rsidRPr="00EA3BAA" w:rsidRDefault="0077172C" w:rsidP="0077172C">
      <w:pPr>
        <w:ind w:firstLine="720"/>
        <w:rPr>
          <w:sz w:val="22"/>
        </w:rPr>
      </w:pPr>
      <w:r w:rsidRPr="00EA3BAA">
        <w:rPr>
          <w:sz w:val="22"/>
        </w:rPr>
        <w:t xml:space="preserve"> </w:t>
      </w:r>
    </w:p>
    <w:p w14:paraId="6403EB0A" w14:textId="755C2F66" w:rsidR="008E33AA" w:rsidRPr="00EE0C43" w:rsidRDefault="005754C7" w:rsidP="008E33AA">
      <w:pPr>
        <w:ind w:firstLine="720"/>
        <w:rPr>
          <w:sz w:val="22"/>
          <w:szCs w:val="22"/>
        </w:rPr>
      </w:pPr>
      <w:r w:rsidRPr="006E5A5E">
        <w:rPr>
          <w:sz w:val="22"/>
          <w:szCs w:val="22"/>
        </w:rPr>
        <w:t xml:space="preserve">Accordingly, </w:t>
      </w:r>
      <w:r w:rsidR="00D4489F" w:rsidRPr="006E5A5E">
        <w:rPr>
          <w:sz w:val="22"/>
          <w:szCs w:val="22"/>
        </w:rPr>
        <w:t>SAL’s</w:t>
      </w:r>
      <w:r w:rsidRPr="006E5A5E">
        <w:rPr>
          <w:sz w:val="22"/>
          <w:szCs w:val="22"/>
        </w:rPr>
        <w:t xml:space="preserve"> request for confidential treatment of </w:t>
      </w:r>
      <w:r w:rsidR="00B92C6B" w:rsidRPr="006E5A5E">
        <w:rPr>
          <w:sz w:val="22"/>
          <w:szCs w:val="22"/>
        </w:rPr>
        <w:t>subscriber</w:t>
      </w:r>
      <w:r w:rsidRPr="006E5A5E">
        <w:rPr>
          <w:sz w:val="22"/>
          <w:szCs w:val="22"/>
        </w:rPr>
        <w:t xml:space="preserve"> information </w:t>
      </w:r>
      <w:r w:rsidR="008743DA">
        <w:rPr>
          <w:sz w:val="22"/>
          <w:szCs w:val="22"/>
        </w:rPr>
        <w:t xml:space="preserve">required to be </w:t>
      </w:r>
      <w:r w:rsidR="008743DA" w:rsidRPr="006E5A5E">
        <w:rPr>
          <w:sz w:val="22"/>
          <w:szCs w:val="22"/>
        </w:rPr>
        <w:t xml:space="preserve">submitted </w:t>
      </w:r>
      <w:r w:rsidR="008743DA">
        <w:rPr>
          <w:sz w:val="22"/>
          <w:szCs w:val="22"/>
        </w:rPr>
        <w:t xml:space="preserve">for assessing eligibility for a rural service provider bidding credit </w:t>
      </w:r>
      <w:r w:rsidRPr="006E5A5E">
        <w:rPr>
          <w:sz w:val="22"/>
          <w:szCs w:val="22"/>
        </w:rPr>
        <w:t>in</w:t>
      </w:r>
      <w:r w:rsidR="00D4489F" w:rsidRPr="006E5A5E">
        <w:rPr>
          <w:sz w:val="22"/>
          <w:szCs w:val="22"/>
        </w:rPr>
        <w:t xml:space="preserve"> it</w:t>
      </w:r>
      <w:r w:rsidR="00960297" w:rsidRPr="006E5A5E">
        <w:rPr>
          <w:sz w:val="22"/>
          <w:szCs w:val="22"/>
        </w:rPr>
        <w:t>s</w:t>
      </w:r>
      <w:r w:rsidRPr="006E5A5E">
        <w:rPr>
          <w:sz w:val="22"/>
          <w:szCs w:val="22"/>
        </w:rPr>
        <w:t xml:space="preserve"> FCC Form 175 </w:t>
      </w:r>
      <w:r w:rsidR="00B92C6B" w:rsidRPr="006E5A5E">
        <w:rPr>
          <w:sz w:val="22"/>
          <w:szCs w:val="22"/>
        </w:rPr>
        <w:t>application</w:t>
      </w:r>
      <w:r w:rsidRPr="006E5A5E">
        <w:rPr>
          <w:sz w:val="22"/>
          <w:szCs w:val="22"/>
        </w:rPr>
        <w:t xml:space="preserve"> for Auction </w:t>
      </w:r>
      <w:r w:rsidR="00960297" w:rsidRPr="006E5A5E">
        <w:rPr>
          <w:sz w:val="22"/>
          <w:szCs w:val="22"/>
        </w:rPr>
        <w:t>1002</w:t>
      </w:r>
      <w:r w:rsidR="008324ED">
        <w:rPr>
          <w:sz w:val="22"/>
          <w:szCs w:val="22"/>
        </w:rPr>
        <w:t xml:space="preserve">, as well as its request for confidential treatment of the argument it makes by attachment to the application in support of </w:t>
      </w:r>
      <w:r w:rsidR="00430520">
        <w:rPr>
          <w:sz w:val="22"/>
          <w:szCs w:val="22"/>
        </w:rPr>
        <w:t xml:space="preserve">its </w:t>
      </w:r>
      <w:r w:rsidR="008324ED">
        <w:rPr>
          <w:sz w:val="22"/>
          <w:szCs w:val="22"/>
        </w:rPr>
        <w:t>eligibility claim,</w:t>
      </w:r>
      <w:r w:rsidRPr="006E5A5E">
        <w:rPr>
          <w:sz w:val="22"/>
          <w:szCs w:val="22"/>
        </w:rPr>
        <w:t xml:space="preserve"> is denied.  </w:t>
      </w:r>
      <w:r w:rsidR="00CC0682" w:rsidRPr="00A30F1E">
        <w:rPr>
          <w:sz w:val="22"/>
          <w:szCs w:val="22"/>
        </w:rPr>
        <w:t>As we stated in our April 6, 2016</w:t>
      </w:r>
      <w:r w:rsidR="00DC501E">
        <w:rPr>
          <w:sz w:val="22"/>
          <w:szCs w:val="22"/>
        </w:rPr>
        <w:t>,</w:t>
      </w:r>
      <w:r w:rsidR="00CC0682" w:rsidRPr="00A30F1E">
        <w:rPr>
          <w:sz w:val="22"/>
          <w:szCs w:val="22"/>
        </w:rPr>
        <w:t xml:space="preserve"> telephonic denial of SAL’s request, </w:t>
      </w:r>
      <w:r w:rsidR="00533922" w:rsidRPr="00A30F1E">
        <w:rPr>
          <w:sz w:val="22"/>
          <w:szCs w:val="22"/>
        </w:rPr>
        <w:t xml:space="preserve">SAL may </w:t>
      </w:r>
      <w:r w:rsidR="008E33AA" w:rsidRPr="00A30F1E">
        <w:rPr>
          <w:sz w:val="22"/>
          <w:szCs w:val="22"/>
        </w:rPr>
        <w:t>file an application for</w:t>
      </w:r>
      <w:r w:rsidR="00407112" w:rsidRPr="00A30F1E">
        <w:rPr>
          <w:sz w:val="22"/>
          <w:szCs w:val="22"/>
        </w:rPr>
        <w:t xml:space="preserve"> </w:t>
      </w:r>
      <w:r w:rsidR="00407112" w:rsidRPr="00EE0C43">
        <w:rPr>
          <w:sz w:val="22"/>
          <w:szCs w:val="22"/>
        </w:rPr>
        <w:t>review by the Commission of the</w:t>
      </w:r>
      <w:r w:rsidR="008E33AA" w:rsidRPr="00EE0C43">
        <w:rPr>
          <w:sz w:val="22"/>
          <w:szCs w:val="22"/>
        </w:rPr>
        <w:t xml:space="preserve"> denial</w:t>
      </w:r>
      <w:r w:rsidR="00407112" w:rsidRPr="00EE0C43">
        <w:rPr>
          <w:sz w:val="22"/>
          <w:szCs w:val="22"/>
        </w:rPr>
        <w:t xml:space="preserve"> of its confidentiality request</w:t>
      </w:r>
      <w:r w:rsidR="009717CF" w:rsidRPr="00EE0C43">
        <w:rPr>
          <w:sz w:val="22"/>
          <w:szCs w:val="22"/>
        </w:rPr>
        <w:t xml:space="preserve"> or abandon its claim for a rural service provider bidding credit</w:t>
      </w:r>
      <w:r w:rsidR="008E33AA" w:rsidRPr="00EE0C43">
        <w:rPr>
          <w:sz w:val="22"/>
          <w:szCs w:val="22"/>
        </w:rPr>
        <w:t>.</w:t>
      </w:r>
      <w:r w:rsidR="00407112" w:rsidRPr="00EE0C43">
        <w:rPr>
          <w:rStyle w:val="FootnoteReference"/>
          <w:sz w:val="22"/>
          <w:szCs w:val="22"/>
        </w:rPr>
        <w:footnoteReference w:id="26"/>
      </w:r>
      <w:r w:rsidR="008E33AA" w:rsidRPr="00EE0C43">
        <w:rPr>
          <w:sz w:val="22"/>
          <w:szCs w:val="22"/>
        </w:rPr>
        <w:t xml:space="preserve">  </w:t>
      </w:r>
      <w:r w:rsidR="00533922" w:rsidRPr="00EE0C43">
        <w:rPr>
          <w:sz w:val="22"/>
          <w:szCs w:val="22"/>
        </w:rPr>
        <w:t>SAL</w:t>
      </w:r>
      <w:r w:rsidR="006F19CE" w:rsidRPr="00EE0C43">
        <w:rPr>
          <w:sz w:val="22"/>
          <w:szCs w:val="22"/>
        </w:rPr>
        <w:t xml:space="preserve"> may </w:t>
      </w:r>
      <w:r w:rsidR="008248DB" w:rsidRPr="00EE0C43">
        <w:rPr>
          <w:sz w:val="22"/>
          <w:szCs w:val="22"/>
        </w:rPr>
        <w:t xml:space="preserve">seek review of this decision </w:t>
      </w:r>
      <w:r w:rsidR="002F0AE5" w:rsidRPr="00EE0C43">
        <w:rPr>
          <w:sz w:val="22"/>
          <w:szCs w:val="22"/>
        </w:rPr>
        <w:t xml:space="preserve">within 10 business days of the release of this </w:t>
      </w:r>
      <w:r w:rsidR="00DD61C5" w:rsidRPr="00EE0C43">
        <w:rPr>
          <w:sz w:val="22"/>
          <w:szCs w:val="22"/>
        </w:rPr>
        <w:t xml:space="preserve">letter, that is, </w:t>
      </w:r>
      <w:r w:rsidR="00407112" w:rsidRPr="00EE0C43">
        <w:rPr>
          <w:sz w:val="22"/>
          <w:szCs w:val="22"/>
        </w:rPr>
        <w:t xml:space="preserve">by </w:t>
      </w:r>
      <w:r w:rsidR="00BE7150" w:rsidRPr="00EE0C43">
        <w:rPr>
          <w:sz w:val="22"/>
          <w:szCs w:val="22"/>
        </w:rPr>
        <w:t xml:space="preserve">May </w:t>
      </w:r>
      <w:r w:rsidR="009665F8">
        <w:rPr>
          <w:sz w:val="22"/>
          <w:szCs w:val="22"/>
        </w:rPr>
        <w:t>4</w:t>
      </w:r>
      <w:r w:rsidR="00407112" w:rsidRPr="00EE0C43">
        <w:rPr>
          <w:sz w:val="22"/>
          <w:szCs w:val="22"/>
        </w:rPr>
        <w:t xml:space="preserve">, </w:t>
      </w:r>
      <w:r w:rsidR="004C52D2" w:rsidRPr="00EE0C43">
        <w:rPr>
          <w:sz w:val="22"/>
          <w:szCs w:val="22"/>
        </w:rPr>
        <w:t>2016</w:t>
      </w:r>
      <w:r w:rsidR="006F19CE" w:rsidRPr="00EE0C43">
        <w:rPr>
          <w:sz w:val="22"/>
          <w:szCs w:val="22"/>
        </w:rPr>
        <w:t>.</w:t>
      </w:r>
      <w:r w:rsidR="00FC5B02" w:rsidRPr="00EE0C43">
        <w:rPr>
          <w:rStyle w:val="FootnoteReference"/>
          <w:sz w:val="22"/>
          <w:szCs w:val="22"/>
        </w:rPr>
        <w:footnoteReference w:id="27"/>
      </w:r>
      <w:r w:rsidR="004C52D2" w:rsidRPr="00EE0C43">
        <w:rPr>
          <w:sz w:val="22"/>
          <w:szCs w:val="22"/>
        </w:rPr>
        <w:t xml:space="preserve"> </w:t>
      </w:r>
      <w:r w:rsidR="006F19CE" w:rsidRPr="00EE0C43">
        <w:rPr>
          <w:sz w:val="22"/>
          <w:szCs w:val="22"/>
        </w:rPr>
        <w:t xml:space="preserve"> If it fails to do so, </w:t>
      </w:r>
      <w:r w:rsidR="00702C68" w:rsidRPr="00EE0C43">
        <w:rPr>
          <w:sz w:val="22"/>
          <w:szCs w:val="22"/>
        </w:rPr>
        <w:t xml:space="preserve">we will </w:t>
      </w:r>
      <w:r w:rsidR="00E84AF0" w:rsidRPr="00EE0C43">
        <w:rPr>
          <w:sz w:val="22"/>
          <w:szCs w:val="22"/>
        </w:rPr>
        <w:t xml:space="preserve">make the </w:t>
      </w:r>
      <w:r w:rsidR="00C2581C" w:rsidRPr="00EE0C43">
        <w:rPr>
          <w:sz w:val="22"/>
          <w:szCs w:val="22"/>
        </w:rPr>
        <w:t xml:space="preserve">subscriber </w:t>
      </w:r>
      <w:r w:rsidR="00E84AF0" w:rsidRPr="00EE0C43">
        <w:rPr>
          <w:sz w:val="22"/>
          <w:szCs w:val="22"/>
        </w:rPr>
        <w:t xml:space="preserve">information </w:t>
      </w:r>
      <w:r w:rsidR="008A11FD" w:rsidRPr="00EE0C43">
        <w:rPr>
          <w:sz w:val="22"/>
          <w:szCs w:val="22"/>
        </w:rPr>
        <w:t xml:space="preserve">contained in SAL’s application and any </w:t>
      </w:r>
      <w:r w:rsidR="00E42B98">
        <w:rPr>
          <w:sz w:val="22"/>
          <w:szCs w:val="22"/>
        </w:rPr>
        <w:t>such information submitted by</w:t>
      </w:r>
      <w:r w:rsidR="008A11FD" w:rsidRPr="00EE0C43">
        <w:rPr>
          <w:sz w:val="22"/>
          <w:szCs w:val="22"/>
        </w:rPr>
        <w:t xml:space="preserve"> attachment </w:t>
      </w:r>
      <w:r w:rsidR="00E84AF0" w:rsidRPr="00EE0C43">
        <w:rPr>
          <w:sz w:val="22"/>
          <w:szCs w:val="22"/>
        </w:rPr>
        <w:t>available</w:t>
      </w:r>
      <w:r w:rsidR="008A11FD" w:rsidRPr="00EE0C43">
        <w:rPr>
          <w:sz w:val="22"/>
          <w:szCs w:val="22"/>
        </w:rPr>
        <w:t xml:space="preserve"> to the public</w:t>
      </w:r>
      <w:r w:rsidR="00702C68" w:rsidRPr="00EE0C43">
        <w:rPr>
          <w:sz w:val="22"/>
          <w:szCs w:val="22"/>
        </w:rPr>
        <w:t>, consistent with our</w:t>
      </w:r>
      <w:r w:rsidR="00172BBB" w:rsidRPr="00EE0C43">
        <w:rPr>
          <w:sz w:val="22"/>
          <w:szCs w:val="22"/>
        </w:rPr>
        <w:t xml:space="preserve"> </w:t>
      </w:r>
      <w:r w:rsidR="008A11FD" w:rsidRPr="00EE0C43">
        <w:rPr>
          <w:sz w:val="22"/>
          <w:szCs w:val="22"/>
        </w:rPr>
        <w:t>information disclosure procedures</w:t>
      </w:r>
      <w:r w:rsidR="00702C68" w:rsidRPr="00EE0C43">
        <w:rPr>
          <w:sz w:val="22"/>
          <w:szCs w:val="22"/>
        </w:rPr>
        <w:t xml:space="preserve"> for </w:t>
      </w:r>
      <w:r w:rsidR="00680534" w:rsidRPr="00EE0C43">
        <w:rPr>
          <w:sz w:val="22"/>
          <w:szCs w:val="22"/>
        </w:rPr>
        <w:t>A</w:t>
      </w:r>
      <w:r w:rsidR="00702C68" w:rsidRPr="00EE0C43">
        <w:rPr>
          <w:sz w:val="22"/>
          <w:szCs w:val="22"/>
        </w:rPr>
        <w:t xml:space="preserve">uction </w:t>
      </w:r>
      <w:r w:rsidR="00680534" w:rsidRPr="00EE0C43">
        <w:rPr>
          <w:sz w:val="22"/>
          <w:szCs w:val="22"/>
        </w:rPr>
        <w:t xml:space="preserve">1002 </w:t>
      </w:r>
      <w:r w:rsidR="00702C68" w:rsidRPr="00EE0C43">
        <w:rPr>
          <w:sz w:val="22"/>
          <w:szCs w:val="22"/>
        </w:rPr>
        <w:t>applications.</w:t>
      </w:r>
      <w:r w:rsidR="00680534" w:rsidRPr="00EE0C43">
        <w:rPr>
          <w:rStyle w:val="FootnoteReference"/>
          <w:sz w:val="22"/>
          <w:szCs w:val="22"/>
        </w:rPr>
        <w:footnoteReference w:id="28"/>
      </w:r>
      <w:r w:rsidR="00702C68" w:rsidRPr="00EE0C43">
        <w:rPr>
          <w:sz w:val="22"/>
          <w:szCs w:val="22"/>
        </w:rPr>
        <w:t xml:space="preserve">  </w:t>
      </w:r>
    </w:p>
    <w:p w14:paraId="055CBCAC" w14:textId="77777777" w:rsidR="008E33AA" w:rsidRPr="00EE0C43" w:rsidRDefault="008E33AA" w:rsidP="008E33AA">
      <w:pPr>
        <w:ind w:firstLine="720"/>
        <w:rPr>
          <w:sz w:val="22"/>
        </w:rPr>
      </w:pPr>
    </w:p>
    <w:p w14:paraId="51BEC463" w14:textId="4B79D93E" w:rsidR="005754C7" w:rsidRPr="00A30F1E" w:rsidRDefault="005754C7" w:rsidP="008E33AA">
      <w:pPr>
        <w:ind w:firstLine="720"/>
        <w:rPr>
          <w:sz w:val="22"/>
        </w:rPr>
      </w:pPr>
      <w:r w:rsidRPr="00EE0C43">
        <w:rPr>
          <w:sz w:val="22"/>
        </w:rPr>
        <w:t xml:space="preserve">This action is taken </w:t>
      </w:r>
      <w:r w:rsidR="00F83465" w:rsidRPr="00EE0C43">
        <w:rPr>
          <w:sz w:val="22"/>
        </w:rPr>
        <w:t>pursuant to</w:t>
      </w:r>
      <w:r w:rsidRPr="00EE0C43">
        <w:rPr>
          <w:sz w:val="22"/>
        </w:rPr>
        <w:t xml:space="preserve"> authority delegated </w:t>
      </w:r>
      <w:r w:rsidR="00F83465" w:rsidRPr="00EE0C43">
        <w:rPr>
          <w:sz w:val="22"/>
        </w:rPr>
        <w:t xml:space="preserve">under </w:t>
      </w:r>
      <w:r w:rsidR="006F19CE" w:rsidRPr="00EE0C43">
        <w:rPr>
          <w:sz w:val="22"/>
        </w:rPr>
        <w:t xml:space="preserve">Sections 0.131(c) and </w:t>
      </w:r>
      <w:r w:rsidRPr="00EE0C43">
        <w:rPr>
          <w:sz w:val="22"/>
        </w:rPr>
        <w:t>0.331 of the Commission’s rules.</w:t>
      </w:r>
      <w:r w:rsidR="003D6DF0" w:rsidRPr="00EE0C43">
        <w:rPr>
          <w:rStyle w:val="FootnoteReference"/>
          <w:sz w:val="22"/>
        </w:rPr>
        <w:footnoteReference w:id="29"/>
      </w:r>
    </w:p>
    <w:p w14:paraId="1E80E2C2" w14:textId="77777777" w:rsidR="008E33AA" w:rsidRPr="00A30F1E" w:rsidRDefault="008E33AA">
      <w:pPr>
        <w:rPr>
          <w:sz w:val="22"/>
        </w:rPr>
      </w:pPr>
    </w:p>
    <w:p w14:paraId="5187E951" w14:textId="77777777" w:rsidR="00CC0682" w:rsidRPr="001F4C9B" w:rsidRDefault="00CC0682">
      <w:pPr>
        <w:rPr>
          <w:sz w:val="22"/>
          <w:szCs w:val="22"/>
        </w:rPr>
      </w:pPr>
    </w:p>
    <w:p w14:paraId="660EB525" w14:textId="77777777" w:rsidR="005754C7" w:rsidRPr="00A30F1E" w:rsidRDefault="005754C7">
      <w:pPr>
        <w:rPr>
          <w:sz w:val="22"/>
        </w:rPr>
      </w:pPr>
      <w:r w:rsidRPr="00A30F1E">
        <w:rPr>
          <w:sz w:val="22"/>
        </w:rPr>
        <w:tab/>
      </w:r>
      <w:r w:rsidRPr="00A30F1E">
        <w:rPr>
          <w:sz w:val="22"/>
        </w:rPr>
        <w:tab/>
      </w:r>
      <w:r w:rsidRPr="00A30F1E">
        <w:rPr>
          <w:sz w:val="22"/>
        </w:rPr>
        <w:tab/>
      </w:r>
      <w:r w:rsidRPr="00A30F1E">
        <w:rPr>
          <w:sz w:val="22"/>
        </w:rPr>
        <w:tab/>
      </w:r>
      <w:r w:rsidR="008E33AA" w:rsidRPr="00A30F1E">
        <w:rPr>
          <w:sz w:val="22"/>
        </w:rPr>
        <w:tab/>
      </w:r>
      <w:r w:rsidRPr="00A30F1E">
        <w:rPr>
          <w:sz w:val="22"/>
        </w:rPr>
        <w:tab/>
        <w:t>Sincerely,</w:t>
      </w:r>
    </w:p>
    <w:p w14:paraId="5D483BC9" w14:textId="77777777" w:rsidR="005754C7" w:rsidRPr="00A30F1E" w:rsidRDefault="005754C7">
      <w:pPr>
        <w:rPr>
          <w:sz w:val="22"/>
        </w:rPr>
      </w:pPr>
    </w:p>
    <w:p w14:paraId="372A64B6" w14:textId="77777777" w:rsidR="005754C7" w:rsidRPr="00A30F1E" w:rsidRDefault="005754C7">
      <w:pPr>
        <w:rPr>
          <w:sz w:val="22"/>
        </w:rPr>
      </w:pPr>
    </w:p>
    <w:p w14:paraId="70667A06" w14:textId="77777777" w:rsidR="00455319" w:rsidRPr="00A30F1E" w:rsidRDefault="00455319">
      <w:pPr>
        <w:rPr>
          <w:sz w:val="22"/>
        </w:rPr>
      </w:pPr>
    </w:p>
    <w:p w14:paraId="26642534" w14:textId="77777777" w:rsidR="005754C7" w:rsidRPr="00A30F1E" w:rsidRDefault="005754C7">
      <w:pPr>
        <w:outlineLvl w:val="0"/>
        <w:rPr>
          <w:sz w:val="22"/>
        </w:rPr>
      </w:pPr>
      <w:r w:rsidRPr="00A30F1E">
        <w:rPr>
          <w:sz w:val="22"/>
        </w:rPr>
        <w:tab/>
      </w:r>
      <w:r w:rsidRPr="00A30F1E">
        <w:rPr>
          <w:sz w:val="22"/>
        </w:rPr>
        <w:tab/>
      </w:r>
      <w:r w:rsidRPr="00A30F1E">
        <w:rPr>
          <w:sz w:val="22"/>
        </w:rPr>
        <w:tab/>
      </w:r>
      <w:r w:rsidRPr="00A30F1E">
        <w:rPr>
          <w:sz w:val="22"/>
        </w:rPr>
        <w:tab/>
      </w:r>
      <w:r w:rsidRPr="00A30F1E">
        <w:rPr>
          <w:sz w:val="22"/>
        </w:rPr>
        <w:tab/>
      </w:r>
      <w:r w:rsidRPr="00A30F1E">
        <w:rPr>
          <w:sz w:val="22"/>
        </w:rPr>
        <w:tab/>
      </w:r>
      <w:r w:rsidR="00E361D8" w:rsidRPr="00A30F1E">
        <w:rPr>
          <w:sz w:val="22"/>
        </w:rPr>
        <w:t>Margaret W. Wiener</w:t>
      </w:r>
    </w:p>
    <w:p w14:paraId="6AF3FA74" w14:textId="77777777" w:rsidR="000A3492" w:rsidRPr="00A30F1E" w:rsidRDefault="005754C7" w:rsidP="001873D2">
      <w:pPr>
        <w:ind w:left="4320" w:right="-180"/>
        <w:rPr>
          <w:sz w:val="22"/>
        </w:rPr>
      </w:pPr>
      <w:r w:rsidRPr="00A30F1E">
        <w:rPr>
          <w:sz w:val="22"/>
        </w:rPr>
        <w:t>Chief</w:t>
      </w:r>
    </w:p>
    <w:p w14:paraId="2CDC27AE" w14:textId="77777777" w:rsidR="005754C7" w:rsidRPr="00A30F1E" w:rsidRDefault="005754C7" w:rsidP="001873D2">
      <w:pPr>
        <w:ind w:left="4320" w:right="-180"/>
        <w:rPr>
          <w:sz w:val="22"/>
        </w:rPr>
      </w:pPr>
      <w:r w:rsidRPr="00A30F1E">
        <w:rPr>
          <w:sz w:val="22"/>
        </w:rPr>
        <w:t xml:space="preserve">Auctions and </w:t>
      </w:r>
      <w:r w:rsidR="00960297" w:rsidRPr="00A30F1E">
        <w:rPr>
          <w:sz w:val="22"/>
        </w:rPr>
        <w:t>Spectrum Access</w:t>
      </w:r>
      <w:r w:rsidR="000A3492" w:rsidRPr="00A30F1E">
        <w:rPr>
          <w:sz w:val="22"/>
        </w:rPr>
        <w:t xml:space="preserve"> </w:t>
      </w:r>
      <w:r w:rsidRPr="00A30F1E">
        <w:rPr>
          <w:sz w:val="22"/>
        </w:rPr>
        <w:t>Division</w:t>
      </w:r>
    </w:p>
    <w:p w14:paraId="14EB1BA6" w14:textId="77777777" w:rsidR="000E73BC" w:rsidRPr="00A30F1E" w:rsidRDefault="005754C7" w:rsidP="000E73BC">
      <w:pPr>
        <w:rPr>
          <w:sz w:val="22"/>
        </w:rPr>
      </w:pPr>
      <w:r w:rsidRPr="00A30F1E">
        <w:rPr>
          <w:sz w:val="22"/>
        </w:rPr>
        <w:tab/>
      </w:r>
      <w:r w:rsidRPr="00A30F1E">
        <w:rPr>
          <w:sz w:val="22"/>
        </w:rPr>
        <w:tab/>
      </w:r>
      <w:r w:rsidRPr="00A30F1E">
        <w:rPr>
          <w:sz w:val="22"/>
        </w:rPr>
        <w:tab/>
      </w:r>
      <w:r w:rsidRPr="00A30F1E">
        <w:rPr>
          <w:sz w:val="22"/>
        </w:rPr>
        <w:tab/>
      </w:r>
      <w:r w:rsidRPr="00A30F1E">
        <w:rPr>
          <w:sz w:val="22"/>
        </w:rPr>
        <w:tab/>
      </w:r>
      <w:r w:rsidRPr="00A30F1E">
        <w:rPr>
          <w:sz w:val="22"/>
        </w:rPr>
        <w:tab/>
        <w:t>Wireless Telecommunications Bureau</w:t>
      </w:r>
      <w:r w:rsidR="003D6DF0" w:rsidRPr="00A30F1E">
        <w:rPr>
          <w:sz w:val="22"/>
        </w:rPr>
        <w:t xml:space="preserve"> </w:t>
      </w:r>
    </w:p>
    <w:p w14:paraId="1A907631" w14:textId="77777777" w:rsidR="008248DB" w:rsidRPr="00A30F1E" w:rsidRDefault="008248DB" w:rsidP="000E73BC">
      <w:pPr>
        <w:rPr>
          <w:sz w:val="22"/>
        </w:rPr>
      </w:pPr>
    </w:p>
    <w:p w14:paraId="3312E2D5" w14:textId="77777777" w:rsidR="008248DB" w:rsidRPr="00A30F1E" w:rsidRDefault="008248DB" w:rsidP="000E73BC">
      <w:pPr>
        <w:rPr>
          <w:sz w:val="22"/>
        </w:rPr>
      </w:pPr>
    </w:p>
    <w:p w14:paraId="7694E595" w14:textId="77777777" w:rsidR="000B32B3" w:rsidRPr="00A30F1E" w:rsidRDefault="000B32B3" w:rsidP="000E73BC">
      <w:pPr>
        <w:rPr>
          <w:sz w:val="22"/>
        </w:rPr>
      </w:pPr>
    </w:p>
    <w:p w14:paraId="49388E06" w14:textId="77777777" w:rsidR="004959FC" w:rsidRDefault="008248DB" w:rsidP="000E73BC">
      <w:pPr>
        <w:rPr>
          <w:sz w:val="22"/>
          <w:szCs w:val="22"/>
        </w:rPr>
      </w:pPr>
      <w:r w:rsidRPr="00A30F1E">
        <w:rPr>
          <w:sz w:val="22"/>
        </w:rPr>
        <w:t xml:space="preserve">cc:  </w:t>
      </w:r>
      <w:r w:rsidR="004959FC">
        <w:rPr>
          <w:sz w:val="22"/>
          <w:szCs w:val="22"/>
        </w:rPr>
        <w:tab/>
      </w:r>
      <w:r w:rsidRPr="00A30F1E">
        <w:rPr>
          <w:sz w:val="22"/>
        </w:rPr>
        <w:t xml:space="preserve">David Kaufman, Esq. </w:t>
      </w:r>
      <w:r w:rsidRPr="001F4C9B">
        <w:rPr>
          <w:sz w:val="22"/>
          <w:szCs w:val="22"/>
        </w:rPr>
        <w:t>(counsel to SAL Spectrum, LLC)</w:t>
      </w:r>
      <w:r w:rsidR="003A63A4" w:rsidRPr="001F4C9B">
        <w:rPr>
          <w:sz w:val="22"/>
          <w:szCs w:val="22"/>
        </w:rPr>
        <w:t>, via email and certified mail</w:t>
      </w:r>
    </w:p>
    <w:p w14:paraId="19AD50A0" w14:textId="77777777" w:rsidR="008248DB" w:rsidRPr="00A30F1E" w:rsidRDefault="004959FC" w:rsidP="000E73BC">
      <w:pPr>
        <w:rPr>
          <w:sz w:val="22"/>
        </w:rPr>
      </w:pPr>
      <w:r>
        <w:rPr>
          <w:sz w:val="22"/>
          <w:szCs w:val="22"/>
        </w:rPr>
        <w:tab/>
        <w:t xml:space="preserve">Jonathan Cohen, Esq. </w:t>
      </w:r>
      <w:r w:rsidRPr="00A30F1E">
        <w:rPr>
          <w:sz w:val="22"/>
        </w:rPr>
        <w:t>(counsel to SAL Spectrum, LLC), via email and certified mail</w:t>
      </w:r>
    </w:p>
    <w:sectPr w:rsidR="008248DB" w:rsidRPr="00A30F1E">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5FD86" w14:textId="77777777" w:rsidR="008A0D48" w:rsidRDefault="008A0D48">
      <w:r>
        <w:separator/>
      </w:r>
    </w:p>
  </w:endnote>
  <w:endnote w:type="continuationSeparator" w:id="0">
    <w:p w14:paraId="7D36959C" w14:textId="77777777" w:rsidR="008A0D48" w:rsidRDefault="008A0D48">
      <w:r>
        <w:continuationSeparator/>
      </w:r>
    </w:p>
  </w:endnote>
  <w:endnote w:type="continuationNotice" w:id="1">
    <w:p w14:paraId="242DE3F3" w14:textId="77777777" w:rsidR="008A0D48" w:rsidRDefault="008A0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G Times (W1)">
    <w:altName w:val="Times New Roman"/>
    <w:charset w:val="00"/>
    <w:family w:val="roman"/>
    <w:pitch w:val="variable"/>
    <w:sig w:usb0="00000007" w:usb1="00000000" w:usb2="00000000" w:usb3="00000000" w:csb0="00000093"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26C3C" w14:textId="77777777" w:rsidR="007835C1" w:rsidRDefault="00783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35DDE" w14:textId="77777777" w:rsidR="007835C1" w:rsidRDefault="00783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625A" w14:textId="77777777" w:rsidR="007835C1" w:rsidRDefault="0078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ACEEC" w14:textId="77777777" w:rsidR="008A0D48" w:rsidRDefault="008A0D48">
      <w:r>
        <w:separator/>
      </w:r>
    </w:p>
  </w:footnote>
  <w:footnote w:type="continuationSeparator" w:id="0">
    <w:p w14:paraId="064C4B8E" w14:textId="77777777" w:rsidR="008A0D48" w:rsidRDefault="008A0D48">
      <w:r>
        <w:continuationSeparator/>
      </w:r>
    </w:p>
  </w:footnote>
  <w:footnote w:type="continuationNotice" w:id="1">
    <w:p w14:paraId="3CCC9F87" w14:textId="77777777" w:rsidR="008A0D48" w:rsidRDefault="008A0D48"/>
  </w:footnote>
  <w:footnote w:id="2">
    <w:p w14:paraId="3A5BFFAC" w14:textId="77777777" w:rsidR="00432F6D" w:rsidRPr="00EA02F3" w:rsidRDefault="00432F6D" w:rsidP="00B92E51">
      <w:pPr>
        <w:pStyle w:val="FootnoteText"/>
        <w:spacing w:before="60" w:after="120"/>
      </w:pPr>
      <w:r w:rsidRPr="00EA02F3">
        <w:rPr>
          <w:rStyle w:val="FootnoteReference"/>
        </w:rPr>
        <w:footnoteRef/>
      </w:r>
      <w:r w:rsidRPr="00EA02F3">
        <w:t xml:space="preserve"> 47 CFR § 0.459(g).</w:t>
      </w:r>
    </w:p>
  </w:footnote>
  <w:footnote w:id="3">
    <w:p w14:paraId="039F7E5F" w14:textId="398D77BA" w:rsidR="00B92E51" w:rsidRDefault="00B92E51" w:rsidP="00B92E51">
      <w:pPr>
        <w:pStyle w:val="FootnoteText"/>
        <w:spacing w:after="120"/>
      </w:pPr>
      <w:r>
        <w:rPr>
          <w:rStyle w:val="FootnoteReference"/>
        </w:rPr>
        <w:footnoteRef/>
      </w:r>
      <w:r>
        <w:t xml:space="preserve"> </w:t>
      </w:r>
      <w:r w:rsidRPr="00B92E51">
        <w:t xml:space="preserve">This letter </w:t>
      </w:r>
      <w:r w:rsidR="0016262D">
        <w:t xml:space="preserve">is </w:t>
      </w:r>
      <w:r w:rsidRPr="00B92E51">
        <w:t>being released today in redacted form to withhold from public inspection references to information submitted by the applicant during the FCC Form 175 application resubmission period.  Consistent with our standard information disclosure procedure during an auction, we intend to release the unredacted version of this letter at such time as all resubmission phase application information is made available for public inspection.</w:t>
      </w:r>
    </w:p>
  </w:footnote>
  <w:footnote w:id="4">
    <w:p w14:paraId="766C4318" w14:textId="77777777" w:rsidR="008C6993" w:rsidRPr="00EE0C43" w:rsidRDefault="008C6993" w:rsidP="00B92E51">
      <w:pPr>
        <w:pStyle w:val="FootnoteText"/>
        <w:spacing w:before="60" w:after="120"/>
      </w:pPr>
      <w:r w:rsidRPr="00EA02F3">
        <w:rPr>
          <w:rStyle w:val="FootnoteReference"/>
        </w:rPr>
        <w:footnoteRef/>
      </w:r>
      <w:r w:rsidRPr="00EA02F3">
        <w:t xml:space="preserve"> 47 </w:t>
      </w:r>
      <w:r w:rsidRPr="00EE0C43">
        <w:t>CFR § 1.2110(f)(4)(i).</w:t>
      </w:r>
    </w:p>
  </w:footnote>
  <w:footnote w:id="5">
    <w:p w14:paraId="3256F937" w14:textId="7ED868A9" w:rsidR="00C148FC" w:rsidRPr="00EE0C43" w:rsidRDefault="00C148FC" w:rsidP="008B6C22">
      <w:pPr>
        <w:pStyle w:val="FootnoteText"/>
        <w:spacing w:after="120"/>
      </w:pPr>
      <w:r w:rsidRPr="00EE0C43">
        <w:rPr>
          <w:rStyle w:val="FootnoteReference"/>
        </w:rPr>
        <w:footnoteRef/>
      </w:r>
      <w:r w:rsidRPr="00EE0C43">
        <w:t xml:space="preserve"> </w:t>
      </w:r>
      <w:r w:rsidR="00CC2F6E" w:rsidRPr="00EE0C43">
        <w:rPr>
          <w:i/>
        </w:rPr>
        <w:t>See Applic</w:t>
      </w:r>
      <w:r w:rsidR="00846FE3" w:rsidRPr="00EE0C43">
        <w:rPr>
          <w:i/>
        </w:rPr>
        <w:t>a</w:t>
      </w:r>
      <w:r w:rsidR="00CC2F6E" w:rsidRPr="00EE0C43">
        <w:rPr>
          <w:i/>
        </w:rPr>
        <w:t xml:space="preserve">tion Instructions for Broadcast Incentive Auction Scheduled </w:t>
      </w:r>
      <w:r w:rsidR="00B60228" w:rsidRPr="00EE0C43">
        <w:rPr>
          <w:i/>
        </w:rPr>
        <w:t>T</w:t>
      </w:r>
      <w:r w:rsidR="00CC2F6E" w:rsidRPr="00EE0C43">
        <w:rPr>
          <w:i/>
        </w:rPr>
        <w:t xml:space="preserve">o Begin on March 29, 2016; Instructions for FCC Form 175 Application </w:t>
      </w:r>
      <w:r w:rsidR="001C3C96" w:rsidRPr="00EE0C43">
        <w:rPr>
          <w:i/>
        </w:rPr>
        <w:t>T</w:t>
      </w:r>
      <w:r w:rsidR="00CC2F6E" w:rsidRPr="00EE0C43">
        <w:rPr>
          <w:i/>
        </w:rPr>
        <w:t>o Participate in the Forward Auction (Auction 1002)</w:t>
      </w:r>
      <w:r w:rsidR="00CC2F6E" w:rsidRPr="00B63825">
        <w:t>,</w:t>
      </w:r>
      <w:r w:rsidR="00CC2F6E" w:rsidRPr="00EE0C43">
        <w:t xml:space="preserve"> Public Notice, </w:t>
      </w:r>
      <w:r w:rsidR="00E95070" w:rsidRPr="00EE0C43">
        <w:t xml:space="preserve">31 FCC Rcd 24, </w:t>
      </w:r>
      <w:r w:rsidR="009C55D5" w:rsidRPr="00EE0C43">
        <w:t>42</w:t>
      </w:r>
      <w:r w:rsidR="00CC72DC" w:rsidRPr="00EE0C43">
        <w:t>, para. 87</w:t>
      </w:r>
      <w:r w:rsidR="00CC2F6E" w:rsidRPr="00EE0C43">
        <w:t xml:space="preserve"> (WTB Jan. 19, 2016)</w:t>
      </w:r>
      <w:r w:rsidR="001C3C96" w:rsidRPr="00EE0C43">
        <w:t xml:space="preserve"> (</w:t>
      </w:r>
      <w:r w:rsidR="0037647D" w:rsidRPr="00EE0C43">
        <w:rPr>
          <w:i/>
        </w:rPr>
        <w:t>Auction 1002 Application Instructions</w:t>
      </w:r>
      <w:r w:rsidR="0037647D" w:rsidRPr="00EE0C43">
        <w:t>)</w:t>
      </w:r>
      <w:r w:rsidR="00CC2F6E" w:rsidRPr="00EE0C43">
        <w:t>.</w:t>
      </w:r>
      <w:r w:rsidR="00CC2F6E" w:rsidRPr="00EE0C43">
        <w:rPr>
          <w:i/>
        </w:rPr>
        <w:t xml:space="preserve"> </w:t>
      </w:r>
      <w:r w:rsidR="009C55D5" w:rsidRPr="00EE0C43">
        <w:t xml:space="preserve">    </w:t>
      </w:r>
    </w:p>
  </w:footnote>
  <w:footnote w:id="6">
    <w:p w14:paraId="0190E775" w14:textId="77777777" w:rsidR="001C274F" w:rsidRDefault="00267D2D" w:rsidP="001C274F">
      <w:pPr>
        <w:pStyle w:val="FootnoteText"/>
        <w:rPr>
          <w:b/>
        </w:rPr>
      </w:pPr>
      <w:r w:rsidRPr="00EE0C43">
        <w:rPr>
          <w:rStyle w:val="FootnoteReference"/>
        </w:rPr>
        <w:footnoteRef/>
      </w:r>
      <w:r w:rsidRPr="00EE0C43">
        <w:t xml:space="preserve"> </w:t>
      </w:r>
      <w:r w:rsidR="007172B9" w:rsidRPr="00EE0C43">
        <w:t xml:space="preserve">SAL filed </w:t>
      </w:r>
      <w:r w:rsidR="00294115" w:rsidRPr="00EE0C43">
        <w:t xml:space="preserve">its </w:t>
      </w:r>
      <w:r w:rsidR="007172B9" w:rsidRPr="00EE0C43">
        <w:t xml:space="preserve">request for confidential treatment of subscriber information of the applicant and certain </w:t>
      </w:r>
      <w:r w:rsidR="007172B9" w:rsidRPr="003D4B23">
        <w:t xml:space="preserve">affiliates submitted with its application during the initial Auction 1002 application filing window. </w:t>
      </w:r>
      <w:r w:rsidR="00E07E8A" w:rsidRPr="003D4B23">
        <w:rPr>
          <w:b/>
        </w:rPr>
        <w:t>[BEGIN CONF. INFO.]</w:t>
      </w:r>
    </w:p>
    <w:p w14:paraId="7E8B5083" w14:textId="77777777" w:rsidR="001C274F" w:rsidRDefault="001C274F" w:rsidP="001C274F">
      <w:pPr>
        <w:pStyle w:val="FootnoteText"/>
        <w:rPr>
          <w:b/>
        </w:rPr>
      </w:pPr>
    </w:p>
    <w:p w14:paraId="419CA312" w14:textId="77777777" w:rsidR="001C274F" w:rsidRDefault="001C274F" w:rsidP="001C274F">
      <w:pPr>
        <w:pStyle w:val="FootnoteText"/>
        <w:rPr>
          <w:b/>
        </w:rPr>
      </w:pPr>
    </w:p>
    <w:p w14:paraId="623D9055" w14:textId="77777777" w:rsidR="001C274F" w:rsidRDefault="001C274F" w:rsidP="001C274F">
      <w:pPr>
        <w:pStyle w:val="FootnoteText"/>
        <w:rPr>
          <w:b/>
        </w:rPr>
      </w:pPr>
      <w:r>
        <w:rPr>
          <w:b/>
        </w:rPr>
        <w:t xml:space="preserve">                                                                                                           </w:t>
      </w:r>
      <w:r w:rsidR="00E07E8A" w:rsidRPr="003D4B23">
        <w:rPr>
          <w:b/>
        </w:rPr>
        <w:t>[END</w:t>
      </w:r>
      <w:r w:rsidR="00E07E8A" w:rsidRPr="00E07E8A">
        <w:rPr>
          <w:b/>
        </w:rPr>
        <w:t xml:space="preserve"> CONF. INFO.]</w:t>
      </w:r>
      <w:r w:rsidR="00E07E8A">
        <w:rPr>
          <w:b/>
        </w:rPr>
        <w:t xml:space="preserve">  </w:t>
      </w:r>
      <w:r w:rsidR="007172B9" w:rsidRPr="00EA02F3">
        <w:rPr>
          <w:i/>
        </w:rPr>
        <w:t>See</w:t>
      </w:r>
      <w:r w:rsidR="006C3ED4" w:rsidRPr="00EA02F3">
        <w:rPr>
          <w:i/>
        </w:rPr>
        <w:t xml:space="preserve"> </w:t>
      </w:r>
      <w:r w:rsidR="006C3ED4" w:rsidRPr="00EA02F3">
        <w:t xml:space="preserve">FCC Form 175 of SAL Spectrum, LLC, Auction </w:t>
      </w:r>
      <w:r w:rsidR="006C3ED4" w:rsidRPr="003D4B23">
        <w:t>1002, “Confidentiality Request re Subscriber Numbers,” (submitted Feb. 1, 2016)</w:t>
      </w:r>
      <w:r w:rsidR="008C2A19" w:rsidRPr="003D4B23">
        <w:t xml:space="preserve"> (Request)</w:t>
      </w:r>
      <w:r w:rsidR="006C3ED4" w:rsidRPr="003D4B23">
        <w:t xml:space="preserve">; </w:t>
      </w:r>
      <w:r w:rsidR="00E07E8A" w:rsidRPr="003D4B23">
        <w:rPr>
          <w:b/>
        </w:rPr>
        <w:t xml:space="preserve">[BEGIN CONF. INFO.] </w:t>
      </w:r>
      <w:r>
        <w:rPr>
          <w:b/>
        </w:rPr>
        <w:t xml:space="preserve">  </w:t>
      </w:r>
    </w:p>
    <w:p w14:paraId="4DA37272" w14:textId="1E6006FC" w:rsidR="00267D2D" w:rsidRPr="003D4B23" w:rsidRDefault="001C274F" w:rsidP="001C274F">
      <w:pPr>
        <w:pStyle w:val="FootnoteText"/>
        <w:rPr>
          <w:i/>
        </w:rPr>
      </w:pPr>
      <w:r>
        <w:rPr>
          <w:b/>
        </w:rPr>
        <w:t xml:space="preserve">                                                                                                                                        </w:t>
      </w:r>
      <w:r w:rsidR="00E07E8A" w:rsidRPr="003D4B23">
        <w:rPr>
          <w:b/>
        </w:rPr>
        <w:t>[END CONF. INFO.]</w:t>
      </w:r>
      <w:r w:rsidR="007172B9" w:rsidRPr="003D4B23">
        <w:rPr>
          <w:i/>
        </w:rPr>
        <w:t xml:space="preserve"> </w:t>
      </w:r>
    </w:p>
  </w:footnote>
  <w:footnote w:id="7">
    <w:p w14:paraId="126A537D" w14:textId="4A0E5A21" w:rsidR="00A43AF7" w:rsidRPr="00EA02F3" w:rsidRDefault="00A43AF7" w:rsidP="008B6C22">
      <w:pPr>
        <w:pStyle w:val="FootnoteText"/>
        <w:spacing w:before="60" w:after="120"/>
      </w:pPr>
      <w:r w:rsidRPr="003D4B23">
        <w:rPr>
          <w:rStyle w:val="FootnoteReference"/>
        </w:rPr>
        <w:footnoteRef/>
      </w:r>
      <w:r w:rsidRPr="003D4B23">
        <w:t xml:space="preserve"> </w:t>
      </w:r>
      <w:r w:rsidR="007C1EA2" w:rsidRPr="003D4B23">
        <w:rPr>
          <w:i/>
        </w:rPr>
        <w:t xml:space="preserve">See </w:t>
      </w:r>
      <w:r w:rsidR="007C1EA2" w:rsidRPr="003D4B23">
        <w:t>Request at 2-3</w:t>
      </w:r>
      <w:r w:rsidR="007A4F90" w:rsidRPr="003D4B23">
        <w:t xml:space="preserve">; </w:t>
      </w:r>
      <w:r w:rsidR="00E07E8A" w:rsidRPr="003D4B23">
        <w:rPr>
          <w:b/>
        </w:rPr>
        <w:t xml:space="preserve">[BEGIN CONF. INFO.] </w:t>
      </w:r>
      <w:r w:rsidR="00DD4406">
        <w:rPr>
          <w:b/>
        </w:rPr>
        <w:t xml:space="preserve">                                                </w:t>
      </w:r>
      <w:r w:rsidR="00E07E8A" w:rsidRPr="003D4B23">
        <w:rPr>
          <w:b/>
        </w:rPr>
        <w:t>[END</w:t>
      </w:r>
      <w:r w:rsidR="00E07E8A" w:rsidRPr="00E07E8A">
        <w:rPr>
          <w:b/>
        </w:rPr>
        <w:t xml:space="preserve"> CONF. INFO.]</w:t>
      </w:r>
      <w:r w:rsidR="00E07E8A">
        <w:rPr>
          <w:b/>
        </w:rPr>
        <w:t xml:space="preserve">  </w:t>
      </w:r>
      <w:r w:rsidR="007C1EA2">
        <w:t xml:space="preserve">SAL’s arguments address only the confidentiality of subscriber information and provide no reasons for withholding </w:t>
      </w:r>
      <w:r w:rsidR="00E42B98">
        <w:t>any other information submitted by</w:t>
      </w:r>
      <w:r w:rsidR="007C1EA2">
        <w:t xml:space="preserve"> </w:t>
      </w:r>
      <w:r w:rsidR="002F0D9B">
        <w:t>attachment</w:t>
      </w:r>
      <w:r w:rsidR="007C1EA2">
        <w:t xml:space="preserve"> arguing the basis for its eligibility for the bidding credit.  </w:t>
      </w:r>
      <w:r w:rsidRPr="00EA02F3">
        <w:t xml:space="preserve">  </w:t>
      </w:r>
      <w:r w:rsidR="00F827F2" w:rsidRPr="00EA02F3">
        <w:t xml:space="preserve">  </w:t>
      </w:r>
    </w:p>
  </w:footnote>
  <w:footnote w:id="8">
    <w:p w14:paraId="14118E3F" w14:textId="208FFDE4" w:rsidR="006C3ED4" w:rsidRPr="00EE0C43" w:rsidRDefault="006C3ED4" w:rsidP="008B6C22">
      <w:pPr>
        <w:pStyle w:val="FootnoteText"/>
        <w:spacing w:after="120"/>
      </w:pPr>
      <w:r w:rsidRPr="00EE0C43">
        <w:rPr>
          <w:rStyle w:val="FootnoteReference"/>
        </w:rPr>
        <w:footnoteRef/>
      </w:r>
      <w:r w:rsidRPr="00EE0C43">
        <w:t xml:space="preserve"> </w:t>
      </w:r>
      <w:r w:rsidR="002B2BBB" w:rsidRPr="00EE0C43">
        <w:rPr>
          <w:i/>
        </w:rPr>
        <w:t>See</w:t>
      </w:r>
      <w:r w:rsidR="002B2BBB" w:rsidRPr="00EE0C43">
        <w:t xml:space="preserve"> </w:t>
      </w:r>
      <w:r w:rsidRPr="00EE0C43">
        <w:rPr>
          <w:i/>
        </w:rPr>
        <w:t xml:space="preserve">Examination of Current Policy Concerning Treatment of Confidential Information Submitted to the Commission, </w:t>
      </w:r>
      <w:r w:rsidRPr="00EE0C43">
        <w:t>Report and Order, 13 FCC Rcd 24816, 24829</w:t>
      </w:r>
      <w:r w:rsidR="00CC72DC" w:rsidRPr="00EE0C43">
        <w:t>, para. 17</w:t>
      </w:r>
      <w:r w:rsidRPr="00EE0C43">
        <w:t xml:space="preserve"> (1998).</w:t>
      </w:r>
      <w:r w:rsidR="006163FA" w:rsidRPr="00EE0C43">
        <w:t xml:space="preserve">  </w:t>
      </w:r>
    </w:p>
  </w:footnote>
  <w:footnote w:id="9">
    <w:p w14:paraId="493A1D69" w14:textId="20F7E98B" w:rsidR="00442A9F" w:rsidRPr="00EE0C43" w:rsidRDefault="00FA66E4" w:rsidP="008B6C22">
      <w:pPr>
        <w:pStyle w:val="FootnoteText"/>
        <w:spacing w:after="120"/>
      </w:pPr>
      <w:r w:rsidRPr="00EE0C43">
        <w:rPr>
          <w:rStyle w:val="FootnoteReference"/>
        </w:rPr>
        <w:footnoteRef/>
      </w:r>
      <w:r w:rsidRPr="00EE0C43">
        <w:t xml:space="preserve"> </w:t>
      </w:r>
      <w:r w:rsidRPr="00EE0C43">
        <w:rPr>
          <w:i/>
        </w:rPr>
        <w:t>Application of Northeast Communications of Wisconsin, Inc.; Request for Confidential Treatment of Financial Information Contained in FCC Form 175 Filing in the Local Multipoint Distribution Service</w:t>
      </w:r>
      <w:r w:rsidRPr="00EE0C43">
        <w:t>, Memorandum Opinion and Order, 15 FCC Rcd 3289, 3291, para. 6 (2000) (</w:t>
      </w:r>
      <w:r w:rsidRPr="00EE0C43">
        <w:rPr>
          <w:i/>
        </w:rPr>
        <w:t>Northeast Communications</w:t>
      </w:r>
      <w:r w:rsidRPr="00EE0C43">
        <w:t>)</w:t>
      </w:r>
      <w:r w:rsidR="00E54150" w:rsidRPr="00EE0C43">
        <w:t xml:space="preserve"> (denying application for review by an auction applicant seeking confidentiality of financial information submitted in its short-form application in support of its claim of eligibility for a small business bidding credit)</w:t>
      </w:r>
      <w:r w:rsidR="00442A9F" w:rsidRPr="00EE0C43">
        <w:t>.</w:t>
      </w:r>
    </w:p>
  </w:footnote>
  <w:footnote w:id="10">
    <w:p w14:paraId="2D3CD2C0" w14:textId="059405D2" w:rsidR="00686C21" w:rsidRPr="00EE0C43" w:rsidRDefault="002200FC" w:rsidP="008B6C22">
      <w:pPr>
        <w:pStyle w:val="FootnoteText"/>
        <w:spacing w:after="120"/>
      </w:pPr>
      <w:r w:rsidRPr="00EE0C43">
        <w:rPr>
          <w:rStyle w:val="FootnoteReference"/>
        </w:rPr>
        <w:footnoteRef/>
      </w:r>
      <w:r w:rsidRPr="00EE0C43">
        <w:t xml:space="preserve"> </w:t>
      </w:r>
      <w:r w:rsidR="002F0D9B">
        <w:rPr>
          <w:i/>
        </w:rPr>
        <w:t xml:space="preserve">See </w:t>
      </w:r>
      <w:r w:rsidR="002F0D9B">
        <w:t xml:space="preserve">47 CFR </w:t>
      </w:r>
      <w:r w:rsidR="002F0D9B" w:rsidRPr="00EA02F3">
        <w:t>§ 0.459(</w:t>
      </w:r>
      <w:r w:rsidR="002F0D9B">
        <w:t>d</w:t>
      </w:r>
      <w:r w:rsidR="002F0D9B" w:rsidRPr="00EA02F3">
        <w:t>)</w:t>
      </w:r>
      <w:r w:rsidR="00686C21" w:rsidRPr="00EE0C43">
        <w:t>.</w:t>
      </w:r>
    </w:p>
  </w:footnote>
  <w:footnote w:id="11">
    <w:p w14:paraId="6A108975" w14:textId="29E025B5" w:rsidR="00533BEE" w:rsidRPr="00EE0C43" w:rsidRDefault="00006696" w:rsidP="008B6C22">
      <w:pPr>
        <w:pStyle w:val="FootnoteText"/>
        <w:spacing w:after="120"/>
      </w:pPr>
      <w:r w:rsidRPr="00EE0C43">
        <w:rPr>
          <w:rStyle w:val="FootnoteReference"/>
        </w:rPr>
        <w:footnoteRef/>
      </w:r>
      <w:r w:rsidRPr="00EE0C43">
        <w:t xml:space="preserve"> </w:t>
      </w:r>
      <w:r w:rsidRPr="00EE0C43">
        <w:rPr>
          <w:i/>
        </w:rPr>
        <w:t xml:space="preserve">See Examination of Current Policy Concerning Treatment of Confidential Information Submitted to the Commission, </w:t>
      </w:r>
      <w:r w:rsidRPr="00EE0C43">
        <w:t>13 FCC Rcd at 24822, para. 7.</w:t>
      </w:r>
    </w:p>
  </w:footnote>
  <w:footnote w:id="12">
    <w:p w14:paraId="669AA241" w14:textId="6604EAA8" w:rsidR="00623132" w:rsidRPr="00EA02F3" w:rsidRDefault="00623132" w:rsidP="008B6C22">
      <w:pPr>
        <w:pStyle w:val="FootnoteText"/>
        <w:spacing w:before="60" w:after="120"/>
      </w:pPr>
      <w:r w:rsidRPr="00EE0C43">
        <w:rPr>
          <w:rStyle w:val="FootnoteReference"/>
        </w:rPr>
        <w:footnoteRef/>
      </w:r>
      <w:r w:rsidRPr="00EE0C43">
        <w:t xml:space="preserve"> </w:t>
      </w:r>
      <w:r w:rsidR="00F7655C" w:rsidRPr="00EE0C43">
        <w:rPr>
          <w:i/>
        </w:rPr>
        <w:t>Northeast Communications,</w:t>
      </w:r>
      <w:r w:rsidR="00C44AE3" w:rsidRPr="00EE0C43">
        <w:t xml:space="preserve"> </w:t>
      </w:r>
      <w:r w:rsidR="00F7655C" w:rsidRPr="00EE0C43">
        <w:t xml:space="preserve">15 FCC Rcd </w:t>
      </w:r>
      <w:r w:rsidR="00C44AE3" w:rsidRPr="00EE0C43">
        <w:t>at</w:t>
      </w:r>
      <w:r w:rsidRPr="00EE0C43">
        <w:t xml:space="preserve"> 3291</w:t>
      </w:r>
      <w:r w:rsidR="00F7655C" w:rsidRPr="00EE0C43">
        <w:t>, para. 6</w:t>
      </w:r>
      <w:r w:rsidRPr="00EE0C43">
        <w:t xml:space="preserve">; </w:t>
      </w:r>
      <w:r w:rsidR="00A677B1" w:rsidRPr="00EE0C43">
        <w:rPr>
          <w:i/>
        </w:rPr>
        <w:t>AMTS Consortium, LLC</w:t>
      </w:r>
      <w:r w:rsidR="00A677B1" w:rsidRPr="00EE0C43">
        <w:t>, Memorandum Opinion and Order, 25 FCC Rcd 526, 530</w:t>
      </w:r>
      <w:r w:rsidR="00EB6F94" w:rsidRPr="00EE0C43">
        <w:t>, para. 15</w:t>
      </w:r>
      <w:r w:rsidR="00A677B1" w:rsidRPr="00EE0C43">
        <w:t xml:space="preserve"> (2010) (</w:t>
      </w:r>
      <w:r w:rsidR="0071365B" w:rsidRPr="00EE0C43">
        <w:t xml:space="preserve">citing </w:t>
      </w:r>
      <w:r w:rsidR="0071365B" w:rsidRPr="00EE0C43">
        <w:rPr>
          <w:i/>
        </w:rPr>
        <w:t>Northeast Communications</w:t>
      </w:r>
      <w:r w:rsidR="00BA708F">
        <w:rPr>
          <w:i/>
        </w:rPr>
        <w:t xml:space="preserve"> </w:t>
      </w:r>
      <w:r w:rsidR="001B327F" w:rsidRPr="00EA02F3">
        <w:t>and distinguishing the denial of confidential</w:t>
      </w:r>
      <w:r w:rsidR="00BE78B2" w:rsidRPr="00EA02F3">
        <w:t xml:space="preserve"> treatment for information necessary to determine </w:t>
      </w:r>
      <w:r w:rsidR="001B327F" w:rsidRPr="00EA02F3">
        <w:t xml:space="preserve">bidding credit eligibility from the grant of confidential treatment for </w:t>
      </w:r>
      <w:r w:rsidR="00BE78B2" w:rsidRPr="00EA02F3">
        <w:t xml:space="preserve">other types of </w:t>
      </w:r>
      <w:r w:rsidR="001B327F" w:rsidRPr="00EA02F3">
        <w:t>tran</w:t>
      </w:r>
      <w:r w:rsidR="00793820" w:rsidRPr="00EA02F3">
        <w:t>sactional information</w:t>
      </w:r>
      <w:r w:rsidR="0071365B" w:rsidRPr="00EA02F3">
        <w:t xml:space="preserve">); </w:t>
      </w:r>
      <w:r w:rsidRPr="00EA02F3">
        <w:rPr>
          <w:i/>
        </w:rPr>
        <w:t xml:space="preserve">Bartholdi Cable </w:t>
      </w:r>
      <w:r w:rsidRPr="00EA02F3">
        <w:rPr>
          <w:i/>
          <w:iCs/>
        </w:rPr>
        <w:t>Co</w:t>
      </w:r>
      <w:r w:rsidR="00F47237" w:rsidRPr="00EA02F3">
        <w:rPr>
          <w:i/>
        </w:rPr>
        <w:t>.</w:t>
      </w:r>
      <w:r w:rsidRPr="00EA02F3">
        <w:rPr>
          <w:i/>
        </w:rPr>
        <w:t xml:space="preserve"> v. FCC, </w:t>
      </w:r>
      <w:r w:rsidRPr="00EA02F3">
        <w:t>114 F.3d 274 (D.C. Cir. 1997)</w:t>
      </w:r>
      <w:r w:rsidR="00EB5243" w:rsidRPr="00EA02F3">
        <w:t xml:space="preserve"> (</w:t>
      </w:r>
      <w:r w:rsidR="00EB5243" w:rsidRPr="00EA02F3">
        <w:rPr>
          <w:i/>
        </w:rPr>
        <w:t>Bartholdi</w:t>
      </w:r>
      <w:r w:rsidR="00EB5243" w:rsidRPr="00EA02F3">
        <w:t>)</w:t>
      </w:r>
      <w:r w:rsidRPr="00EA02F3">
        <w:t xml:space="preserve"> (holding that the public had a compelling interest in the information </w:t>
      </w:r>
      <w:r w:rsidR="00C33A5E" w:rsidRPr="00EA02F3">
        <w:t xml:space="preserve">on unauthorized operations which was </w:t>
      </w:r>
      <w:r w:rsidRPr="00EA02F3">
        <w:t>at issue because it had a direct bearing on the applicant’s qualifications as a Commission licensee</w:t>
      </w:r>
      <w:r w:rsidR="00201CA3" w:rsidRPr="00EA02F3">
        <w:t xml:space="preserve">).  </w:t>
      </w:r>
    </w:p>
  </w:footnote>
  <w:footnote w:id="13">
    <w:p w14:paraId="38EE5A5E" w14:textId="7E92840B" w:rsidR="00FD5507" w:rsidRPr="00EE0C43" w:rsidRDefault="006356A6" w:rsidP="008B6C22">
      <w:pPr>
        <w:pStyle w:val="FootnoteText"/>
        <w:spacing w:after="120"/>
        <w:rPr>
          <w:b/>
        </w:rPr>
      </w:pPr>
      <w:r w:rsidRPr="00493859">
        <w:rPr>
          <w:rStyle w:val="FootnoteReference"/>
        </w:rPr>
        <w:footnoteRef/>
      </w:r>
      <w:r w:rsidRPr="00493859">
        <w:rPr>
          <w:i/>
          <w:iCs/>
        </w:rPr>
        <w:t xml:space="preserve"> </w:t>
      </w:r>
      <w:r w:rsidRPr="0070223C">
        <w:rPr>
          <w:i/>
          <w:iCs/>
        </w:rPr>
        <w:t xml:space="preserve">See </w:t>
      </w:r>
      <w:r w:rsidRPr="005E4F10">
        <w:rPr>
          <w:iCs/>
        </w:rPr>
        <w:t>47 CFR §§ 0.459</w:t>
      </w:r>
      <w:r w:rsidRPr="00EE0C43">
        <w:rPr>
          <w:iCs/>
        </w:rPr>
        <w:t>(d)(2), 0.461(f)(4);</w:t>
      </w:r>
      <w:r w:rsidRPr="00EE0C43">
        <w:rPr>
          <w:i/>
          <w:iCs/>
        </w:rPr>
        <w:t xml:space="preserve"> Lifeline and Link Up Reform and Modernization, etc.</w:t>
      </w:r>
      <w:r w:rsidRPr="007A1795">
        <w:rPr>
          <w:iCs/>
        </w:rPr>
        <w:t>,</w:t>
      </w:r>
      <w:r w:rsidRPr="00EE0C43">
        <w:rPr>
          <w:iCs/>
        </w:rPr>
        <w:t xml:space="preserve"> Second Further Notice of Proposed Rulemaking, Order on Reconsideration, Second Report and Order, and Memorandum Opinion and Order, 30 FCC Rcd 7818, 7914</w:t>
      </w:r>
      <w:r w:rsidR="00AC7803" w:rsidRPr="00EE0C43">
        <w:rPr>
          <w:iCs/>
        </w:rPr>
        <w:t>,</w:t>
      </w:r>
      <w:r w:rsidRPr="00EE0C43">
        <w:rPr>
          <w:iCs/>
        </w:rPr>
        <w:t xml:space="preserve"> para. 284 (2015) (</w:t>
      </w:r>
      <w:r w:rsidRPr="00EE0C43">
        <w:rPr>
          <w:i/>
          <w:iCs/>
        </w:rPr>
        <w:t>Nexus Order</w:t>
      </w:r>
      <w:r w:rsidRPr="00EE0C43">
        <w:rPr>
          <w:iCs/>
        </w:rPr>
        <w:t>).</w:t>
      </w:r>
    </w:p>
  </w:footnote>
  <w:footnote w:id="14">
    <w:p w14:paraId="497F8EE5" w14:textId="77777777" w:rsidR="00E86733" w:rsidRPr="00EE0C43" w:rsidRDefault="00E86733" w:rsidP="008B6C22">
      <w:pPr>
        <w:pStyle w:val="FootnoteText"/>
        <w:spacing w:before="60" w:after="120"/>
      </w:pPr>
      <w:r w:rsidRPr="00EE0C43">
        <w:rPr>
          <w:rStyle w:val="FootnoteReference"/>
        </w:rPr>
        <w:footnoteRef/>
      </w:r>
      <w:r w:rsidRPr="00EE0C43">
        <w:t xml:space="preserve"> </w:t>
      </w:r>
      <w:r w:rsidRPr="00EE0C43">
        <w:rPr>
          <w:i/>
        </w:rPr>
        <w:t>See</w:t>
      </w:r>
      <w:r w:rsidRPr="00EE0C43">
        <w:t xml:space="preserve"> 47 CFR § </w:t>
      </w:r>
      <w:r w:rsidR="001224A3" w:rsidRPr="00EE0C43">
        <w:t>1.2110(f)(4)(i)(A)-(B).</w:t>
      </w:r>
      <w:r w:rsidR="003A21E9" w:rsidRPr="00EE0C43">
        <w:t xml:space="preserve">    </w:t>
      </w:r>
    </w:p>
  </w:footnote>
  <w:footnote w:id="15">
    <w:p w14:paraId="18D78EBE" w14:textId="7A3C58A0" w:rsidR="00B96287" w:rsidRPr="00EE0C43" w:rsidRDefault="00B96287" w:rsidP="008B6C22">
      <w:pPr>
        <w:pStyle w:val="FootnoteText"/>
        <w:spacing w:after="120"/>
      </w:pPr>
      <w:r w:rsidRPr="00EE0C43">
        <w:rPr>
          <w:rStyle w:val="FootnoteReference"/>
        </w:rPr>
        <w:footnoteRef/>
      </w:r>
      <w:r w:rsidRPr="00EE0C43">
        <w:t xml:space="preserve"> </w:t>
      </w:r>
      <w:r w:rsidRPr="00EE0C43">
        <w:rPr>
          <w:i/>
        </w:rPr>
        <w:t>Cf. Nexus Order</w:t>
      </w:r>
      <w:r w:rsidRPr="00EE0C43">
        <w:t>, 30 FCC Rcd at 7912</w:t>
      </w:r>
      <w:r w:rsidR="00E469CB" w:rsidRPr="00EE0C43">
        <w:t>,</w:t>
      </w:r>
      <w:r w:rsidRPr="00EE0C43">
        <w:t xml:space="preserve"> para. 280 (public release of subscriber count slightly more accurate than one already publicly available not shown to cause competitive harm).</w:t>
      </w:r>
      <w:r w:rsidRPr="00EE0C43">
        <w:rPr>
          <w:rFonts w:asciiTheme="minorHAnsi" w:hAnsiTheme="minorHAnsi" w:cstheme="minorHAnsi"/>
        </w:rPr>
        <w:t xml:space="preserve"> </w:t>
      </w:r>
    </w:p>
  </w:footnote>
  <w:footnote w:id="16">
    <w:p w14:paraId="3D99B844" w14:textId="106128D0" w:rsidR="00083489" w:rsidRPr="00EE0C43" w:rsidRDefault="00083489" w:rsidP="008B6C22">
      <w:pPr>
        <w:pStyle w:val="FootnoteText"/>
        <w:spacing w:after="120"/>
      </w:pPr>
      <w:r w:rsidRPr="00EE0C43">
        <w:rPr>
          <w:rStyle w:val="FootnoteReference"/>
        </w:rPr>
        <w:footnoteRef/>
      </w:r>
      <w:r w:rsidRPr="00EE0C43">
        <w:t xml:space="preserve"> </w:t>
      </w:r>
      <w:r w:rsidRPr="00EE0C43">
        <w:rPr>
          <w:i/>
        </w:rPr>
        <w:t>See</w:t>
      </w:r>
      <w:r w:rsidRPr="00EE0C43">
        <w:t xml:space="preserve"> </w:t>
      </w:r>
      <w:r w:rsidRPr="00EE0C43">
        <w:rPr>
          <w:i/>
        </w:rPr>
        <w:t>Auction 1002 Application Instructions</w:t>
      </w:r>
      <w:r w:rsidR="00E546B6" w:rsidRPr="00EE0C43">
        <w:t>, 31 FCC Rcd</w:t>
      </w:r>
      <w:r w:rsidRPr="00EE0C43">
        <w:rPr>
          <w:i/>
        </w:rPr>
        <w:t xml:space="preserve"> </w:t>
      </w:r>
      <w:r w:rsidRPr="00EE0C43">
        <w:t xml:space="preserve">at </w:t>
      </w:r>
      <w:r w:rsidR="00E546B6" w:rsidRPr="00EE0C43">
        <w:t>42-43</w:t>
      </w:r>
      <w:r w:rsidR="00CC72DC" w:rsidRPr="00EE0C43">
        <w:t>, paras. 87, 91-92</w:t>
      </w:r>
      <w:r w:rsidRPr="00EE0C43">
        <w:t xml:space="preserve">. </w:t>
      </w:r>
    </w:p>
  </w:footnote>
  <w:footnote w:id="17">
    <w:p w14:paraId="7C6C1D2D" w14:textId="45D0E70B" w:rsidR="00A410F3" w:rsidRPr="00EE0C43" w:rsidRDefault="0070583A" w:rsidP="008B6C22">
      <w:pPr>
        <w:pStyle w:val="FootnoteText"/>
        <w:spacing w:after="120"/>
      </w:pPr>
      <w:r w:rsidRPr="00EE0C43">
        <w:rPr>
          <w:rStyle w:val="FootnoteReference"/>
        </w:rPr>
        <w:footnoteRef/>
      </w:r>
      <w:r w:rsidRPr="00EE0C43">
        <w:t xml:space="preserve"> </w:t>
      </w:r>
      <w:r w:rsidRPr="00EE0C43">
        <w:rPr>
          <w:i/>
        </w:rPr>
        <w:t>See</w:t>
      </w:r>
      <w:r w:rsidRPr="00EE0C43">
        <w:t xml:space="preserve"> </w:t>
      </w:r>
      <w:r w:rsidR="001436A2" w:rsidRPr="00EE0C43">
        <w:rPr>
          <w:i/>
        </w:rPr>
        <w:t>Nexus Order</w:t>
      </w:r>
      <w:r w:rsidR="001436A2" w:rsidRPr="00EE0C43">
        <w:t xml:space="preserve">, </w:t>
      </w:r>
      <w:r w:rsidRPr="00EE0C43">
        <w:t xml:space="preserve">30 FCC Rcd </w:t>
      </w:r>
      <w:r w:rsidR="00C95FD9" w:rsidRPr="00EE0C43">
        <w:t>at</w:t>
      </w:r>
      <w:r w:rsidRPr="00EE0C43">
        <w:t xml:space="preserve"> 7912</w:t>
      </w:r>
      <w:r w:rsidR="00AC7803" w:rsidRPr="00EE0C43">
        <w:t>,</w:t>
      </w:r>
      <w:r w:rsidRPr="00EE0C43">
        <w:t xml:space="preserve"> </w:t>
      </w:r>
      <w:r w:rsidR="00BE058D" w:rsidRPr="00EE0C43">
        <w:t xml:space="preserve">para. 281 </w:t>
      </w:r>
      <w:r w:rsidRPr="00EE0C43">
        <w:t>(fact that other companies publicly filed same information undercuts argument that release of information would cause substantial competitive harm).</w:t>
      </w:r>
    </w:p>
  </w:footnote>
  <w:footnote w:id="18">
    <w:p w14:paraId="4FA9DAFF" w14:textId="64A4711B" w:rsidR="00837A8F" w:rsidRPr="00A4144D" w:rsidRDefault="00837A8F" w:rsidP="008B6C22">
      <w:pPr>
        <w:pStyle w:val="FootnoteText"/>
        <w:spacing w:after="120"/>
      </w:pPr>
      <w:r w:rsidRPr="00EE0C43">
        <w:rPr>
          <w:rStyle w:val="FootnoteReference"/>
        </w:rPr>
        <w:footnoteRef/>
      </w:r>
      <w:r w:rsidRPr="00EE0C43">
        <w:t xml:space="preserve"> </w:t>
      </w:r>
      <w:r w:rsidRPr="00EE0C43">
        <w:rPr>
          <w:i/>
        </w:rPr>
        <w:t>See, e.g.</w:t>
      </w:r>
      <w:r w:rsidRPr="003D4B23">
        <w:t>,</w:t>
      </w:r>
      <w:r w:rsidRPr="00EE0C43">
        <w:rPr>
          <w:i/>
        </w:rPr>
        <w:t xml:space="preserve"> </w:t>
      </w:r>
      <w:r w:rsidRPr="003D4B23">
        <w:t>Atlantic Tele-Network</w:t>
      </w:r>
      <w:r w:rsidR="006D1A6B" w:rsidRPr="003D4B23">
        <w:t>,</w:t>
      </w:r>
      <w:r w:rsidRPr="003D4B23">
        <w:t xml:space="preserve"> Inc., Annual Report (Form 10-K), at 5, 6, 42, 48 (Feb. 29, 2016).</w:t>
      </w:r>
      <w:r w:rsidR="007C1EA2" w:rsidRPr="003D4B23">
        <w:t xml:space="preserve"> </w:t>
      </w:r>
    </w:p>
  </w:footnote>
  <w:footnote w:id="19">
    <w:p w14:paraId="4C163423" w14:textId="102AE028" w:rsidR="007D32F9" w:rsidRPr="00EE0C43" w:rsidRDefault="007D32F9" w:rsidP="008B6C22">
      <w:pPr>
        <w:pStyle w:val="FootnoteText"/>
        <w:spacing w:before="60" w:after="120"/>
        <w:rPr>
          <w:shd w:val="clear" w:color="auto" w:fill="FFFFFF"/>
        </w:rPr>
      </w:pPr>
      <w:r w:rsidRPr="00EE0C43">
        <w:rPr>
          <w:rStyle w:val="FootnoteReference"/>
        </w:rPr>
        <w:footnoteRef/>
      </w:r>
      <w:r w:rsidRPr="00EE0C43">
        <w:t xml:space="preserve"> We are equally unpersuaded by SAL’s argument that </w:t>
      </w:r>
      <w:r w:rsidR="00441AC0" w:rsidRPr="00EE0C43">
        <w:t>the subscriber numbers</w:t>
      </w:r>
      <w:r w:rsidR="00441AC0">
        <w:t xml:space="preserve"> are entitled to confidential treatment based on SAL’s claim that</w:t>
      </w:r>
      <w:r w:rsidR="008A6220">
        <w:t xml:space="preserve"> the</w:t>
      </w:r>
      <w:r w:rsidRPr="00CB542A">
        <w:t xml:space="preserve"> information has been submitted “involuntarily” as a prerequisite to receiving an otherwise unavailable government benefit.  </w:t>
      </w:r>
      <w:r w:rsidRPr="00CB542A">
        <w:rPr>
          <w:i/>
        </w:rPr>
        <w:t>See</w:t>
      </w:r>
      <w:r w:rsidRPr="00CB542A">
        <w:t xml:space="preserve"> Request at 2-3.</w:t>
      </w:r>
      <w:r>
        <w:t xml:space="preserve">  </w:t>
      </w:r>
      <w:r w:rsidRPr="00CB542A">
        <w:t xml:space="preserve">Even if we were to assume for the sake of argument that an auction applicant’s submission of information </w:t>
      </w:r>
      <w:r w:rsidR="00DC2380">
        <w:t xml:space="preserve">required </w:t>
      </w:r>
      <w:r w:rsidRPr="00CB542A">
        <w:t xml:space="preserve">for </w:t>
      </w:r>
      <w:r w:rsidR="00DC2380">
        <w:t xml:space="preserve">eligibility for </w:t>
      </w:r>
      <w:r w:rsidRPr="00CB542A">
        <w:t xml:space="preserve">a bidding credit should be considered “involuntary,” we nonetheless find that SAL’s subscriber information does not meet the criteria for treating involuntarily submitted information as confidential.  </w:t>
      </w:r>
      <w:r w:rsidRPr="00EA02F3">
        <w:rPr>
          <w:i/>
        </w:rPr>
        <w:t xml:space="preserve">See Bartholdi, </w:t>
      </w:r>
      <w:r w:rsidRPr="00EA02F3">
        <w:t xml:space="preserve">114 F.3d at 281 </w:t>
      </w:r>
      <w:r w:rsidRPr="00EA02F3">
        <w:rPr>
          <w:shd w:val="clear" w:color="auto" w:fill="FFFFFF"/>
        </w:rPr>
        <w:t xml:space="preserve">(quoting </w:t>
      </w:r>
      <w:r w:rsidRPr="00EA02F3">
        <w:rPr>
          <w:i/>
          <w:shd w:val="clear" w:color="auto" w:fill="FFFFFF"/>
        </w:rPr>
        <w:t>Nat’l Parks and Conservation Ass’n v. Morton</w:t>
      </w:r>
      <w:r w:rsidRPr="00EA02F3">
        <w:rPr>
          <w:shd w:val="clear" w:color="auto" w:fill="FFFFFF"/>
        </w:rPr>
        <w:t>, 498 F.2d 765, 770 (1974)</w:t>
      </w:r>
      <w:r w:rsidRPr="00EA02F3">
        <w:t xml:space="preserve">) (“. . . [i]nformation obtained under compulsion will be considered confidential only ‘if disclosure . . . is likely to have either of the following effects:  (1) to impair </w:t>
      </w:r>
      <w:r w:rsidRPr="00EA02F3">
        <w:rPr>
          <w:shd w:val="clear" w:color="auto" w:fill="FFFFFF"/>
        </w:rPr>
        <w:t xml:space="preserve">the government’s ability to obtain necessary information in the future; or (2) cause </w:t>
      </w:r>
      <w:r w:rsidRPr="00EA02F3">
        <w:t>substantial</w:t>
      </w:r>
      <w:r w:rsidRPr="00EA02F3">
        <w:rPr>
          <w:shd w:val="clear" w:color="auto" w:fill="FFFFFF"/>
        </w:rPr>
        <w:t xml:space="preserve"> harm to the competitive position of the person from whom the information was obtained.’”)</w:t>
      </w:r>
      <w:r w:rsidRPr="00EA02F3">
        <w:t>.</w:t>
      </w:r>
      <w:r>
        <w:t xml:space="preserve">  </w:t>
      </w:r>
      <w:r w:rsidRPr="00CB542A">
        <w:t xml:space="preserve">SAL has </w:t>
      </w:r>
      <w:r w:rsidR="00FF7A39">
        <w:t xml:space="preserve">also </w:t>
      </w:r>
      <w:r w:rsidRPr="00CB542A">
        <w:t xml:space="preserve">failed to satisfy its burden of demonstrating that </w:t>
      </w:r>
      <w:r w:rsidRPr="00EE0C43">
        <w:t>disclosure of its subscriber numbers is likely to impair our ability to obtain this type of information from auction applicants in the future</w:t>
      </w:r>
      <w:r w:rsidR="006F19CE" w:rsidRPr="00EE0C43">
        <w:t>, particularly in light of the absence of any claim of confidentiality as to such information from other Auction 1002 participants</w:t>
      </w:r>
      <w:r w:rsidRPr="00EE0C43">
        <w:t xml:space="preserve">.  </w:t>
      </w:r>
    </w:p>
  </w:footnote>
  <w:footnote w:id="20">
    <w:p w14:paraId="2502B022" w14:textId="77777777" w:rsidR="0077172C" w:rsidRPr="00EE0C43" w:rsidRDefault="0077172C" w:rsidP="008B6C22">
      <w:pPr>
        <w:pStyle w:val="FootnoteText"/>
        <w:spacing w:before="60" w:after="120"/>
      </w:pPr>
      <w:r w:rsidRPr="00EE0C43">
        <w:rPr>
          <w:rStyle w:val="FootnoteReference"/>
        </w:rPr>
        <w:footnoteRef/>
      </w:r>
      <w:r w:rsidRPr="00EE0C43">
        <w:t xml:space="preserve"> </w:t>
      </w:r>
      <w:r w:rsidRPr="00EE0C43">
        <w:rPr>
          <w:i/>
        </w:rPr>
        <w:t xml:space="preserve">See </w:t>
      </w:r>
      <w:r w:rsidRPr="00EE0C43">
        <w:t xml:space="preserve">Request at 3, citing </w:t>
      </w:r>
      <w:r w:rsidRPr="00EE0C43">
        <w:rPr>
          <w:i/>
        </w:rPr>
        <w:t>Antenna Systems &amp; Supplies, Inc.</w:t>
      </w:r>
      <w:r w:rsidRPr="00EE0C43">
        <w:t>, 20 FCC Rcd 18972 (EB Spectr. Enf. Div. 2005) (</w:t>
      </w:r>
      <w:r w:rsidRPr="00EE0C43">
        <w:rPr>
          <w:i/>
        </w:rPr>
        <w:t>Antenna Systems</w:t>
      </w:r>
      <w:r w:rsidRPr="00EE0C43">
        <w:t xml:space="preserve">); </w:t>
      </w:r>
      <w:r w:rsidRPr="00EE0C43">
        <w:rPr>
          <w:i/>
        </w:rPr>
        <w:t>Mobile Relay Associates</w:t>
      </w:r>
      <w:r w:rsidRPr="00EE0C43">
        <w:t xml:space="preserve">, 14 FCC Rcd 18919 (WTB PSPWD 1999); </w:t>
      </w:r>
      <w:r w:rsidRPr="00EE0C43">
        <w:rPr>
          <w:i/>
        </w:rPr>
        <w:t>Ward &amp; Mendelsohn, P.C.</w:t>
      </w:r>
      <w:r w:rsidRPr="00EE0C43">
        <w:t>, 88 FCC</w:t>
      </w:r>
      <w:r w:rsidR="00911D7A" w:rsidRPr="00EE0C43">
        <w:t xml:space="preserve"> </w:t>
      </w:r>
      <w:r w:rsidRPr="00EE0C43">
        <w:t>2d 1049 (1981) (</w:t>
      </w:r>
      <w:r w:rsidRPr="00EE0C43">
        <w:rPr>
          <w:i/>
        </w:rPr>
        <w:t>Ward &amp; Mendelsohn</w:t>
      </w:r>
      <w:r w:rsidRPr="00EE0C43">
        <w:t>).</w:t>
      </w:r>
    </w:p>
  </w:footnote>
  <w:footnote w:id="21">
    <w:p w14:paraId="732BD53A" w14:textId="77777777" w:rsidR="0077172C" w:rsidRPr="00EE0C43" w:rsidRDefault="0077172C" w:rsidP="008B6C22">
      <w:pPr>
        <w:pStyle w:val="FootnoteText"/>
        <w:spacing w:before="60" w:after="120"/>
      </w:pPr>
      <w:r w:rsidRPr="00EE0C43">
        <w:rPr>
          <w:rStyle w:val="FootnoteReference"/>
        </w:rPr>
        <w:footnoteRef/>
      </w:r>
      <w:r w:rsidRPr="00EE0C43">
        <w:t xml:space="preserve"> </w:t>
      </w:r>
      <w:r w:rsidRPr="00EE0C43">
        <w:rPr>
          <w:i/>
        </w:rPr>
        <w:t>Id</w:t>
      </w:r>
      <w:r w:rsidRPr="00EE0C43">
        <w:t xml:space="preserve">.  </w:t>
      </w:r>
    </w:p>
  </w:footnote>
  <w:footnote w:id="22">
    <w:p w14:paraId="739FF9D8" w14:textId="6B52D496" w:rsidR="0077172C" w:rsidRPr="00EE0C43" w:rsidRDefault="0077172C" w:rsidP="008B6C22">
      <w:pPr>
        <w:pStyle w:val="FootnoteText"/>
        <w:spacing w:before="60" w:after="120"/>
      </w:pPr>
      <w:r w:rsidRPr="00EE0C43">
        <w:rPr>
          <w:rStyle w:val="FootnoteReference"/>
        </w:rPr>
        <w:footnoteRef/>
      </w:r>
      <w:r w:rsidRPr="00EE0C43">
        <w:t xml:space="preserve"> </w:t>
      </w:r>
      <w:r w:rsidRPr="00EE0C43">
        <w:rPr>
          <w:i/>
        </w:rPr>
        <w:t>See Mobile Relay Associates</w:t>
      </w:r>
      <w:r w:rsidRPr="00EE0C43">
        <w:t>, 14 FCC Rcd at 18922-23</w:t>
      </w:r>
      <w:r w:rsidR="00E469CB" w:rsidRPr="00EE0C43">
        <w:t>, para. 8</w:t>
      </w:r>
      <w:r w:rsidRPr="00EE0C43">
        <w:t xml:space="preserve"> (“customer records are among the most basic business records that a company uses in furtherance of its commercial activities”); </w:t>
      </w:r>
      <w:r w:rsidRPr="00EE0C43">
        <w:rPr>
          <w:i/>
        </w:rPr>
        <w:t>Antenna Systems</w:t>
      </w:r>
      <w:r w:rsidRPr="00EE0C43">
        <w:t>, 20 FCC Rcd at 18974</w:t>
      </w:r>
      <w:r w:rsidR="00E469CB" w:rsidRPr="00EE0C43">
        <w:t>, para. 6</w:t>
      </w:r>
      <w:r w:rsidRPr="00EE0C43">
        <w:t xml:space="preserve"> (acknowledging that disclosure of Antenna Systems’ customer records, price lists, sales invoices and presentation could result in substantial competitive harm because its competitors could use this information to solicit its customers)</w:t>
      </w:r>
      <w:r w:rsidR="00AF2654" w:rsidRPr="00EE0C43">
        <w:t xml:space="preserve">; </w:t>
      </w:r>
      <w:r w:rsidR="00AF2654" w:rsidRPr="00EE0C43">
        <w:rPr>
          <w:i/>
        </w:rPr>
        <w:t>Ward &amp; Mendelsohn</w:t>
      </w:r>
      <w:r w:rsidR="00AF2654" w:rsidRPr="00EE0C43">
        <w:t>, 88 FCC</w:t>
      </w:r>
      <w:r w:rsidR="00911D7A" w:rsidRPr="00EE0C43">
        <w:t xml:space="preserve"> </w:t>
      </w:r>
      <w:r w:rsidR="00AF2654" w:rsidRPr="00EE0C43">
        <w:t>2d at 1052-53</w:t>
      </w:r>
      <w:r w:rsidR="00E469CB" w:rsidRPr="00EE0C43">
        <w:t>, para. 10</w:t>
      </w:r>
      <w:r w:rsidRPr="00EE0C43">
        <w:t xml:space="preserve">.   </w:t>
      </w:r>
    </w:p>
  </w:footnote>
  <w:footnote w:id="23">
    <w:p w14:paraId="7883E33D" w14:textId="45A4A4D6" w:rsidR="009E1DB5" w:rsidRPr="00EE0C43" w:rsidRDefault="009E1DB5" w:rsidP="008B6C22">
      <w:pPr>
        <w:pStyle w:val="FootnoteText"/>
        <w:spacing w:after="120"/>
      </w:pPr>
      <w:r w:rsidRPr="00EE0C43">
        <w:rPr>
          <w:rStyle w:val="FootnoteReference"/>
        </w:rPr>
        <w:footnoteRef/>
      </w:r>
      <w:r w:rsidRPr="00EE0C43">
        <w:t xml:space="preserve"> </w:t>
      </w:r>
      <w:r w:rsidRPr="00EE0C43">
        <w:rPr>
          <w:i/>
        </w:rPr>
        <w:t>See Local Competition and Broadband Reporting</w:t>
      </w:r>
      <w:r w:rsidRPr="00EE0C43">
        <w:t>, Report and Order, 15 FCC Rcd 7717, 7758-59</w:t>
      </w:r>
      <w:r w:rsidR="00BE7150" w:rsidRPr="00EE0C43">
        <w:t>, paras. 87-90</w:t>
      </w:r>
      <w:r w:rsidRPr="00EE0C43">
        <w:t xml:space="preserve"> (2013).</w:t>
      </w:r>
    </w:p>
  </w:footnote>
  <w:footnote w:id="24">
    <w:p w14:paraId="672D2A5E" w14:textId="4DF7A746" w:rsidR="009E1DB5" w:rsidRPr="00EE0C43" w:rsidRDefault="009E1DB5" w:rsidP="008B6C22">
      <w:pPr>
        <w:pStyle w:val="FootnoteText"/>
        <w:spacing w:after="120"/>
      </w:pPr>
      <w:r w:rsidRPr="00EE0C43">
        <w:rPr>
          <w:rStyle w:val="FootnoteReference"/>
        </w:rPr>
        <w:footnoteRef/>
      </w:r>
      <w:r w:rsidRPr="00EE0C43">
        <w:t xml:space="preserve"> </w:t>
      </w:r>
      <w:r w:rsidR="00AF75F4" w:rsidRPr="00EE0C43">
        <w:rPr>
          <w:i/>
        </w:rPr>
        <w:t>I</w:t>
      </w:r>
      <w:r w:rsidRPr="00EE0C43">
        <w:rPr>
          <w:i/>
        </w:rPr>
        <w:t>d.</w:t>
      </w:r>
      <w:r w:rsidRPr="00EE0C43">
        <w:t xml:space="preserve"> at 7759</w:t>
      </w:r>
      <w:r w:rsidR="00E469CB" w:rsidRPr="00EE0C43">
        <w:t>, para. 90</w:t>
      </w:r>
      <w:r w:rsidRPr="00EE0C43">
        <w:t>.</w:t>
      </w:r>
    </w:p>
  </w:footnote>
  <w:footnote w:id="25">
    <w:p w14:paraId="6745FA07" w14:textId="30D91441" w:rsidR="002C32CD" w:rsidRPr="00EE0C43" w:rsidRDefault="002C32CD" w:rsidP="008B6C22">
      <w:pPr>
        <w:pStyle w:val="FootnoteText"/>
        <w:spacing w:after="120"/>
      </w:pPr>
      <w:r w:rsidRPr="00EE0C43">
        <w:rPr>
          <w:rStyle w:val="FootnoteReference"/>
        </w:rPr>
        <w:footnoteRef/>
      </w:r>
      <w:r w:rsidRPr="00EE0C43">
        <w:t xml:space="preserve"> </w:t>
      </w:r>
      <w:r w:rsidRPr="00EE0C43">
        <w:rPr>
          <w:i/>
        </w:rPr>
        <w:t>See id.</w:t>
      </w:r>
      <w:r w:rsidRPr="00EE0C43">
        <w:t xml:space="preserve"> at 7758</w:t>
      </w:r>
      <w:r w:rsidR="00E469CB" w:rsidRPr="00EE0C43">
        <w:t>, para. 87</w:t>
      </w:r>
      <w:r w:rsidRPr="00EE0C43">
        <w:t xml:space="preserve">.  In any event, </w:t>
      </w:r>
      <w:r w:rsidR="00946730" w:rsidRPr="00EE0C43">
        <w:t xml:space="preserve">as discussed above, the public has a “compelling interest” in </w:t>
      </w:r>
      <w:r w:rsidR="00BD44B3" w:rsidRPr="00EE0C43">
        <w:t xml:space="preserve">having access to information that bears on </w:t>
      </w:r>
      <w:r w:rsidR="00946730" w:rsidRPr="00EE0C43">
        <w:t xml:space="preserve">an auction applicant’s eligibility for a bidding credit, which is not present in </w:t>
      </w:r>
      <w:r w:rsidR="00C2748D" w:rsidRPr="00EE0C43">
        <w:t xml:space="preserve">the Form 477 context.  </w:t>
      </w:r>
      <w:r w:rsidR="00C2748D" w:rsidRPr="00EE0C43">
        <w:rPr>
          <w:i/>
        </w:rPr>
        <w:t>Northeast Communications</w:t>
      </w:r>
      <w:r w:rsidR="00C2748D" w:rsidRPr="00EE0C43">
        <w:t>, 15 FCC Rcd at 3291</w:t>
      </w:r>
      <w:r w:rsidR="00AC7803" w:rsidRPr="00EE0C43">
        <w:t>, para. 6</w:t>
      </w:r>
      <w:r w:rsidR="00C2748D" w:rsidRPr="00EE0C43">
        <w:t>.</w:t>
      </w:r>
    </w:p>
  </w:footnote>
  <w:footnote w:id="26">
    <w:p w14:paraId="5E461901" w14:textId="77777777" w:rsidR="00407112" w:rsidRPr="00EE0C43" w:rsidRDefault="00407112" w:rsidP="008B6C22">
      <w:pPr>
        <w:pStyle w:val="FootnoteText"/>
        <w:spacing w:before="60" w:after="120"/>
      </w:pPr>
      <w:r w:rsidRPr="00EE0C43">
        <w:rPr>
          <w:rStyle w:val="FootnoteReference"/>
        </w:rPr>
        <w:footnoteRef/>
      </w:r>
      <w:r w:rsidRPr="00EE0C43">
        <w:t xml:space="preserve"> </w:t>
      </w:r>
      <w:r w:rsidRPr="00EE0C43">
        <w:rPr>
          <w:i/>
        </w:rPr>
        <w:t xml:space="preserve">See </w:t>
      </w:r>
      <w:r w:rsidRPr="00EE0C43">
        <w:t>47 CFR § 0.459(g).</w:t>
      </w:r>
    </w:p>
  </w:footnote>
  <w:footnote w:id="27">
    <w:p w14:paraId="0A593FEC" w14:textId="082746CF" w:rsidR="00FC5B02" w:rsidRPr="00EE0C43" w:rsidRDefault="00FC5B02" w:rsidP="008B6C22">
      <w:pPr>
        <w:pStyle w:val="FootnoteText"/>
        <w:spacing w:after="120"/>
      </w:pPr>
      <w:r w:rsidRPr="00EE0C43">
        <w:rPr>
          <w:rStyle w:val="FootnoteReference"/>
        </w:rPr>
        <w:footnoteRef/>
      </w:r>
      <w:r w:rsidRPr="00EE0C43">
        <w:t xml:space="preserve"> </w:t>
      </w:r>
      <w:r w:rsidR="006F19CE" w:rsidRPr="00EE0C43">
        <w:t>To permit SAL adequate time to review and if necessary address the basis for our determination as set forth in this letter, w</w:t>
      </w:r>
      <w:r w:rsidRPr="00EE0C43">
        <w:t xml:space="preserve">e waive on our own motion the requirement in Section 0.459(g) </w:t>
      </w:r>
      <w:r w:rsidR="00AE3D3C" w:rsidRPr="00EE0C43">
        <w:t xml:space="preserve">of the Commission’s rules, </w:t>
      </w:r>
      <w:r w:rsidRPr="00EE0C43">
        <w:t xml:space="preserve">that </w:t>
      </w:r>
      <w:r w:rsidR="009F1AA3" w:rsidRPr="00EE0C43">
        <w:t xml:space="preserve">an application for review </w:t>
      </w:r>
      <w:r w:rsidR="00257286" w:rsidRPr="00EE0C43">
        <w:t xml:space="preserve">be filed within </w:t>
      </w:r>
      <w:r w:rsidRPr="00EE0C43">
        <w:t>10 business day</w:t>
      </w:r>
      <w:r w:rsidR="00257286" w:rsidRPr="00EE0C43">
        <w:t>s</w:t>
      </w:r>
      <w:r w:rsidRPr="00EE0C43">
        <w:t xml:space="preserve"> </w:t>
      </w:r>
      <w:r w:rsidR="00E26C47" w:rsidRPr="00EE0C43">
        <w:t>after t</w:t>
      </w:r>
      <w:r w:rsidR="00D42C90" w:rsidRPr="00EE0C43">
        <w:t xml:space="preserve">he date of oral </w:t>
      </w:r>
      <w:r w:rsidRPr="00EE0C43">
        <w:t>notice of denial</w:t>
      </w:r>
      <w:r w:rsidR="00D42C90" w:rsidRPr="00EE0C43">
        <w:t xml:space="preserve"> of a request for confidentiality</w:t>
      </w:r>
      <w:r w:rsidRPr="00EE0C43">
        <w:t xml:space="preserve">.  </w:t>
      </w:r>
    </w:p>
  </w:footnote>
  <w:footnote w:id="28">
    <w:p w14:paraId="423A155A" w14:textId="7A67702D" w:rsidR="00680534" w:rsidRPr="00EE0C43" w:rsidRDefault="00680534" w:rsidP="008B6C22">
      <w:pPr>
        <w:pStyle w:val="FootnoteText"/>
        <w:spacing w:before="60" w:after="120"/>
      </w:pPr>
      <w:r w:rsidRPr="00EE0C43">
        <w:rPr>
          <w:rStyle w:val="FootnoteReference"/>
        </w:rPr>
        <w:footnoteRef/>
      </w:r>
      <w:r w:rsidRPr="00EE0C43">
        <w:t xml:space="preserve"> </w:t>
      </w:r>
      <w:r w:rsidRPr="00EE0C43">
        <w:rPr>
          <w:i/>
        </w:rPr>
        <w:t xml:space="preserve">See </w:t>
      </w:r>
      <w:r w:rsidR="00846FE3" w:rsidRPr="00EE0C43">
        <w:rPr>
          <w:i/>
        </w:rPr>
        <w:t>Auction 1002 Application Instructions</w:t>
      </w:r>
      <w:r w:rsidR="00E546B6" w:rsidRPr="00EE0C43">
        <w:t xml:space="preserve">, 31 FCC Rcd </w:t>
      </w:r>
      <w:r w:rsidR="00846FE3" w:rsidRPr="00EE0C43">
        <w:t xml:space="preserve">at </w:t>
      </w:r>
      <w:r w:rsidR="00E546B6" w:rsidRPr="00EE0C43">
        <w:t>50</w:t>
      </w:r>
      <w:r w:rsidR="00CC72DC" w:rsidRPr="00EE0C43">
        <w:t>, para. 125</w:t>
      </w:r>
      <w:r w:rsidRPr="00EE0C43">
        <w:t>.</w:t>
      </w:r>
    </w:p>
  </w:footnote>
  <w:footnote w:id="29">
    <w:p w14:paraId="4951FD4E" w14:textId="313E5047" w:rsidR="003D6DF0" w:rsidRPr="00EA02F3" w:rsidRDefault="003D6DF0" w:rsidP="008B6C22">
      <w:pPr>
        <w:pStyle w:val="FootnoteText"/>
        <w:spacing w:before="60" w:after="120"/>
      </w:pPr>
      <w:r w:rsidRPr="00EE0C43">
        <w:rPr>
          <w:rStyle w:val="FootnoteReference"/>
        </w:rPr>
        <w:footnoteRef/>
      </w:r>
      <w:r w:rsidRPr="00EE0C43">
        <w:t xml:space="preserve"> 47 CFR §</w:t>
      </w:r>
      <w:r w:rsidR="006F19CE" w:rsidRPr="00EE0C43">
        <w:t xml:space="preserve">§ 0.131(c), </w:t>
      </w:r>
      <w:r w:rsidRPr="00EE0C43">
        <w:t>0.331.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EBE3E" w14:textId="77777777" w:rsidR="007835C1" w:rsidRDefault="00783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938E4" w14:textId="77777777" w:rsidR="00E8324E" w:rsidRPr="00A30F1E" w:rsidRDefault="00E8324E" w:rsidP="00E8324E">
    <w:pPr>
      <w:rPr>
        <w:sz w:val="22"/>
      </w:rPr>
    </w:pPr>
    <w:r w:rsidRPr="00A30F1E">
      <w:rPr>
        <w:sz w:val="22"/>
      </w:rPr>
      <w:t>Rohan Ranaraja</w:t>
    </w:r>
  </w:p>
  <w:p w14:paraId="02D84C0A" w14:textId="5516B54B" w:rsidR="005754C7" w:rsidRPr="00A30F1E" w:rsidRDefault="00741E8A">
    <w:pPr>
      <w:pStyle w:val="Header"/>
      <w:rPr>
        <w:sz w:val="22"/>
      </w:rPr>
    </w:pPr>
    <w:r w:rsidRPr="00EE0C43">
      <w:rPr>
        <w:sz w:val="22"/>
      </w:rPr>
      <w:t>April</w:t>
    </w:r>
    <w:r w:rsidR="00E8324E" w:rsidRPr="00EE0C43">
      <w:rPr>
        <w:sz w:val="22"/>
      </w:rPr>
      <w:t xml:space="preserve"> </w:t>
    </w:r>
    <w:r w:rsidR="009665F8">
      <w:rPr>
        <w:sz w:val="22"/>
      </w:rPr>
      <w:t>20</w:t>
    </w:r>
    <w:r w:rsidR="00E8324E" w:rsidRPr="00EE0C43">
      <w:rPr>
        <w:sz w:val="22"/>
      </w:rPr>
      <w:t>, 2016</w:t>
    </w:r>
  </w:p>
  <w:p w14:paraId="3EE9BA81" w14:textId="77777777" w:rsidR="005754C7" w:rsidRDefault="005754C7">
    <w:pPr>
      <w:pStyle w:val="Header"/>
      <w:rPr>
        <w:rStyle w:val="PageNumber"/>
        <w:sz w:val="22"/>
      </w:rPr>
    </w:pPr>
    <w:r w:rsidRPr="00A30F1E">
      <w:rPr>
        <w:sz w:val="22"/>
      </w:rPr>
      <w:t xml:space="preserve">Page </w:t>
    </w:r>
    <w:r w:rsidRPr="00A30F1E">
      <w:rPr>
        <w:rStyle w:val="PageNumber"/>
        <w:sz w:val="22"/>
      </w:rPr>
      <w:fldChar w:fldCharType="begin"/>
    </w:r>
    <w:r w:rsidRPr="001F4C9B">
      <w:rPr>
        <w:rStyle w:val="PageNumber"/>
        <w:sz w:val="22"/>
        <w:szCs w:val="22"/>
      </w:rPr>
      <w:instrText xml:space="preserve"> PAGE </w:instrText>
    </w:r>
    <w:r w:rsidRPr="00A30F1E">
      <w:rPr>
        <w:rStyle w:val="PageNumber"/>
        <w:sz w:val="22"/>
      </w:rPr>
      <w:fldChar w:fldCharType="separate"/>
    </w:r>
    <w:r w:rsidR="00171D87">
      <w:rPr>
        <w:rStyle w:val="PageNumber"/>
        <w:noProof/>
        <w:sz w:val="22"/>
        <w:szCs w:val="22"/>
      </w:rPr>
      <w:t>2</w:t>
    </w:r>
    <w:r w:rsidRPr="00A30F1E">
      <w:rPr>
        <w:rStyle w:val="PageNumber"/>
        <w:sz w:val="22"/>
      </w:rPr>
      <w:fldChar w:fldCharType="end"/>
    </w:r>
  </w:p>
  <w:p w14:paraId="1B86533A" w14:textId="6392ED46" w:rsidR="00285985" w:rsidRDefault="001C274F" w:rsidP="00285985">
    <w:pPr>
      <w:jc w:val="center"/>
      <w:outlineLvl w:val="0"/>
      <w:rPr>
        <w:b/>
        <w:sz w:val="22"/>
      </w:rPr>
    </w:pPr>
    <w:r>
      <w:rPr>
        <w:b/>
        <w:sz w:val="22"/>
      </w:rPr>
      <w:t>REDACTED</w:t>
    </w:r>
    <w:r w:rsidR="00285985">
      <w:rPr>
        <w:b/>
        <w:sz w:val="22"/>
      </w:rPr>
      <w:t xml:space="preserve"> FOR PUBLIC INSPECTION</w:t>
    </w:r>
  </w:p>
  <w:p w14:paraId="3A3EEFE7" w14:textId="77777777" w:rsidR="00285985" w:rsidRDefault="00285985">
    <w:pPr>
      <w:pStyle w:val="Header"/>
      <w:rPr>
        <w:rStyle w:val="PageNumbe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2CED" w14:textId="7279192E" w:rsidR="005754C7" w:rsidRDefault="00171D87" w:rsidP="001B78E7">
    <w:pPr>
      <w:pStyle w:val="Header"/>
      <w:tabs>
        <w:tab w:val="clear" w:pos="4320"/>
        <w:tab w:val="clear" w:pos="8640"/>
      </w:tabs>
      <w:spacing w:before="360" w:line="228" w:lineRule="auto"/>
      <w:jc w:val="center"/>
    </w:pPr>
    <w:r>
      <w:rPr>
        <w:rFonts w:ascii="CG Times (W1)" w:hAnsi="CG Times (W1)"/>
        <w:noProof/>
        <w:sz w:val="28"/>
      </w:rPr>
      <w:pict w14:anchorId="2AC7E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5pt;margin-top:4.8pt;width:65pt;height:65pt;z-index:251658240;mso-position-horizontal-relative:text;mso-position-vertical-relative:text">
          <v:imagedata r:id="rId1" o:title=""/>
        </v:shape>
        <o:OLEObject Type="Embed" ProgID="Word.Picture.8" ShapeID="_x0000_s2051" DrawAspect="Content" ObjectID="_1522678773" r:id="rId2"/>
      </w:pict>
    </w:r>
    <w:r w:rsidR="005754C7">
      <w:rPr>
        <w:rFonts w:ascii="CG Times (W1)" w:hAnsi="CG Times (W1)"/>
        <w:sz w:val="28"/>
      </w:rPr>
      <w:t>Federal Communications Commission</w:t>
    </w:r>
  </w:p>
  <w:p w14:paraId="371877AF" w14:textId="77777777" w:rsidR="005754C7" w:rsidRDefault="005754C7" w:rsidP="001B78E7">
    <w:pPr>
      <w:jc w:val="center"/>
    </w:pPr>
    <w:r>
      <w:rPr>
        <w:rFonts w:ascii="CG Times (W1)" w:hAnsi="CG Times (W1)"/>
        <w:sz w:val="28"/>
      </w:rPr>
      <w:t>Washington, D.C. 20554</w:t>
    </w:r>
  </w:p>
  <w:p w14:paraId="40B44A84" w14:textId="77777777" w:rsidR="005754C7" w:rsidRDefault="005754C7">
    <w:pPr>
      <w:pStyle w:val="Header"/>
      <w:tabs>
        <w:tab w:val="clear" w:pos="4320"/>
      </w:tabs>
      <w:jc w:val="center"/>
      <w:rPr>
        <w:sz w:val="22"/>
      </w:rPr>
    </w:pPr>
  </w:p>
  <w:p w14:paraId="7985EE56" w14:textId="0E3EA91D" w:rsidR="00285985" w:rsidRDefault="001C274F" w:rsidP="00285985">
    <w:pPr>
      <w:jc w:val="center"/>
      <w:outlineLvl w:val="0"/>
      <w:rPr>
        <w:b/>
        <w:sz w:val="22"/>
      </w:rPr>
    </w:pPr>
    <w:r>
      <w:rPr>
        <w:b/>
        <w:sz w:val="22"/>
      </w:rPr>
      <w:t>REDACTED</w:t>
    </w:r>
    <w:r w:rsidR="00285985">
      <w:rPr>
        <w:b/>
        <w:sz w:val="22"/>
      </w:rPr>
      <w:t xml:space="preserve"> FOR PUBLIC INSPECTION</w:t>
    </w:r>
  </w:p>
  <w:p w14:paraId="5F9B90E7" w14:textId="77777777" w:rsidR="005754C7" w:rsidRDefault="005754C7" w:rsidP="00285985">
    <w:pPr>
      <w:pStyle w:val="Header"/>
      <w:tabs>
        <w:tab w:val="clear" w:pos="4320"/>
      </w:tabs>
      <w:jc w:val="right"/>
      <w:rPr>
        <w:sz w:val="22"/>
      </w:rPr>
    </w:pPr>
  </w:p>
  <w:p w14:paraId="6E12DDC9" w14:textId="23153669" w:rsidR="005754C7" w:rsidRPr="006A6951" w:rsidRDefault="00741E8A">
    <w:pPr>
      <w:pStyle w:val="Header"/>
      <w:tabs>
        <w:tab w:val="clear" w:pos="4320"/>
      </w:tabs>
      <w:jc w:val="center"/>
      <w:rPr>
        <w:sz w:val="22"/>
      </w:rPr>
    </w:pPr>
    <w:r w:rsidRPr="00EE0C43">
      <w:rPr>
        <w:sz w:val="22"/>
      </w:rPr>
      <w:t>April</w:t>
    </w:r>
    <w:r w:rsidR="00A419F0" w:rsidRPr="00EE0C43">
      <w:rPr>
        <w:sz w:val="22"/>
      </w:rPr>
      <w:t xml:space="preserve"> </w:t>
    </w:r>
    <w:r w:rsidR="009665F8">
      <w:rPr>
        <w:sz w:val="22"/>
      </w:rPr>
      <w:t>20</w:t>
    </w:r>
    <w:r w:rsidR="005754C7" w:rsidRPr="00EE0C43">
      <w:rPr>
        <w:sz w:val="22"/>
      </w:rPr>
      <w:t>, 20</w:t>
    </w:r>
    <w:r w:rsidR="00A419F0" w:rsidRPr="00EE0C43">
      <w:rPr>
        <w:sz w:val="22"/>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BE"/>
    <w:rsid w:val="00001D41"/>
    <w:rsid w:val="00006696"/>
    <w:rsid w:val="0000690D"/>
    <w:rsid w:val="00013537"/>
    <w:rsid w:val="000158FB"/>
    <w:rsid w:val="00016507"/>
    <w:rsid w:val="000215E7"/>
    <w:rsid w:val="00040102"/>
    <w:rsid w:val="00044816"/>
    <w:rsid w:val="00045DAB"/>
    <w:rsid w:val="00063A8D"/>
    <w:rsid w:val="0006469A"/>
    <w:rsid w:val="00080F5A"/>
    <w:rsid w:val="00082C2D"/>
    <w:rsid w:val="00083489"/>
    <w:rsid w:val="00086A77"/>
    <w:rsid w:val="0008706C"/>
    <w:rsid w:val="00095140"/>
    <w:rsid w:val="00095E7C"/>
    <w:rsid w:val="00097170"/>
    <w:rsid w:val="000A1813"/>
    <w:rsid w:val="000A2B6B"/>
    <w:rsid w:val="000A3492"/>
    <w:rsid w:val="000A39AD"/>
    <w:rsid w:val="000A3FC6"/>
    <w:rsid w:val="000B0A93"/>
    <w:rsid w:val="000B0E1B"/>
    <w:rsid w:val="000B32B3"/>
    <w:rsid w:val="000B623A"/>
    <w:rsid w:val="000C44D9"/>
    <w:rsid w:val="000C7325"/>
    <w:rsid w:val="000D040A"/>
    <w:rsid w:val="000D4E9F"/>
    <w:rsid w:val="000E04FE"/>
    <w:rsid w:val="000E15B7"/>
    <w:rsid w:val="000E4032"/>
    <w:rsid w:val="000E48C4"/>
    <w:rsid w:val="000E6407"/>
    <w:rsid w:val="000E6D59"/>
    <w:rsid w:val="000E73BC"/>
    <w:rsid w:val="000F125F"/>
    <w:rsid w:val="000F759B"/>
    <w:rsid w:val="00100030"/>
    <w:rsid w:val="001003BE"/>
    <w:rsid w:val="001021EF"/>
    <w:rsid w:val="00103B6C"/>
    <w:rsid w:val="0010739D"/>
    <w:rsid w:val="00110F93"/>
    <w:rsid w:val="001156D0"/>
    <w:rsid w:val="00117A9B"/>
    <w:rsid w:val="001224A3"/>
    <w:rsid w:val="001310F1"/>
    <w:rsid w:val="001328A4"/>
    <w:rsid w:val="0013303F"/>
    <w:rsid w:val="00136300"/>
    <w:rsid w:val="001436A2"/>
    <w:rsid w:val="00145E8F"/>
    <w:rsid w:val="001475F5"/>
    <w:rsid w:val="00152AC3"/>
    <w:rsid w:val="00153039"/>
    <w:rsid w:val="0015677E"/>
    <w:rsid w:val="00157304"/>
    <w:rsid w:val="0015742B"/>
    <w:rsid w:val="0016262D"/>
    <w:rsid w:val="00164465"/>
    <w:rsid w:val="00171D87"/>
    <w:rsid w:val="00172BBB"/>
    <w:rsid w:val="00182D4B"/>
    <w:rsid w:val="001873D2"/>
    <w:rsid w:val="001905E9"/>
    <w:rsid w:val="001962E3"/>
    <w:rsid w:val="00196FE8"/>
    <w:rsid w:val="001974B6"/>
    <w:rsid w:val="001B327F"/>
    <w:rsid w:val="001B354E"/>
    <w:rsid w:val="001B78E7"/>
    <w:rsid w:val="001B7900"/>
    <w:rsid w:val="001C274F"/>
    <w:rsid w:val="001C3441"/>
    <w:rsid w:val="001C3C96"/>
    <w:rsid w:val="001C56C7"/>
    <w:rsid w:val="001D1D1C"/>
    <w:rsid w:val="001E3338"/>
    <w:rsid w:val="001F1138"/>
    <w:rsid w:val="001F4C9B"/>
    <w:rsid w:val="001F5BA4"/>
    <w:rsid w:val="00201CA3"/>
    <w:rsid w:val="0020327A"/>
    <w:rsid w:val="00207C0F"/>
    <w:rsid w:val="00217BBF"/>
    <w:rsid w:val="002200FC"/>
    <w:rsid w:val="002220E2"/>
    <w:rsid w:val="00234720"/>
    <w:rsid w:val="00237037"/>
    <w:rsid w:val="002543FE"/>
    <w:rsid w:val="00255D2C"/>
    <w:rsid w:val="00257286"/>
    <w:rsid w:val="00257CFD"/>
    <w:rsid w:val="00264407"/>
    <w:rsid w:val="00265E04"/>
    <w:rsid w:val="00266D59"/>
    <w:rsid w:val="002674E2"/>
    <w:rsid w:val="00267D2D"/>
    <w:rsid w:val="00276F6B"/>
    <w:rsid w:val="00280AD5"/>
    <w:rsid w:val="00282CAE"/>
    <w:rsid w:val="00285985"/>
    <w:rsid w:val="00286293"/>
    <w:rsid w:val="00294115"/>
    <w:rsid w:val="002A6F43"/>
    <w:rsid w:val="002B17D1"/>
    <w:rsid w:val="002B2BBB"/>
    <w:rsid w:val="002B49BA"/>
    <w:rsid w:val="002C32CD"/>
    <w:rsid w:val="002C57EC"/>
    <w:rsid w:val="002C5D52"/>
    <w:rsid w:val="002D2E57"/>
    <w:rsid w:val="002D31A8"/>
    <w:rsid w:val="002D45B8"/>
    <w:rsid w:val="002E6A40"/>
    <w:rsid w:val="002F0AE5"/>
    <w:rsid w:val="002F0D9B"/>
    <w:rsid w:val="002F3E0D"/>
    <w:rsid w:val="003037CC"/>
    <w:rsid w:val="00303D0E"/>
    <w:rsid w:val="00306DD2"/>
    <w:rsid w:val="003146F5"/>
    <w:rsid w:val="00316A0A"/>
    <w:rsid w:val="00330B38"/>
    <w:rsid w:val="00331F7C"/>
    <w:rsid w:val="003329AA"/>
    <w:rsid w:val="003335BE"/>
    <w:rsid w:val="003369C8"/>
    <w:rsid w:val="0034035B"/>
    <w:rsid w:val="003414BA"/>
    <w:rsid w:val="0034485A"/>
    <w:rsid w:val="003448A0"/>
    <w:rsid w:val="003535A1"/>
    <w:rsid w:val="003536AB"/>
    <w:rsid w:val="00354B3F"/>
    <w:rsid w:val="0036112C"/>
    <w:rsid w:val="003619F8"/>
    <w:rsid w:val="003629D3"/>
    <w:rsid w:val="00364964"/>
    <w:rsid w:val="003722BE"/>
    <w:rsid w:val="003760DF"/>
    <w:rsid w:val="0037647D"/>
    <w:rsid w:val="00376662"/>
    <w:rsid w:val="00380DC1"/>
    <w:rsid w:val="00381A41"/>
    <w:rsid w:val="00383947"/>
    <w:rsid w:val="00385676"/>
    <w:rsid w:val="00393A38"/>
    <w:rsid w:val="003A0733"/>
    <w:rsid w:val="003A1BD9"/>
    <w:rsid w:val="003A21E9"/>
    <w:rsid w:val="003A5679"/>
    <w:rsid w:val="003A63A4"/>
    <w:rsid w:val="003A768A"/>
    <w:rsid w:val="003A78CA"/>
    <w:rsid w:val="003C1283"/>
    <w:rsid w:val="003D4B23"/>
    <w:rsid w:val="003D4FFF"/>
    <w:rsid w:val="003D6819"/>
    <w:rsid w:val="003D6DF0"/>
    <w:rsid w:val="003D6E29"/>
    <w:rsid w:val="003D6FAC"/>
    <w:rsid w:val="003D7496"/>
    <w:rsid w:val="003E1709"/>
    <w:rsid w:val="003E194D"/>
    <w:rsid w:val="003E1AD0"/>
    <w:rsid w:val="003E5969"/>
    <w:rsid w:val="003E71BD"/>
    <w:rsid w:val="003F5152"/>
    <w:rsid w:val="003F5B38"/>
    <w:rsid w:val="00402450"/>
    <w:rsid w:val="00407112"/>
    <w:rsid w:val="00413E47"/>
    <w:rsid w:val="004143C8"/>
    <w:rsid w:val="00430520"/>
    <w:rsid w:val="00432F6D"/>
    <w:rsid w:val="004340D8"/>
    <w:rsid w:val="0043415C"/>
    <w:rsid w:val="004375D4"/>
    <w:rsid w:val="00441AC0"/>
    <w:rsid w:val="00442A9F"/>
    <w:rsid w:val="0044747F"/>
    <w:rsid w:val="004520D2"/>
    <w:rsid w:val="00454562"/>
    <w:rsid w:val="00454C82"/>
    <w:rsid w:val="00455319"/>
    <w:rsid w:val="00456C9F"/>
    <w:rsid w:val="00456F96"/>
    <w:rsid w:val="0046175E"/>
    <w:rsid w:val="004618C0"/>
    <w:rsid w:val="00462C6E"/>
    <w:rsid w:val="00463710"/>
    <w:rsid w:val="00465CDE"/>
    <w:rsid w:val="00466621"/>
    <w:rsid w:val="004718EA"/>
    <w:rsid w:val="00474F12"/>
    <w:rsid w:val="004760B3"/>
    <w:rsid w:val="004805F2"/>
    <w:rsid w:val="00483C42"/>
    <w:rsid w:val="00485A2E"/>
    <w:rsid w:val="00493A3B"/>
    <w:rsid w:val="004944FF"/>
    <w:rsid w:val="004959FC"/>
    <w:rsid w:val="004A6F53"/>
    <w:rsid w:val="004B3619"/>
    <w:rsid w:val="004B5986"/>
    <w:rsid w:val="004B7FC3"/>
    <w:rsid w:val="004C52D2"/>
    <w:rsid w:val="004C59D0"/>
    <w:rsid w:val="004C5A23"/>
    <w:rsid w:val="004D4827"/>
    <w:rsid w:val="004D5493"/>
    <w:rsid w:val="004E06F2"/>
    <w:rsid w:val="004E3964"/>
    <w:rsid w:val="004E7D74"/>
    <w:rsid w:val="004F5B29"/>
    <w:rsid w:val="004F5EAE"/>
    <w:rsid w:val="004F674F"/>
    <w:rsid w:val="0050441B"/>
    <w:rsid w:val="005121CB"/>
    <w:rsid w:val="005168B7"/>
    <w:rsid w:val="005201A3"/>
    <w:rsid w:val="00522F03"/>
    <w:rsid w:val="005230A3"/>
    <w:rsid w:val="0052497D"/>
    <w:rsid w:val="005254F0"/>
    <w:rsid w:val="005277CA"/>
    <w:rsid w:val="00533245"/>
    <w:rsid w:val="00533754"/>
    <w:rsid w:val="00533922"/>
    <w:rsid w:val="00533AA6"/>
    <w:rsid w:val="00533BEE"/>
    <w:rsid w:val="00536B15"/>
    <w:rsid w:val="00541B46"/>
    <w:rsid w:val="00541D7B"/>
    <w:rsid w:val="00550135"/>
    <w:rsid w:val="0055446D"/>
    <w:rsid w:val="00562777"/>
    <w:rsid w:val="00565C89"/>
    <w:rsid w:val="00566992"/>
    <w:rsid w:val="00567BB7"/>
    <w:rsid w:val="00570EA9"/>
    <w:rsid w:val="00571AE4"/>
    <w:rsid w:val="00571FAB"/>
    <w:rsid w:val="00573C34"/>
    <w:rsid w:val="005754C7"/>
    <w:rsid w:val="005757E7"/>
    <w:rsid w:val="00576F80"/>
    <w:rsid w:val="0058431C"/>
    <w:rsid w:val="005877EA"/>
    <w:rsid w:val="005914D8"/>
    <w:rsid w:val="0059332F"/>
    <w:rsid w:val="005A2716"/>
    <w:rsid w:val="005A2A6A"/>
    <w:rsid w:val="005A502E"/>
    <w:rsid w:val="005B113F"/>
    <w:rsid w:val="005B4180"/>
    <w:rsid w:val="005C1224"/>
    <w:rsid w:val="005C21C6"/>
    <w:rsid w:val="005C4DFA"/>
    <w:rsid w:val="005D01DC"/>
    <w:rsid w:val="005D082C"/>
    <w:rsid w:val="005D25D3"/>
    <w:rsid w:val="005D3232"/>
    <w:rsid w:val="005D6818"/>
    <w:rsid w:val="005D720E"/>
    <w:rsid w:val="005E326C"/>
    <w:rsid w:val="005E35BD"/>
    <w:rsid w:val="005E71EE"/>
    <w:rsid w:val="005F0A69"/>
    <w:rsid w:val="005F3A3D"/>
    <w:rsid w:val="005F3F29"/>
    <w:rsid w:val="005F5599"/>
    <w:rsid w:val="005F56B2"/>
    <w:rsid w:val="006001FC"/>
    <w:rsid w:val="0060193E"/>
    <w:rsid w:val="00605550"/>
    <w:rsid w:val="006056E8"/>
    <w:rsid w:val="0060642E"/>
    <w:rsid w:val="00614127"/>
    <w:rsid w:val="006163FA"/>
    <w:rsid w:val="00623132"/>
    <w:rsid w:val="006247C4"/>
    <w:rsid w:val="0063153B"/>
    <w:rsid w:val="00633A89"/>
    <w:rsid w:val="006356A6"/>
    <w:rsid w:val="006371A8"/>
    <w:rsid w:val="006409D2"/>
    <w:rsid w:val="00642A6B"/>
    <w:rsid w:val="0065059F"/>
    <w:rsid w:val="00651AD9"/>
    <w:rsid w:val="006549DE"/>
    <w:rsid w:val="00654C8A"/>
    <w:rsid w:val="00661379"/>
    <w:rsid w:val="00665B60"/>
    <w:rsid w:val="00671211"/>
    <w:rsid w:val="006739D5"/>
    <w:rsid w:val="00675501"/>
    <w:rsid w:val="00675755"/>
    <w:rsid w:val="00676427"/>
    <w:rsid w:val="00680534"/>
    <w:rsid w:val="00681774"/>
    <w:rsid w:val="00686C21"/>
    <w:rsid w:val="00687264"/>
    <w:rsid w:val="00692447"/>
    <w:rsid w:val="00693B28"/>
    <w:rsid w:val="0069503F"/>
    <w:rsid w:val="00695668"/>
    <w:rsid w:val="006A2B2F"/>
    <w:rsid w:val="006A6951"/>
    <w:rsid w:val="006A7F75"/>
    <w:rsid w:val="006B002D"/>
    <w:rsid w:val="006B1688"/>
    <w:rsid w:val="006B3A56"/>
    <w:rsid w:val="006C3E93"/>
    <w:rsid w:val="006C3ED4"/>
    <w:rsid w:val="006C4C58"/>
    <w:rsid w:val="006C5335"/>
    <w:rsid w:val="006D1A6B"/>
    <w:rsid w:val="006D4FAB"/>
    <w:rsid w:val="006E125C"/>
    <w:rsid w:val="006E5A5E"/>
    <w:rsid w:val="006F19CE"/>
    <w:rsid w:val="006F2082"/>
    <w:rsid w:val="006F22D2"/>
    <w:rsid w:val="006F49BC"/>
    <w:rsid w:val="007006AE"/>
    <w:rsid w:val="00702C68"/>
    <w:rsid w:val="007037D8"/>
    <w:rsid w:val="0070583A"/>
    <w:rsid w:val="00706C92"/>
    <w:rsid w:val="0071154D"/>
    <w:rsid w:val="0071365B"/>
    <w:rsid w:val="0071696C"/>
    <w:rsid w:val="007172B9"/>
    <w:rsid w:val="0072004A"/>
    <w:rsid w:val="007347B4"/>
    <w:rsid w:val="00740306"/>
    <w:rsid w:val="00741E8A"/>
    <w:rsid w:val="007424A9"/>
    <w:rsid w:val="007502D6"/>
    <w:rsid w:val="0075117C"/>
    <w:rsid w:val="00755B37"/>
    <w:rsid w:val="00766D99"/>
    <w:rsid w:val="007704CE"/>
    <w:rsid w:val="0077172C"/>
    <w:rsid w:val="00777CFE"/>
    <w:rsid w:val="007835C1"/>
    <w:rsid w:val="00786AFD"/>
    <w:rsid w:val="00793820"/>
    <w:rsid w:val="00793D73"/>
    <w:rsid w:val="007A1795"/>
    <w:rsid w:val="007A390C"/>
    <w:rsid w:val="007A4F90"/>
    <w:rsid w:val="007A6893"/>
    <w:rsid w:val="007A689C"/>
    <w:rsid w:val="007A7445"/>
    <w:rsid w:val="007A7D31"/>
    <w:rsid w:val="007B2BCB"/>
    <w:rsid w:val="007B2E13"/>
    <w:rsid w:val="007B5E32"/>
    <w:rsid w:val="007C1EA2"/>
    <w:rsid w:val="007C5695"/>
    <w:rsid w:val="007D32F9"/>
    <w:rsid w:val="007D3FAC"/>
    <w:rsid w:val="007E027D"/>
    <w:rsid w:val="007E3D87"/>
    <w:rsid w:val="007E6FAB"/>
    <w:rsid w:val="007F246D"/>
    <w:rsid w:val="00810453"/>
    <w:rsid w:val="00810C2F"/>
    <w:rsid w:val="0081252F"/>
    <w:rsid w:val="008127DA"/>
    <w:rsid w:val="00815BD0"/>
    <w:rsid w:val="008248DB"/>
    <w:rsid w:val="00827225"/>
    <w:rsid w:val="008324ED"/>
    <w:rsid w:val="00837236"/>
    <w:rsid w:val="00837369"/>
    <w:rsid w:val="00837A8F"/>
    <w:rsid w:val="0084416B"/>
    <w:rsid w:val="00846FE3"/>
    <w:rsid w:val="008615F0"/>
    <w:rsid w:val="0087003D"/>
    <w:rsid w:val="008743DA"/>
    <w:rsid w:val="0087468E"/>
    <w:rsid w:val="008758FB"/>
    <w:rsid w:val="00876198"/>
    <w:rsid w:val="00884464"/>
    <w:rsid w:val="008856FE"/>
    <w:rsid w:val="00891604"/>
    <w:rsid w:val="00897C1D"/>
    <w:rsid w:val="008A0D48"/>
    <w:rsid w:val="008A11FD"/>
    <w:rsid w:val="008A53A6"/>
    <w:rsid w:val="008A6220"/>
    <w:rsid w:val="008A62E9"/>
    <w:rsid w:val="008B6457"/>
    <w:rsid w:val="008B6C22"/>
    <w:rsid w:val="008C232C"/>
    <w:rsid w:val="008C2A19"/>
    <w:rsid w:val="008C660F"/>
    <w:rsid w:val="008C6993"/>
    <w:rsid w:val="008D4CC4"/>
    <w:rsid w:val="008D6E41"/>
    <w:rsid w:val="008E0FA7"/>
    <w:rsid w:val="008E2354"/>
    <w:rsid w:val="008E33AA"/>
    <w:rsid w:val="008E6C0D"/>
    <w:rsid w:val="008F3703"/>
    <w:rsid w:val="008F5EA8"/>
    <w:rsid w:val="008F7D12"/>
    <w:rsid w:val="00900390"/>
    <w:rsid w:val="009111F9"/>
    <w:rsid w:val="00911CAD"/>
    <w:rsid w:val="00911D7A"/>
    <w:rsid w:val="0092067D"/>
    <w:rsid w:val="00921207"/>
    <w:rsid w:val="00926FFB"/>
    <w:rsid w:val="00930496"/>
    <w:rsid w:val="009406D0"/>
    <w:rsid w:val="0094541F"/>
    <w:rsid w:val="00945433"/>
    <w:rsid w:val="00946730"/>
    <w:rsid w:val="0095345C"/>
    <w:rsid w:val="009541B2"/>
    <w:rsid w:val="00960297"/>
    <w:rsid w:val="00961E82"/>
    <w:rsid w:val="009665F8"/>
    <w:rsid w:val="0096667C"/>
    <w:rsid w:val="009703C5"/>
    <w:rsid w:val="009717CF"/>
    <w:rsid w:val="00973E72"/>
    <w:rsid w:val="009747FF"/>
    <w:rsid w:val="00976703"/>
    <w:rsid w:val="00984D7D"/>
    <w:rsid w:val="00985FC1"/>
    <w:rsid w:val="00991C7C"/>
    <w:rsid w:val="009A1C4C"/>
    <w:rsid w:val="009A1CA8"/>
    <w:rsid w:val="009A290B"/>
    <w:rsid w:val="009A29E4"/>
    <w:rsid w:val="009A76EC"/>
    <w:rsid w:val="009B16A9"/>
    <w:rsid w:val="009B1997"/>
    <w:rsid w:val="009B6A84"/>
    <w:rsid w:val="009C1665"/>
    <w:rsid w:val="009C55D5"/>
    <w:rsid w:val="009C76A3"/>
    <w:rsid w:val="009D4A48"/>
    <w:rsid w:val="009D6493"/>
    <w:rsid w:val="009E06C5"/>
    <w:rsid w:val="009E1CF7"/>
    <w:rsid w:val="009E1DB5"/>
    <w:rsid w:val="009E38D2"/>
    <w:rsid w:val="009E5826"/>
    <w:rsid w:val="009E6376"/>
    <w:rsid w:val="009F00F4"/>
    <w:rsid w:val="009F1AA3"/>
    <w:rsid w:val="009F4AFB"/>
    <w:rsid w:val="009F565F"/>
    <w:rsid w:val="009F796F"/>
    <w:rsid w:val="00A01F2C"/>
    <w:rsid w:val="00A1033A"/>
    <w:rsid w:val="00A21B20"/>
    <w:rsid w:val="00A26B99"/>
    <w:rsid w:val="00A27A07"/>
    <w:rsid w:val="00A30F1E"/>
    <w:rsid w:val="00A410F3"/>
    <w:rsid w:val="00A4144D"/>
    <w:rsid w:val="00A419F0"/>
    <w:rsid w:val="00A43977"/>
    <w:rsid w:val="00A43ACD"/>
    <w:rsid w:val="00A43AF7"/>
    <w:rsid w:val="00A444C1"/>
    <w:rsid w:val="00A51FF8"/>
    <w:rsid w:val="00A53149"/>
    <w:rsid w:val="00A563CC"/>
    <w:rsid w:val="00A56E61"/>
    <w:rsid w:val="00A64621"/>
    <w:rsid w:val="00A677B1"/>
    <w:rsid w:val="00A71F11"/>
    <w:rsid w:val="00A72669"/>
    <w:rsid w:val="00A746FF"/>
    <w:rsid w:val="00A80958"/>
    <w:rsid w:val="00A82809"/>
    <w:rsid w:val="00A82930"/>
    <w:rsid w:val="00A85213"/>
    <w:rsid w:val="00A93CAA"/>
    <w:rsid w:val="00A93EAF"/>
    <w:rsid w:val="00AA5602"/>
    <w:rsid w:val="00AA56BD"/>
    <w:rsid w:val="00AB006E"/>
    <w:rsid w:val="00AB01CB"/>
    <w:rsid w:val="00AB0FF3"/>
    <w:rsid w:val="00AB19FB"/>
    <w:rsid w:val="00AB5869"/>
    <w:rsid w:val="00AC3041"/>
    <w:rsid w:val="00AC7803"/>
    <w:rsid w:val="00AD4B7F"/>
    <w:rsid w:val="00AD55C3"/>
    <w:rsid w:val="00AD7D6F"/>
    <w:rsid w:val="00AE1EC1"/>
    <w:rsid w:val="00AE3D3C"/>
    <w:rsid w:val="00AE65B9"/>
    <w:rsid w:val="00AF06F7"/>
    <w:rsid w:val="00AF08EC"/>
    <w:rsid w:val="00AF0AA5"/>
    <w:rsid w:val="00AF2654"/>
    <w:rsid w:val="00AF46FA"/>
    <w:rsid w:val="00AF6827"/>
    <w:rsid w:val="00AF72D6"/>
    <w:rsid w:val="00AF75F4"/>
    <w:rsid w:val="00B00ADC"/>
    <w:rsid w:val="00B0142D"/>
    <w:rsid w:val="00B0234C"/>
    <w:rsid w:val="00B0636C"/>
    <w:rsid w:val="00B13204"/>
    <w:rsid w:val="00B1338C"/>
    <w:rsid w:val="00B13E1D"/>
    <w:rsid w:val="00B14D51"/>
    <w:rsid w:val="00B20BE9"/>
    <w:rsid w:val="00B22B5F"/>
    <w:rsid w:val="00B2404A"/>
    <w:rsid w:val="00B30264"/>
    <w:rsid w:val="00B40D55"/>
    <w:rsid w:val="00B4471D"/>
    <w:rsid w:val="00B45956"/>
    <w:rsid w:val="00B46FDB"/>
    <w:rsid w:val="00B53F32"/>
    <w:rsid w:val="00B55EAE"/>
    <w:rsid w:val="00B57221"/>
    <w:rsid w:val="00B60228"/>
    <w:rsid w:val="00B616EA"/>
    <w:rsid w:val="00B63825"/>
    <w:rsid w:val="00B65DE0"/>
    <w:rsid w:val="00B66B90"/>
    <w:rsid w:val="00B72D1C"/>
    <w:rsid w:val="00B7777D"/>
    <w:rsid w:val="00B80C3E"/>
    <w:rsid w:val="00B81A16"/>
    <w:rsid w:val="00B82E7E"/>
    <w:rsid w:val="00B872A5"/>
    <w:rsid w:val="00B87376"/>
    <w:rsid w:val="00B9164F"/>
    <w:rsid w:val="00B91BCE"/>
    <w:rsid w:val="00B92C6B"/>
    <w:rsid w:val="00B92E51"/>
    <w:rsid w:val="00B94CF0"/>
    <w:rsid w:val="00B96287"/>
    <w:rsid w:val="00B97121"/>
    <w:rsid w:val="00B977CD"/>
    <w:rsid w:val="00BA2C25"/>
    <w:rsid w:val="00BA6F5D"/>
    <w:rsid w:val="00BA708F"/>
    <w:rsid w:val="00BA727C"/>
    <w:rsid w:val="00BB3FC4"/>
    <w:rsid w:val="00BB56F0"/>
    <w:rsid w:val="00BB6D54"/>
    <w:rsid w:val="00BB747A"/>
    <w:rsid w:val="00BC22A3"/>
    <w:rsid w:val="00BC4352"/>
    <w:rsid w:val="00BC50CE"/>
    <w:rsid w:val="00BC6865"/>
    <w:rsid w:val="00BC73C1"/>
    <w:rsid w:val="00BD0FCB"/>
    <w:rsid w:val="00BD2B0B"/>
    <w:rsid w:val="00BD3AAC"/>
    <w:rsid w:val="00BD44B3"/>
    <w:rsid w:val="00BD57A4"/>
    <w:rsid w:val="00BE058D"/>
    <w:rsid w:val="00BE422B"/>
    <w:rsid w:val="00BE7150"/>
    <w:rsid w:val="00BE78B2"/>
    <w:rsid w:val="00BF200A"/>
    <w:rsid w:val="00BF3B8E"/>
    <w:rsid w:val="00C07A94"/>
    <w:rsid w:val="00C07D54"/>
    <w:rsid w:val="00C11E34"/>
    <w:rsid w:val="00C148FC"/>
    <w:rsid w:val="00C219F4"/>
    <w:rsid w:val="00C2338D"/>
    <w:rsid w:val="00C2485F"/>
    <w:rsid w:val="00C2581C"/>
    <w:rsid w:val="00C2748D"/>
    <w:rsid w:val="00C33A5E"/>
    <w:rsid w:val="00C350C1"/>
    <w:rsid w:val="00C35F59"/>
    <w:rsid w:val="00C439F4"/>
    <w:rsid w:val="00C43A2F"/>
    <w:rsid w:val="00C443BB"/>
    <w:rsid w:val="00C4458D"/>
    <w:rsid w:val="00C44AE3"/>
    <w:rsid w:val="00C46068"/>
    <w:rsid w:val="00C47F2F"/>
    <w:rsid w:val="00C50ED7"/>
    <w:rsid w:val="00C54AF5"/>
    <w:rsid w:val="00C6059E"/>
    <w:rsid w:val="00C630C9"/>
    <w:rsid w:val="00C635D4"/>
    <w:rsid w:val="00C70AA7"/>
    <w:rsid w:val="00C73928"/>
    <w:rsid w:val="00C7552A"/>
    <w:rsid w:val="00C81C31"/>
    <w:rsid w:val="00C86C77"/>
    <w:rsid w:val="00C87EBA"/>
    <w:rsid w:val="00C95FD9"/>
    <w:rsid w:val="00C9781B"/>
    <w:rsid w:val="00CA01E7"/>
    <w:rsid w:val="00CA0E8F"/>
    <w:rsid w:val="00CA3A87"/>
    <w:rsid w:val="00CB542A"/>
    <w:rsid w:val="00CC0682"/>
    <w:rsid w:val="00CC1EFD"/>
    <w:rsid w:val="00CC2F6E"/>
    <w:rsid w:val="00CC4FA8"/>
    <w:rsid w:val="00CC52D1"/>
    <w:rsid w:val="00CC72DC"/>
    <w:rsid w:val="00CD135C"/>
    <w:rsid w:val="00CD1363"/>
    <w:rsid w:val="00CE0139"/>
    <w:rsid w:val="00CE3322"/>
    <w:rsid w:val="00CF2DDC"/>
    <w:rsid w:val="00CF4054"/>
    <w:rsid w:val="00CF6E2E"/>
    <w:rsid w:val="00D01275"/>
    <w:rsid w:val="00D11E9B"/>
    <w:rsid w:val="00D12987"/>
    <w:rsid w:val="00D12CA0"/>
    <w:rsid w:val="00D13B0E"/>
    <w:rsid w:val="00D2232D"/>
    <w:rsid w:val="00D25548"/>
    <w:rsid w:val="00D25B5E"/>
    <w:rsid w:val="00D3187E"/>
    <w:rsid w:val="00D31EAF"/>
    <w:rsid w:val="00D32496"/>
    <w:rsid w:val="00D41B26"/>
    <w:rsid w:val="00D42C90"/>
    <w:rsid w:val="00D435BF"/>
    <w:rsid w:val="00D4489F"/>
    <w:rsid w:val="00D45A20"/>
    <w:rsid w:val="00D46278"/>
    <w:rsid w:val="00D51614"/>
    <w:rsid w:val="00D546E2"/>
    <w:rsid w:val="00D57532"/>
    <w:rsid w:val="00D6535D"/>
    <w:rsid w:val="00D71046"/>
    <w:rsid w:val="00D740F2"/>
    <w:rsid w:val="00D84014"/>
    <w:rsid w:val="00D84FCB"/>
    <w:rsid w:val="00D85B87"/>
    <w:rsid w:val="00D8709A"/>
    <w:rsid w:val="00D90D61"/>
    <w:rsid w:val="00D96D42"/>
    <w:rsid w:val="00D9723B"/>
    <w:rsid w:val="00D97986"/>
    <w:rsid w:val="00DA0019"/>
    <w:rsid w:val="00DA32C0"/>
    <w:rsid w:val="00DA4057"/>
    <w:rsid w:val="00DB2AC9"/>
    <w:rsid w:val="00DB2CF3"/>
    <w:rsid w:val="00DB5D16"/>
    <w:rsid w:val="00DB5D80"/>
    <w:rsid w:val="00DB7AB7"/>
    <w:rsid w:val="00DC2380"/>
    <w:rsid w:val="00DC4516"/>
    <w:rsid w:val="00DC457F"/>
    <w:rsid w:val="00DC501E"/>
    <w:rsid w:val="00DC6273"/>
    <w:rsid w:val="00DC74B0"/>
    <w:rsid w:val="00DD2126"/>
    <w:rsid w:val="00DD42CE"/>
    <w:rsid w:val="00DD4406"/>
    <w:rsid w:val="00DD4951"/>
    <w:rsid w:val="00DD4C32"/>
    <w:rsid w:val="00DD4D7B"/>
    <w:rsid w:val="00DD5E5F"/>
    <w:rsid w:val="00DD61C5"/>
    <w:rsid w:val="00DE2026"/>
    <w:rsid w:val="00DE5C5F"/>
    <w:rsid w:val="00DE6DC9"/>
    <w:rsid w:val="00DE7F5C"/>
    <w:rsid w:val="00DF09B9"/>
    <w:rsid w:val="00DF261F"/>
    <w:rsid w:val="00DF6BA2"/>
    <w:rsid w:val="00E0051C"/>
    <w:rsid w:val="00E01982"/>
    <w:rsid w:val="00E01A9E"/>
    <w:rsid w:val="00E03DED"/>
    <w:rsid w:val="00E07E8A"/>
    <w:rsid w:val="00E10ADA"/>
    <w:rsid w:val="00E11B33"/>
    <w:rsid w:val="00E15B21"/>
    <w:rsid w:val="00E22095"/>
    <w:rsid w:val="00E23AEA"/>
    <w:rsid w:val="00E24717"/>
    <w:rsid w:val="00E26C47"/>
    <w:rsid w:val="00E32AE0"/>
    <w:rsid w:val="00E33DB5"/>
    <w:rsid w:val="00E361D8"/>
    <w:rsid w:val="00E403E9"/>
    <w:rsid w:val="00E42B98"/>
    <w:rsid w:val="00E45C8C"/>
    <w:rsid w:val="00E469CB"/>
    <w:rsid w:val="00E54150"/>
    <w:rsid w:val="00E546B6"/>
    <w:rsid w:val="00E6012C"/>
    <w:rsid w:val="00E642ED"/>
    <w:rsid w:val="00E669DF"/>
    <w:rsid w:val="00E71C42"/>
    <w:rsid w:val="00E8038E"/>
    <w:rsid w:val="00E8324E"/>
    <w:rsid w:val="00E846C0"/>
    <w:rsid w:val="00E84766"/>
    <w:rsid w:val="00E84AF0"/>
    <w:rsid w:val="00E86733"/>
    <w:rsid w:val="00E86E34"/>
    <w:rsid w:val="00E95070"/>
    <w:rsid w:val="00E978D5"/>
    <w:rsid w:val="00EA02F3"/>
    <w:rsid w:val="00EA051E"/>
    <w:rsid w:val="00EA377A"/>
    <w:rsid w:val="00EA3BAA"/>
    <w:rsid w:val="00EB2E82"/>
    <w:rsid w:val="00EB47E4"/>
    <w:rsid w:val="00EB5243"/>
    <w:rsid w:val="00EB63E3"/>
    <w:rsid w:val="00EB6F94"/>
    <w:rsid w:val="00EC1857"/>
    <w:rsid w:val="00EC3BF6"/>
    <w:rsid w:val="00EC4928"/>
    <w:rsid w:val="00EC4CE1"/>
    <w:rsid w:val="00EC595B"/>
    <w:rsid w:val="00EC5C71"/>
    <w:rsid w:val="00ED42F7"/>
    <w:rsid w:val="00EE0C43"/>
    <w:rsid w:val="00EE11EF"/>
    <w:rsid w:val="00EE2249"/>
    <w:rsid w:val="00EE54C4"/>
    <w:rsid w:val="00EE73FA"/>
    <w:rsid w:val="00EE7DA0"/>
    <w:rsid w:val="00EF4D2B"/>
    <w:rsid w:val="00EF5038"/>
    <w:rsid w:val="00F04E93"/>
    <w:rsid w:val="00F11487"/>
    <w:rsid w:val="00F154A4"/>
    <w:rsid w:val="00F16B8C"/>
    <w:rsid w:val="00F17AE2"/>
    <w:rsid w:val="00F20905"/>
    <w:rsid w:val="00F21458"/>
    <w:rsid w:val="00F24055"/>
    <w:rsid w:val="00F255BD"/>
    <w:rsid w:val="00F278FD"/>
    <w:rsid w:val="00F27C96"/>
    <w:rsid w:val="00F30F82"/>
    <w:rsid w:val="00F33020"/>
    <w:rsid w:val="00F33B3A"/>
    <w:rsid w:val="00F47237"/>
    <w:rsid w:val="00F538C8"/>
    <w:rsid w:val="00F54B11"/>
    <w:rsid w:val="00F563F7"/>
    <w:rsid w:val="00F63CB8"/>
    <w:rsid w:val="00F70601"/>
    <w:rsid w:val="00F71D60"/>
    <w:rsid w:val="00F7655C"/>
    <w:rsid w:val="00F827F2"/>
    <w:rsid w:val="00F83465"/>
    <w:rsid w:val="00F834A4"/>
    <w:rsid w:val="00F87070"/>
    <w:rsid w:val="00F9083D"/>
    <w:rsid w:val="00F91B4F"/>
    <w:rsid w:val="00F92E54"/>
    <w:rsid w:val="00F9485C"/>
    <w:rsid w:val="00F96374"/>
    <w:rsid w:val="00F97EDD"/>
    <w:rsid w:val="00FA45B5"/>
    <w:rsid w:val="00FA53F2"/>
    <w:rsid w:val="00FA66E4"/>
    <w:rsid w:val="00FA75A1"/>
    <w:rsid w:val="00FA7A1F"/>
    <w:rsid w:val="00FB072F"/>
    <w:rsid w:val="00FB1BE6"/>
    <w:rsid w:val="00FB2028"/>
    <w:rsid w:val="00FB21B0"/>
    <w:rsid w:val="00FB4325"/>
    <w:rsid w:val="00FB774E"/>
    <w:rsid w:val="00FC58F5"/>
    <w:rsid w:val="00FC5B02"/>
    <w:rsid w:val="00FC6C06"/>
    <w:rsid w:val="00FC757E"/>
    <w:rsid w:val="00FD27AE"/>
    <w:rsid w:val="00FD34C4"/>
    <w:rsid w:val="00FD5507"/>
    <w:rsid w:val="00FD6A14"/>
    <w:rsid w:val="00FD783D"/>
    <w:rsid w:val="00FE3525"/>
    <w:rsid w:val="00FE65C7"/>
    <w:rsid w:val="00FE6BE5"/>
    <w:rsid w:val="00FE7908"/>
    <w:rsid w:val="00FE7D12"/>
    <w:rsid w:val="00FF1E14"/>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
    <w:basedOn w:val="Normal"/>
    <w:link w:val="FootnoteTextChar"/>
    <w:uiPriority w:val="99"/>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rPr>
      <w:vertAlign w:val="superscript"/>
    </w:rPr>
  </w:style>
  <w:style w:type="character" w:styleId="Strong">
    <w:name w:val="Strong"/>
    <w:uiPriority w:val="22"/>
    <w:qFormat/>
    <w:rsid w:val="004375D4"/>
    <w:rPr>
      <w:b/>
      <w:bCs/>
    </w:rPr>
  </w:style>
  <w:style w:type="character" w:customStyle="1" w:styleId="pmterms11">
    <w:name w:val="pmterms11"/>
    <w:rsid w:val="00671211"/>
    <w:rPr>
      <w:b/>
      <w:bCs/>
      <w:i w:val="0"/>
      <w:iCs w:val="0"/>
      <w:color w:val="000000"/>
    </w:rPr>
  </w:style>
  <w:style w:type="character" w:customStyle="1" w:styleId="term1">
    <w:name w:val="term1"/>
    <w:rsid w:val="00671211"/>
    <w:rPr>
      <w:b/>
      <w:bCs/>
    </w:rPr>
  </w:style>
  <w:style w:type="character" w:styleId="Hyperlink">
    <w:name w:val="Hyperlink"/>
    <w:uiPriority w:val="99"/>
    <w:semiHidden/>
    <w:unhideWhenUsed/>
    <w:rsid w:val="00671211"/>
    <w:rPr>
      <w:strike w:val="0"/>
      <w:dstrike w:val="0"/>
      <w:color w:val="004B91"/>
      <w:u w:val="none"/>
      <w:effect w:val="none"/>
    </w:rPr>
  </w:style>
  <w:style w:type="character" w:customStyle="1" w:styleId="apple-converted-space">
    <w:name w:val="apple-converted-space"/>
    <w:rsid w:val="00DB2AC9"/>
  </w:style>
  <w:style w:type="paragraph" w:styleId="BalloonText">
    <w:name w:val="Balloon Text"/>
    <w:basedOn w:val="Normal"/>
    <w:link w:val="BalloonTextChar"/>
    <w:uiPriority w:val="99"/>
    <w:semiHidden/>
    <w:unhideWhenUsed/>
    <w:rsid w:val="00EE7DA0"/>
    <w:rPr>
      <w:rFonts w:ascii="Segoe UI" w:hAnsi="Segoe UI" w:cs="Segoe UI"/>
      <w:sz w:val="18"/>
      <w:szCs w:val="18"/>
    </w:rPr>
  </w:style>
  <w:style w:type="character" w:customStyle="1" w:styleId="BalloonTextChar">
    <w:name w:val="Balloon Text Char"/>
    <w:link w:val="BalloonText"/>
    <w:uiPriority w:val="99"/>
    <w:semiHidden/>
    <w:rsid w:val="00EE7DA0"/>
    <w:rPr>
      <w:rFonts w:ascii="Segoe UI" w:hAnsi="Segoe UI" w:cs="Segoe UI"/>
      <w:sz w:val="18"/>
      <w:szCs w:val="18"/>
    </w:rPr>
  </w:style>
  <w:style w:type="character" w:styleId="CommentReference">
    <w:name w:val="annotation reference"/>
    <w:uiPriority w:val="99"/>
    <w:semiHidden/>
    <w:unhideWhenUsed/>
    <w:rsid w:val="003D6819"/>
    <w:rPr>
      <w:sz w:val="16"/>
      <w:szCs w:val="16"/>
    </w:rPr>
  </w:style>
  <w:style w:type="paragraph" w:styleId="CommentText">
    <w:name w:val="annotation text"/>
    <w:basedOn w:val="Normal"/>
    <w:link w:val="CommentTextChar"/>
    <w:uiPriority w:val="99"/>
    <w:semiHidden/>
    <w:unhideWhenUsed/>
    <w:rsid w:val="003D6819"/>
  </w:style>
  <w:style w:type="character" w:customStyle="1" w:styleId="CommentTextChar">
    <w:name w:val="Comment Text Char"/>
    <w:basedOn w:val="DefaultParagraphFont"/>
    <w:link w:val="CommentText"/>
    <w:uiPriority w:val="99"/>
    <w:semiHidden/>
    <w:rsid w:val="003D6819"/>
  </w:style>
  <w:style w:type="paragraph" w:styleId="CommentSubject">
    <w:name w:val="annotation subject"/>
    <w:basedOn w:val="CommentText"/>
    <w:next w:val="CommentText"/>
    <w:link w:val="CommentSubjectChar"/>
    <w:uiPriority w:val="99"/>
    <w:semiHidden/>
    <w:unhideWhenUsed/>
    <w:rsid w:val="003D6819"/>
    <w:rPr>
      <w:b/>
      <w:bCs/>
    </w:rPr>
  </w:style>
  <w:style w:type="character" w:customStyle="1" w:styleId="CommentSubjectChar">
    <w:name w:val="Comment Subject Char"/>
    <w:link w:val="CommentSubject"/>
    <w:uiPriority w:val="99"/>
    <w:semiHidden/>
    <w:rsid w:val="003D6819"/>
    <w:rPr>
      <w:b/>
      <w:bCs/>
    </w:rPr>
  </w:style>
  <w:style w:type="character" w:customStyle="1" w:styleId="pmterms3">
    <w:name w:val="pmterms3"/>
    <w:rsid w:val="00FD783D"/>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link w:val="FootnoteText"/>
    <w:semiHidden/>
    <w:rsid w:val="002C5D52"/>
  </w:style>
  <w:style w:type="paragraph" w:styleId="Revision">
    <w:name w:val="Revision"/>
    <w:hidden/>
    <w:uiPriority w:val="99"/>
    <w:semiHidden/>
    <w:rsid w:val="008A6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1,fn "/>
    <w:basedOn w:val="Normal"/>
    <w:link w:val="FootnoteTextChar"/>
    <w:uiPriority w:val="99"/>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rPr>
      <w:vertAlign w:val="superscript"/>
    </w:rPr>
  </w:style>
  <w:style w:type="character" w:styleId="Strong">
    <w:name w:val="Strong"/>
    <w:uiPriority w:val="22"/>
    <w:qFormat/>
    <w:rsid w:val="004375D4"/>
    <w:rPr>
      <w:b/>
      <w:bCs/>
    </w:rPr>
  </w:style>
  <w:style w:type="character" w:customStyle="1" w:styleId="pmterms11">
    <w:name w:val="pmterms11"/>
    <w:rsid w:val="00671211"/>
    <w:rPr>
      <w:b/>
      <w:bCs/>
      <w:i w:val="0"/>
      <w:iCs w:val="0"/>
      <w:color w:val="000000"/>
    </w:rPr>
  </w:style>
  <w:style w:type="character" w:customStyle="1" w:styleId="term1">
    <w:name w:val="term1"/>
    <w:rsid w:val="00671211"/>
    <w:rPr>
      <w:b/>
      <w:bCs/>
    </w:rPr>
  </w:style>
  <w:style w:type="character" w:styleId="Hyperlink">
    <w:name w:val="Hyperlink"/>
    <w:uiPriority w:val="99"/>
    <w:semiHidden/>
    <w:unhideWhenUsed/>
    <w:rsid w:val="00671211"/>
    <w:rPr>
      <w:strike w:val="0"/>
      <w:dstrike w:val="0"/>
      <w:color w:val="004B91"/>
      <w:u w:val="none"/>
      <w:effect w:val="none"/>
    </w:rPr>
  </w:style>
  <w:style w:type="character" w:customStyle="1" w:styleId="apple-converted-space">
    <w:name w:val="apple-converted-space"/>
    <w:rsid w:val="00DB2AC9"/>
  </w:style>
  <w:style w:type="paragraph" w:styleId="BalloonText">
    <w:name w:val="Balloon Text"/>
    <w:basedOn w:val="Normal"/>
    <w:link w:val="BalloonTextChar"/>
    <w:uiPriority w:val="99"/>
    <w:semiHidden/>
    <w:unhideWhenUsed/>
    <w:rsid w:val="00EE7DA0"/>
    <w:rPr>
      <w:rFonts w:ascii="Segoe UI" w:hAnsi="Segoe UI" w:cs="Segoe UI"/>
      <w:sz w:val="18"/>
      <w:szCs w:val="18"/>
    </w:rPr>
  </w:style>
  <w:style w:type="character" w:customStyle="1" w:styleId="BalloonTextChar">
    <w:name w:val="Balloon Text Char"/>
    <w:link w:val="BalloonText"/>
    <w:uiPriority w:val="99"/>
    <w:semiHidden/>
    <w:rsid w:val="00EE7DA0"/>
    <w:rPr>
      <w:rFonts w:ascii="Segoe UI" w:hAnsi="Segoe UI" w:cs="Segoe UI"/>
      <w:sz w:val="18"/>
      <w:szCs w:val="18"/>
    </w:rPr>
  </w:style>
  <w:style w:type="character" w:styleId="CommentReference">
    <w:name w:val="annotation reference"/>
    <w:uiPriority w:val="99"/>
    <w:semiHidden/>
    <w:unhideWhenUsed/>
    <w:rsid w:val="003D6819"/>
    <w:rPr>
      <w:sz w:val="16"/>
      <w:szCs w:val="16"/>
    </w:rPr>
  </w:style>
  <w:style w:type="paragraph" w:styleId="CommentText">
    <w:name w:val="annotation text"/>
    <w:basedOn w:val="Normal"/>
    <w:link w:val="CommentTextChar"/>
    <w:uiPriority w:val="99"/>
    <w:semiHidden/>
    <w:unhideWhenUsed/>
    <w:rsid w:val="003D6819"/>
  </w:style>
  <w:style w:type="character" w:customStyle="1" w:styleId="CommentTextChar">
    <w:name w:val="Comment Text Char"/>
    <w:basedOn w:val="DefaultParagraphFont"/>
    <w:link w:val="CommentText"/>
    <w:uiPriority w:val="99"/>
    <w:semiHidden/>
    <w:rsid w:val="003D6819"/>
  </w:style>
  <w:style w:type="paragraph" w:styleId="CommentSubject">
    <w:name w:val="annotation subject"/>
    <w:basedOn w:val="CommentText"/>
    <w:next w:val="CommentText"/>
    <w:link w:val="CommentSubjectChar"/>
    <w:uiPriority w:val="99"/>
    <w:semiHidden/>
    <w:unhideWhenUsed/>
    <w:rsid w:val="003D6819"/>
    <w:rPr>
      <w:b/>
      <w:bCs/>
    </w:rPr>
  </w:style>
  <w:style w:type="character" w:customStyle="1" w:styleId="CommentSubjectChar">
    <w:name w:val="Comment Subject Char"/>
    <w:link w:val="CommentSubject"/>
    <w:uiPriority w:val="99"/>
    <w:semiHidden/>
    <w:rsid w:val="003D6819"/>
    <w:rPr>
      <w:b/>
      <w:bCs/>
    </w:rPr>
  </w:style>
  <w:style w:type="character" w:customStyle="1" w:styleId="pmterms3">
    <w:name w:val="pmterms3"/>
    <w:rsid w:val="00FD783D"/>
  </w:style>
  <w:style w:type="character" w:customStyle="1" w:styleId="FootnoteTextChar">
    <w:name w:val="Footnote Text Char"/>
    <w:aliases w:val="ALTS FOOTNOTE Char1,fn Char2,ALTS FOOTNOTE Char Char,fn Char Char,Footnote Text Char1 Char Char,Footnote Text Char Char Char Char,Footnote Text Char2 Char Char Char Char,Footnote Text Char1 Char1 Char Char Char Char,f Char,fn  Char"/>
    <w:link w:val="FootnoteText"/>
    <w:semiHidden/>
    <w:rsid w:val="002C5D52"/>
  </w:style>
  <w:style w:type="paragraph" w:styleId="Revision">
    <w:name w:val="Revision"/>
    <w:hidden/>
    <w:uiPriority w:val="99"/>
    <w:semiHidden/>
    <w:rsid w:val="008A6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Letter</Template>
  <TotalTime>0</TotalTime>
  <Pages>3</Pages>
  <Words>1432</Words>
  <Characters>8175</Characters>
  <Application>Microsoft Office Word</Application>
  <DocSecurity>0</DocSecurity>
  <Lines>134</Lines>
  <Paragraphs>26</Paragraphs>
  <ScaleCrop>false</ScaleCrop>
  <HeadingPairs>
    <vt:vector size="2" baseType="variant">
      <vt:variant>
        <vt:lpstr>Title</vt:lpstr>
      </vt:variant>
      <vt:variant>
        <vt:i4>1</vt:i4>
      </vt:variant>
    </vt:vector>
  </HeadingPairs>
  <TitlesOfParts>
    <vt:vector size="1" baseType="lpstr">
      <vt:lpstr>DA 01-xxxx</vt:lpstr>
    </vt:vector>
  </TitlesOfParts>
  <Manager/>
  <Company/>
  <LinksUpToDate>false</LinksUpToDate>
  <CharactersWithSpaces>9653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2016-04-20T20:15:00Z</cp:lastPrinted>
  <dcterms:created xsi:type="dcterms:W3CDTF">2016-04-20T21:33:00Z</dcterms:created>
  <dcterms:modified xsi:type="dcterms:W3CDTF">2016-04-20T21:33:00Z</dcterms:modified>
  <cp:category> </cp:category>
  <cp:contentStatus> </cp:contentStatus>
</cp:coreProperties>
</file>