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6F0FE"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B180B81" w14:textId="77777777" w:rsidR="00921803" w:rsidRDefault="00921803" w:rsidP="00921803">
      <w:pPr>
        <w:pStyle w:val="StyleBoldCentered"/>
      </w:pPr>
      <w:r>
        <w:t>F</w:t>
      </w:r>
      <w:r>
        <w:rPr>
          <w:caps w:val="0"/>
        </w:rPr>
        <w:t>ederal Communications Commission</w:t>
      </w:r>
    </w:p>
    <w:p w14:paraId="347E156D" w14:textId="77777777" w:rsidR="004C2EE3" w:rsidRDefault="00810B6F" w:rsidP="00096D8C">
      <w:pPr>
        <w:pStyle w:val="StyleBoldCentered"/>
      </w:pPr>
      <w:r>
        <w:rPr>
          <w:caps w:val="0"/>
        </w:rPr>
        <w:t>Washington, D.C. 20554</w:t>
      </w:r>
    </w:p>
    <w:p w14:paraId="6408CDF6" w14:textId="77777777" w:rsidR="004C2EE3" w:rsidRDefault="004C2EE3" w:rsidP="0070224F"/>
    <w:p w14:paraId="40D24EA1"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4DD4595" w14:textId="77777777">
        <w:tc>
          <w:tcPr>
            <w:tcW w:w="4698" w:type="dxa"/>
          </w:tcPr>
          <w:p w14:paraId="5F1F3E6B" w14:textId="77777777" w:rsidR="004C2EE3" w:rsidRDefault="004C2EE3">
            <w:pPr>
              <w:tabs>
                <w:tab w:val="center" w:pos="4680"/>
              </w:tabs>
              <w:suppressAutoHyphens/>
              <w:rPr>
                <w:spacing w:val="-2"/>
              </w:rPr>
            </w:pPr>
            <w:r>
              <w:rPr>
                <w:spacing w:val="-2"/>
              </w:rPr>
              <w:t>In the Matter of</w:t>
            </w:r>
          </w:p>
          <w:p w14:paraId="4CAA7719" w14:textId="77777777" w:rsidR="004C2EE3" w:rsidRDefault="004C2EE3">
            <w:pPr>
              <w:tabs>
                <w:tab w:val="center" w:pos="4680"/>
              </w:tabs>
              <w:suppressAutoHyphens/>
              <w:rPr>
                <w:spacing w:val="-2"/>
              </w:rPr>
            </w:pPr>
          </w:p>
          <w:p w14:paraId="42A7C6F5" w14:textId="77777777" w:rsidR="004C2EE3" w:rsidRDefault="005B2CFD" w:rsidP="007115F7">
            <w:pPr>
              <w:tabs>
                <w:tab w:val="center" w:pos="4680"/>
              </w:tabs>
              <w:suppressAutoHyphens/>
              <w:rPr>
                <w:spacing w:val="-2"/>
              </w:rPr>
            </w:pPr>
            <w:r>
              <w:rPr>
                <w:spacing w:val="-2"/>
              </w:rPr>
              <w:t>Time Warner Cable Inc.</w:t>
            </w:r>
          </w:p>
          <w:p w14:paraId="39888CC8" w14:textId="77777777" w:rsidR="005B2CFD" w:rsidRDefault="005B2CFD" w:rsidP="007115F7">
            <w:pPr>
              <w:tabs>
                <w:tab w:val="center" w:pos="4680"/>
              </w:tabs>
              <w:suppressAutoHyphens/>
              <w:rPr>
                <w:spacing w:val="-2"/>
              </w:rPr>
            </w:pPr>
          </w:p>
          <w:p w14:paraId="468D9E16" w14:textId="69D1A5F3" w:rsidR="005B2CFD" w:rsidRPr="007115F7" w:rsidRDefault="005B2CFD" w:rsidP="007115F7">
            <w:pPr>
              <w:tabs>
                <w:tab w:val="center" w:pos="4680"/>
              </w:tabs>
              <w:suppressAutoHyphens/>
              <w:rPr>
                <w:spacing w:val="-2"/>
              </w:rPr>
            </w:pPr>
            <w:r>
              <w:rPr>
                <w:spacing w:val="-2"/>
              </w:rPr>
              <w:t xml:space="preserve">Petition for Determination of Effective Competition in </w:t>
            </w:r>
            <w:r w:rsidR="00A97DE1">
              <w:rPr>
                <w:spacing w:val="-2"/>
              </w:rPr>
              <w:t xml:space="preserve">Eight </w:t>
            </w:r>
            <w:r>
              <w:rPr>
                <w:spacing w:val="-2"/>
              </w:rPr>
              <w:t>Communities in Wisconsin</w:t>
            </w:r>
          </w:p>
        </w:tc>
        <w:tc>
          <w:tcPr>
            <w:tcW w:w="630" w:type="dxa"/>
          </w:tcPr>
          <w:p w14:paraId="41F68C22" w14:textId="77777777" w:rsidR="004C2EE3" w:rsidRDefault="004C2EE3">
            <w:pPr>
              <w:tabs>
                <w:tab w:val="center" w:pos="4680"/>
              </w:tabs>
              <w:suppressAutoHyphens/>
              <w:rPr>
                <w:b/>
                <w:spacing w:val="-2"/>
              </w:rPr>
            </w:pPr>
            <w:r>
              <w:rPr>
                <w:b/>
                <w:spacing w:val="-2"/>
              </w:rPr>
              <w:t>)</w:t>
            </w:r>
          </w:p>
          <w:p w14:paraId="2A6ABB89" w14:textId="77777777" w:rsidR="004C2EE3" w:rsidRDefault="004C2EE3">
            <w:pPr>
              <w:tabs>
                <w:tab w:val="center" w:pos="4680"/>
              </w:tabs>
              <w:suppressAutoHyphens/>
              <w:rPr>
                <w:b/>
                <w:spacing w:val="-2"/>
              </w:rPr>
            </w:pPr>
            <w:r>
              <w:rPr>
                <w:b/>
                <w:spacing w:val="-2"/>
              </w:rPr>
              <w:t>)</w:t>
            </w:r>
          </w:p>
          <w:p w14:paraId="5BA93FAC" w14:textId="77777777" w:rsidR="004C2EE3" w:rsidRDefault="004C2EE3">
            <w:pPr>
              <w:tabs>
                <w:tab w:val="center" w:pos="4680"/>
              </w:tabs>
              <w:suppressAutoHyphens/>
              <w:rPr>
                <w:b/>
                <w:spacing w:val="-2"/>
              </w:rPr>
            </w:pPr>
            <w:r>
              <w:rPr>
                <w:b/>
                <w:spacing w:val="-2"/>
              </w:rPr>
              <w:t>)</w:t>
            </w:r>
          </w:p>
          <w:p w14:paraId="06FC9F93" w14:textId="77777777" w:rsidR="004C2EE3" w:rsidRDefault="004C2EE3">
            <w:pPr>
              <w:tabs>
                <w:tab w:val="center" w:pos="4680"/>
              </w:tabs>
              <w:suppressAutoHyphens/>
              <w:rPr>
                <w:b/>
                <w:spacing w:val="-2"/>
              </w:rPr>
            </w:pPr>
            <w:r>
              <w:rPr>
                <w:b/>
                <w:spacing w:val="-2"/>
              </w:rPr>
              <w:t>)</w:t>
            </w:r>
          </w:p>
          <w:p w14:paraId="24828812" w14:textId="77777777" w:rsidR="004C2EE3" w:rsidRDefault="004C2EE3">
            <w:pPr>
              <w:tabs>
                <w:tab w:val="center" w:pos="4680"/>
              </w:tabs>
              <w:suppressAutoHyphens/>
              <w:rPr>
                <w:b/>
                <w:spacing w:val="-2"/>
              </w:rPr>
            </w:pPr>
            <w:r>
              <w:rPr>
                <w:b/>
                <w:spacing w:val="-2"/>
              </w:rPr>
              <w:t>)</w:t>
            </w:r>
          </w:p>
          <w:p w14:paraId="3EAAE0D2" w14:textId="77777777" w:rsidR="004C2EE3" w:rsidRPr="005B2CFD" w:rsidRDefault="004C2EE3">
            <w:pPr>
              <w:tabs>
                <w:tab w:val="center" w:pos="4680"/>
              </w:tabs>
              <w:suppressAutoHyphens/>
              <w:rPr>
                <w:b/>
                <w:spacing w:val="-2"/>
              </w:rPr>
            </w:pPr>
            <w:r>
              <w:rPr>
                <w:b/>
                <w:spacing w:val="-2"/>
              </w:rPr>
              <w:t>)</w:t>
            </w:r>
          </w:p>
        </w:tc>
        <w:tc>
          <w:tcPr>
            <w:tcW w:w="4248" w:type="dxa"/>
          </w:tcPr>
          <w:p w14:paraId="3C7FC0AA" w14:textId="77777777" w:rsidR="004C2EE3" w:rsidRDefault="004C2EE3">
            <w:pPr>
              <w:tabs>
                <w:tab w:val="center" w:pos="4680"/>
              </w:tabs>
              <w:suppressAutoHyphens/>
              <w:rPr>
                <w:spacing w:val="-2"/>
              </w:rPr>
            </w:pPr>
          </w:p>
          <w:p w14:paraId="0C0F1493" w14:textId="77777777" w:rsidR="004C2EE3" w:rsidRDefault="004C2EE3">
            <w:pPr>
              <w:pStyle w:val="TOAHeading"/>
              <w:tabs>
                <w:tab w:val="clear" w:pos="9360"/>
                <w:tab w:val="center" w:pos="4680"/>
              </w:tabs>
              <w:rPr>
                <w:spacing w:val="-2"/>
              </w:rPr>
            </w:pPr>
          </w:p>
          <w:p w14:paraId="39950493" w14:textId="77777777" w:rsidR="004C2EE3" w:rsidRDefault="005C0E6D">
            <w:pPr>
              <w:tabs>
                <w:tab w:val="center" w:pos="4680"/>
              </w:tabs>
              <w:suppressAutoHyphens/>
              <w:rPr>
                <w:spacing w:val="-2"/>
              </w:rPr>
            </w:pPr>
            <w:r>
              <w:rPr>
                <w:spacing w:val="-2"/>
              </w:rPr>
              <w:t xml:space="preserve">MB Docket No. 12-172, </w:t>
            </w:r>
            <w:r w:rsidR="005B2CFD">
              <w:rPr>
                <w:spacing w:val="-2"/>
              </w:rPr>
              <w:t>CSR-8663-E</w:t>
            </w:r>
          </w:p>
        </w:tc>
      </w:tr>
    </w:tbl>
    <w:p w14:paraId="57C33839" w14:textId="77777777" w:rsidR="004C2EE3" w:rsidRDefault="004C2EE3" w:rsidP="0070224F"/>
    <w:p w14:paraId="7750CD67" w14:textId="1D4A7D99" w:rsidR="00841AB1" w:rsidRDefault="005B2CFD" w:rsidP="00F021FA">
      <w:pPr>
        <w:pStyle w:val="StyleBoldCentered"/>
      </w:pPr>
      <w:r>
        <w:t>MEMORANDUM OPINION AND ORDER</w:t>
      </w:r>
    </w:p>
    <w:p w14:paraId="71E4DB6E" w14:textId="77777777" w:rsidR="004C2EE3" w:rsidRDefault="004C2EE3">
      <w:pPr>
        <w:tabs>
          <w:tab w:val="left" w:pos="-720"/>
        </w:tabs>
        <w:suppressAutoHyphens/>
        <w:spacing w:line="227" w:lineRule="auto"/>
        <w:rPr>
          <w:spacing w:val="-2"/>
        </w:rPr>
      </w:pPr>
    </w:p>
    <w:p w14:paraId="73C30444" w14:textId="76627116" w:rsidR="004C2EE3" w:rsidRDefault="004C2EE3" w:rsidP="00133F79">
      <w:pPr>
        <w:tabs>
          <w:tab w:val="left" w:pos="720"/>
          <w:tab w:val="right" w:pos="9360"/>
        </w:tabs>
        <w:suppressAutoHyphens/>
        <w:spacing w:line="227" w:lineRule="auto"/>
        <w:rPr>
          <w:spacing w:val="-2"/>
        </w:rPr>
      </w:pPr>
      <w:r>
        <w:rPr>
          <w:b/>
          <w:spacing w:val="-2"/>
        </w:rPr>
        <w:t xml:space="preserve">Adopted:  </w:t>
      </w:r>
      <w:r w:rsidR="005B2CFD">
        <w:rPr>
          <w:b/>
          <w:spacing w:val="-2"/>
        </w:rPr>
        <w:t xml:space="preserve">April </w:t>
      </w:r>
      <w:r w:rsidR="005A4620">
        <w:rPr>
          <w:b/>
          <w:spacing w:val="-2"/>
        </w:rPr>
        <w:t>19</w:t>
      </w:r>
      <w:r w:rsidR="005B2CFD">
        <w:rPr>
          <w:b/>
          <w:spacing w:val="-2"/>
        </w:rPr>
        <w:t xml:space="preserve">, 2016                                                                  </w:t>
      </w:r>
      <w:r w:rsidR="00822CE0">
        <w:rPr>
          <w:b/>
          <w:spacing w:val="-2"/>
        </w:rPr>
        <w:t>Released</w:t>
      </w:r>
      <w:r>
        <w:rPr>
          <w:b/>
          <w:spacing w:val="-2"/>
        </w:rPr>
        <w:t>:</w:t>
      </w:r>
      <w:r w:rsidR="00822CE0">
        <w:rPr>
          <w:b/>
          <w:spacing w:val="-2"/>
        </w:rPr>
        <w:t xml:space="preserve"> </w:t>
      </w:r>
      <w:r>
        <w:rPr>
          <w:b/>
          <w:spacing w:val="-2"/>
        </w:rPr>
        <w:t xml:space="preserve"> </w:t>
      </w:r>
      <w:r w:rsidR="005B2CFD">
        <w:rPr>
          <w:b/>
          <w:spacing w:val="-2"/>
        </w:rPr>
        <w:t xml:space="preserve">April </w:t>
      </w:r>
      <w:r w:rsidR="00BA61C7">
        <w:rPr>
          <w:b/>
          <w:spacing w:val="-2"/>
        </w:rPr>
        <w:t>19</w:t>
      </w:r>
      <w:r w:rsidR="005B2CFD">
        <w:rPr>
          <w:b/>
          <w:spacing w:val="-2"/>
        </w:rPr>
        <w:t xml:space="preserve">, 2016          </w:t>
      </w:r>
    </w:p>
    <w:p w14:paraId="1B87A7E8" w14:textId="77777777" w:rsidR="00822CE0" w:rsidRDefault="00822CE0"/>
    <w:p w14:paraId="642FBA87" w14:textId="4DC1118D" w:rsidR="00822CE0" w:rsidRDefault="004C2EE3">
      <w:pPr>
        <w:rPr>
          <w:spacing w:val="-2"/>
        </w:rPr>
      </w:pPr>
      <w:r>
        <w:t xml:space="preserve">By </w:t>
      </w:r>
      <w:r w:rsidR="004E4A22">
        <w:t>the</w:t>
      </w:r>
      <w:r w:rsidR="005B2CFD">
        <w:t xml:space="preserve"> Senior Deputy Chief, Policy Division, Media Bureau</w:t>
      </w:r>
      <w:r>
        <w:rPr>
          <w:spacing w:val="-2"/>
        </w:rPr>
        <w:t>:</w:t>
      </w:r>
    </w:p>
    <w:p w14:paraId="1613A623" w14:textId="77777777" w:rsidR="00412FC5" w:rsidRDefault="00412FC5" w:rsidP="00412FC5"/>
    <w:p w14:paraId="0AD93F12" w14:textId="77777777" w:rsidR="002C00E8" w:rsidRDefault="005B2CFD" w:rsidP="002C00E8">
      <w:pPr>
        <w:pStyle w:val="Heading1"/>
      </w:pPr>
      <w:r>
        <w:t>introduction and background</w:t>
      </w:r>
    </w:p>
    <w:p w14:paraId="4B554B6A" w14:textId="41263E08" w:rsidR="005B2CFD" w:rsidRPr="005B2CFD" w:rsidRDefault="005B2CFD" w:rsidP="005B2CFD">
      <w:pPr>
        <w:pStyle w:val="ParaNum"/>
      </w:pPr>
      <w:r>
        <w:rPr>
          <w:szCs w:val="22"/>
        </w:rPr>
        <w:t xml:space="preserve">Time Warner Cable Inc. </w:t>
      </w:r>
      <w:r w:rsidRPr="001516BD">
        <w:rPr>
          <w:szCs w:val="22"/>
        </w:rPr>
        <w:t>(“</w:t>
      </w:r>
      <w:r>
        <w:rPr>
          <w:szCs w:val="22"/>
        </w:rPr>
        <w:t>Time Warner</w:t>
      </w:r>
      <w:r w:rsidRPr="001516BD">
        <w:rPr>
          <w:szCs w:val="22"/>
        </w:rPr>
        <w:t xml:space="preserve">” </w:t>
      </w:r>
      <w:r>
        <w:t>or the “Company”) has filed with the Commission a petition pursuant to Sections 76.7, 76.905(b)(4) and 76.907 of the Commission’s rules for a determination that the Company is subject to effective competition in the communities listed on Attachment A (the “Communities”) because of competing service provided by a local exchange carrier (“LEC”).  Time Warner alleges that its cable systems serving the Communities are subject to effective competition</w:t>
      </w:r>
      <w:r w:rsidRPr="001516BD">
        <w:rPr>
          <w:szCs w:val="22"/>
        </w:rPr>
        <w:t xml:space="preserve"> pursuant to Section 623(l)(1)(A) of the Communications Act</w:t>
      </w:r>
      <w:r>
        <w:rPr>
          <w:szCs w:val="22"/>
        </w:rPr>
        <w:t xml:space="preserve"> of 1934, as amended (“Communications Act”),</w:t>
      </w:r>
      <w:r>
        <w:rPr>
          <w:rStyle w:val="FootnoteReference"/>
          <w:szCs w:val="22"/>
        </w:rPr>
        <w:footnoteReference w:id="2"/>
      </w:r>
      <w:r w:rsidRPr="001516BD">
        <w:rPr>
          <w:szCs w:val="22"/>
        </w:rPr>
        <w:t xml:space="preserve"> and the Commission’s </w:t>
      </w:r>
      <w:r>
        <w:rPr>
          <w:szCs w:val="22"/>
        </w:rPr>
        <w:t xml:space="preserve">implementing </w:t>
      </w:r>
      <w:r w:rsidRPr="001516BD">
        <w:rPr>
          <w:szCs w:val="22"/>
        </w:rPr>
        <w:t>rules,</w:t>
      </w:r>
      <w:r>
        <w:rPr>
          <w:rStyle w:val="FootnoteReference"/>
          <w:szCs w:val="22"/>
        </w:rPr>
        <w:footnoteReference w:id="3"/>
      </w:r>
      <w:r w:rsidRPr="001516BD">
        <w:rPr>
          <w:szCs w:val="22"/>
        </w:rPr>
        <w:t xml:space="preserve"> </w:t>
      </w:r>
      <w:r>
        <w:rPr>
          <w:szCs w:val="22"/>
        </w:rPr>
        <w:t xml:space="preserve">and that it is therefore exempt from cable rate regulation in the Communities </w:t>
      </w:r>
      <w:r w:rsidRPr="001516BD">
        <w:rPr>
          <w:szCs w:val="22"/>
        </w:rPr>
        <w:t xml:space="preserve">because </w:t>
      </w:r>
      <w:r>
        <w:rPr>
          <w:szCs w:val="22"/>
        </w:rPr>
        <w:t xml:space="preserve">of the competing service provided by AT&amp;T Wisconsin (“AT&amp;T”).  </w:t>
      </w:r>
      <w:r w:rsidR="004C73DE">
        <w:rPr>
          <w:szCs w:val="22"/>
        </w:rPr>
        <w:t xml:space="preserve">The Cities of Racine and Kenosha filed oppositions, to which Time Warner filed a reply.  The City of Racine also filed an answer to Time Warner’s reply.  </w:t>
      </w:r>
      <w:r>
        <w:rPr>
          <w:szCs w:val="22"/>
        </w:rPr>
        <w:t>Time Warner filed</w:t>
      </w:r>
      <w:r w:rsidR="004C73DE">
        <w:rPr>
          <w:szCs w:val="22"/>
        </w:rPr>
        <w:t xml:space="preserve"> </w:t>
      </w:r>
      <w:r w:rsidR="00652BE3">
        <w:rPr>
          <w:szCs w:val="22"/>
        </w:rPr>
        <w:t xml:space="preserve">additional </w:t>
      </w:r>
      <w:r>
        <w:rPr>
          <w:szCs w:val="22"/>
        </w:rPr>
        <w:t>response</w:t>
      </w:r>
      <w:r w:rsidR="004C73DE">
        <w:rPr>
          <w:szCs w:val="22"/>
        </w:rPr>
        <w:t>s</w:t>
      </w:r>
      <w:r>
        <w:rPr>
          <w:szCs w:val="22"/>
        </w:rPr>
        <w:t>.</w:t>
      </w:r>
      <w:r>
        <w:rPr>
          <w:rStyle w:val="FootnoteReference"/>
          <w:szCs w:val="22"/>
        </w:rPr>
        <w:footnoteReference w:id="4"/>
      </w:r>
    </w:p>
    <w:p w14:paraId="223AEBFD" w14:textId="77777777" w:rsidR="005B2CFD" w:rsidRDefault="005B2CFD" w:rsidP="005B2CFD">
      <w:pPr>
        <w:pStyle w:val="ParaNum"/>
      </w:pPr>
      <w:r>
        <w:t>In June 2015, a Commission order adopted a rebuttable presumption that cable operators are subject to one type of effective competition, commonly referred to as competing provider effective competition.</w:t>
      </w:r>
      <w:r>
        <w:rPr>
          <w:rStyle w:val="FootnoteReference"/>
        </w:rPr>
        <w:footnoteReference w:id="5"/>
      </w:r>
      <w:r>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Pr>
          <w:vertAlign w:val="superscript"/>
        </w:rPr>
        <w:footnoteReference w:id="6"/>
      </w:r>
      <w:r>
        <w:t xml:space="preserve">  For the reasons set forth below, we grant Time Warner’s petition.</w:t>
      </w:r>
    </w:p>
    <w:p w14:paraId="497C1184" w14:textId="77777777" w:rsidR="005B2CFD" w:rsidRDefault="005B2CFD" w:rsidP="005B2CFD">
      <w:pPr>
        <w:pStyle w:val="Heading1"/>
      </w:pPr>
      <w:r>
        <w:rPr>
          <w:caps w:val="0"/>
          <w:szCs w:val="22"/>
        </w:rPr>
        <w:lastRenderedPageBreak/>
        <w:t>T</w:t>
      </w:r>
      <w:r>
        <w:rPr>
          <w:szCs w:val="22"/>
        </w:rPr>
        <w:t>he LOCAL EXCHANGE CARRIER TEST</w:t>
      </w:r>
    </w:p>
    <w:p w14:paraId="37B8CF2B" w14:textId="6CCC3815" w:rsidR="005B2CFD" w:rsidRDefault="005B2CFD" w:rsidP="005B2CFD">
      <w:pPr>
        <w:pStyle w:val="ParaNum"/>
      </w:pPr>
      <w:r w:rsidRPr="00052098">
        <w:rPr>
          <w:szCs w:val="22"/>
        </w:rPr>
        <w:t xml:space="preserve">Time Warner’s petition seeks a finding of LEC </w:t>
      </w:r>
      <w:r w:rsidRPr="000202AC">
        <w:rPr>
          <w:szCs w:val="22"/>
        </w:rPr>
        <w:t>effective competition for the Communities</w:t>
      </w:r>
      <w:r>
        <w:t>.  The statutory test for a finding of LEC effective competition requires that the LEC or its affiliate offers video programming services directly to subscribers by any means (other than direct-to-home satellite services) in the franchise area of an unaffiliated cable operator which is providing cable service in that franchise area, provided the video programming services thus offered are comparable to the video programming services provided by the unaffiliated cable operator in that area.</w:t>
      </w:r>
      <w:r>
        <w:rPr>
          <w:sz w:val="20"/>
          <w:vertAlign w:val="superscript"/>
        </w:rPr>
        <w:footnoteReference w:id="7"/>
      </w:r>
      <w:r>
        <w:t xml:space="preserve">  The Commission has stated that an incumbent cable operator could satisfy the LEC effective competition test by showing that the LEC is technically and actually able to provide services that substantially overlap the incumbent operator’s service in the franchise area.</w:t>
      </w:r>
      <w:r>
        <w:rPr>
          <w:sz w:val="20"/>
          <w:vertAlign w:val="superscript"/>
        </w:rPr>
        <w:footnoteReference w:id="8"/>
      </w:r>
      <w:r>
        <w:t xml:space="preserve">  </w:t>
      </w:r>
      <w:r w:rsidRPr="00FD1006">
        <w:rPr>
          <w:szCs w:val="22"/>
        </w:rPr>
        <w:t>It is undisputed that the</w:t>
      </w:r>
      <w:r w:rsidRPr="00F30D1A">
        <w:rPr>
          <w:szCs w:val="22"/>
        </w:rPr>
        <w:t xml:space="preserve"> Communities are served by both </w:t>
      </w:r>
      <w:r>
        <w:rPr>
          <w:szCs w:val="22"/>
        </w:rPr>
        <w:t>Time Warner</w:t>
      </w:r>
      <w:r w:rsidRPr="00F30D1A">
        <w:rPr>
          <w:szCs w:val="22"/>
        </w:rPr>
        <w:t xml:space="preserve"> and AT&amp;T, a local exchange carrier,</w:t>
      </w:r>
      <w:r w:rsidR="002406F7">
        <w:rPr>
          <w:szCs w:val="22"/>
        </w:rPr>
        <w:t xml:space="preserve"> </w:t>
      </w:r>
      <w:r w:rsidRPr="00F30D1A">
        <w:rPr>
          <w:szCs w:val="22"/>
        </w:rPr>
        <w:t>that these two MVPDs are unaffiliated</w:t>
      </w:r>
      <w:r>
        <w:rPr>
          <w:szCs w:val="22"/>
        </w:rPr>
        <w:t>, and that AT&amp;T provides comparable programming to Time Warner</w:t>
      </w:r>
      <w:r w:rsidRPr="00FD1006">
        <w:rPr>
          <w:szCs w:val="22"/>
        </w:rPr>
        <w:t>.</w:t>
      </w:r>
      <w:r>
        <w:rPr>
          <w:rStyle w:val="FootnoteReference"/>
        </w:rPr>
        <w:footnoteReference w:id="9"/>
      </w:r>
      <w:r>
        <w:t xml:space="preserve">  Time Warner has demonstrated that AT&amp;T otherwise satisfies the LEC effective competition evidentiary requirements set forth in the </w:t>
      </w:r>
      <w:r w:rsidRPr="004F0265">
        <w:rPr>
          <w:i/>
        </w:rPr>
        <w:t>Cable Reform Order</w:t>
      </w:r>
      <w:r>
        <w:t>.</w:t>
      </w:r>
      <w:r>
        <w:rPr>
          <w:rStyle w:val="FootnoteReference"/>
        </w:rPr>
        <w:footnoteReference w:id="10"/>
      </w:r>
    </w:p>
    <w:p w14:paraId="47F072C5" w14:textId="51CAD14C" w:rsidR="005B2CFD" w:rsidRPr="005B2CFD" w:rsidRDefault="000E02B4" w:rsidP="009D01B8">
      <w:pPr>
        <w:pStyle w:val="ParaNum"/>
      </w:pPr>
      <w:r>
        <w:t xml:space="preserve">The Cities of </w:t>
      </w:r>
      <w:r w:rsidR="00E35B99">
        <w:t xml:space="preserve">Racine and </w:t>
      </w:r>
      <w:r w:rsidR="00B3213C">
        <w:t>Kenosha argue that Time Warner has failed to demonstrate that effective competition exists in the franchise area</w:t>
      </w:r>
      <w:r w:rsidR="00FD1C1F">
        <w:t>s</w:t>
      </w:r>
      <w:r w:rsidR="00B3213C">
        <w:t xml:space="preserve"> under any of the four types of effective competition.</w:t>
      </w:r>
      <w:r w:rsidR="002D6447">
        <w:rPr>
          <w:rStyle w:val="FootnoteReference"/>
        </w:rPr>
        <w:footnoteReference w:id="11"/>
      </w:r>
      <w:r w:rsidR="00877065">
        <w:t xml:space="preserve">  However,</w:t>
      </w:r>
      <w:r w:rsidR="00B43C15">
        <w:t xml:space="preserve"> as T</w:t>
      </w:r>
      <w:r w:rsidR="00877065">
        <w:t xml:space="preserve">ime Warner </w:t>
      </w:r>
      <w:r w:rsidR="00B43C15">
        <w:t>correctly i</w:t>
      </w:r>
      <w:r w:rsidR="00877065">
        <w:t>ndicates</w:t>
      </w:r>
      <w:r w:rsidR="00B43C15">
        <w:t xml:space="preserve"> in its reply, </w:t>
      </w:r>
      <w:r w:rsidR="00877065">
        <w:t>the petition only seek</w:t>
      </w:r>
      <w:r w:rsidR="006904E3">
        <w:t>s</w:t>
      </w:r>
      <w:r w:rsidR="00877065">
        <w:t xml:space="preserve"> an effective competition determination under the LEC test.</w:t>
      </w:r>
      <w:r w:rsidR="00877065">
        <w:rPr>
          <w:rStyle w:val="FootnoteReference"/>
        </w:rPr>
        <w:footnoteReference w:id="12"/>
      </w:r>
      <w:r w:rsidR="00B43C15">
        <w:t xml:space="preserve">  Thus, Time Warner only has to establish that it has met the requirements of the LEC test.  </w:t>
      </w:r>
      <w:r w:rsidR="00B1575E">
        <w:t xml:space="preserve">Racine </w:t>
      </w:r>
      <w:r w:rsidR="00B43C15">
        <w:t xml:space="preserve">contends </w:t>
      </w:r>
      <w:r w:rsidR="00B1575E">
        <w:t xml:space="preserve">that Time Warner has not established that </w:t>
      </w:r>
      <w:r w:rsidR="00A97DE1">
        <w:t>AT&amp;T’s</w:t>
      </w:r>
      <w:r w:rsidR="00B1575E">
        <w:t xml:space="preserve"> buildout is sufficient based upon the Commission’s prior orders involving the LEC test.</w:t>
      </w:r>
      <w:r w:rsidR="00B1575E">
        <w:rPr>
          <w:rStyle w:val="FootnoteReference"/>
        </w:rPr>
        <w:footnoteReference w:id="13"/>
      </w:r>
      <w:r w:rsidR="00B1575E">
        <w:t xml:space="preserve"> </w:t>
      </w:r>
      <w:r w:rsidR="006904E3">
        <w:t xml:space="preserve"> </w:t>
      </w:r>
      <w:r w:rsidR="00B1575E">
        <w:t>This argument is not persuasive because the LEC effective competition test does not require any particular penetration level.</w:t>
      </w:r>
      <w:r w:rsidR="00B1575E">
        <w:rPr>
          <w:rStyle w:val="FootnoteReference"/>
        </w:rPr>
        <w:footnoteReference w:id="14"/>
      </w:r>
      <w:r w:rsidR="00B1575E">
        <w:t xml:space="preserve">  Moreover, Time Warner has demonstrated that AT&amp;T’s video subscriber penetration among the Cities of Racine and Kenosha Census occupied households is significant indicating that AT&amp;T’s service area substantially overlaps Time Warner’s service in the franchise area</w:t>
      </w:r>
      <w:r>
        <w:t>s</w:t>
      </w:r>
      <w:r w:rsidR="00B1575E">
        <w:t>.</w:t>
      </w:r>
      <w:r w:rsidR="00B1575E">
        <w:rPr>
          <w:rStyle w:val="FootnoteReference"/>
        </w:rPr>
        <w:footnoteReference w:id="15"/>
      </w:r>
      <w:r w:rsidR="00B1575E">
        <w:t xml:space="preserve">  The</w:t>
      </w:r>
      <w:r w:rsidR="006904E3">
        <w:t xml:space="preserve"> Cities of Racine and Kenosha</w:t>
      </w:r>
      <w:r w:rsidR="00B1575E">
        <w:t xml:space="preserve"> also </w:t>
      </w:r>
      <w:r w:rsidR="00E35B99">
        <w:t xml:space="preserve">argue </w:t>
      </w:r>
      <w:r w:rsidR="00111A6F">
        <w:t xml:space="preserve">that Time Warner has not satisfied the LEC test because the marketing and comparable programming materials included in the petition were not specifically for </w:t>
      </w:r>
      <w:r w:rsidR="00977DBC">
        <w:t>their cities</w:t>
      </w:r>
      <w:r w:rsidR="003E4D89">
        <w:t xml:space="preserve"> and did not reflect the proper zip codes for the franchise areas</w:t>
      </w:r>
      <w:r w:rsidR="00FD1C1F">
        <w:t>.</w:t>
      </w:r>
      <w:r w:rsidR="00111A6F">
        <w:rPr>
          <w:rStyle w:val="FootnoteReference"/>
        </w:rPr>
        <w:footnoteReference w:id="16"/>
      </w:r>
      <w:r>
        <w:t xml:space="preserve"> </w:t>
      </w:r>
      <w:r w:rsidR="00FD1C1F">
        <w:t xml:space="preserve"> To address these concerns, Time Warner submitted</w:t>
      </w:r>
      <w:r w:rsidR="00211CFD">
        <w:t xml:space="preserve"> additional</w:t>
      </w:r>
      <w:r w:rsidR="007E057F">
        <w:t xml:space="preserve"> channel </w:t>
      </w:r>
      <w:r w:rsidR="00FD1C1F">
        <w:t>lineup</w:t>
      </w:r>
      <w:r w:rsidR="007E057F">
        <w:t>s</w:t>
      </w:r>
      <w:r w:rsidR="00211CFD">
        <w:t xml:space="preserve">, </w:t>
      </w:r>
      <w:r w:rsidR="00FD1C1F">
        <w:t>marketing material</w:t>
      </w:r>
      <w:r w:rsidR="00211CFD">
        <w:t>, and</w:t>
      </w:r>
      <w:r w:rsidR="00FD1C1F">
        <w:t xml:space="preserve"> </w:t>
      </w:r>
      <w:r w:rsidR="00211CFD">
        <w:t xml:space="preserve">zip codes </w:t>
      </w:r>
      <w:r w:rsidR="00FD1C1F">
        <w:t xml:space="preserve">that specifically included the </w:t>
      </w:r>
      <w:r w:rsidR="00FD1C1F">
        <w:lastRenderedPageBreak/>
        <w:t>Cities of Racine and Kenosha.</w:t>
      </w:r>
      <w:r w:rsidR="00FD1C1F">
        <w:rPr>
          <w:rStyle w:val="FootnoteReference"/>
        </w:rPr>
        <w:footnoteReference w:id="17"/>
      </w:r>
      <w:r w:rsidR="00FD1C1F">
        <w:t xml:space="preserve">  T</w:t>
      </w:r>
      <w:r>
        <w:t xml:space="preserve">he Time Warner and AT&amp;T channel lineups submitted </w:t>
      </w:r>
      <w:r w:rsidR="00FD1C1F">
        <w:t xml:space="preserve">by Time Warner </w:t>
      </w:r>
      <w:r>
        <w:t>satisfy the effective competition test’s comparable programming requirement.</w:t>
      </w:r>
      <w:r>
        <w:rPr>
          <w:rStyle w:val="FootnoteReference"/>
        </w:rPr>
        <w:footnoteReference w:id="18"/>
      </w:r>
      <w:r>
        <w:t xml:space="preserve">  </w:t>
      </w:r>
      <w:r w:rsidR="00FD1C1F">
        <w:t>The Cities of Racine and Kenosha do not provide any evidence to counter that submitted by Time Warner.</w:t>
      </w:r>
      <w:r w:rsidR="005B2CFD">
        <w:t xml:space="preserve">  Accordingly, w</w:t>
      </w:r>
      <w:r w:rsidR="005B2CFD" w:rsidRPr="009D01B8">
        <w:rPr>
          <w:szCs w:val="22"/>
        </w:rPr>
        <w:t>e find that Time Warner has submitted sufficient evidence demonstrating that its cable system serving the Communities has met the LEC test and is subject to effective competition.</w:t>
      </w:r>
    </w:p>
    <w:p w14:paraId="6E6FDAB6" w14:textId="77777777" w:rsidR="005B2CFD" w:rsidRPr="005B2CFD" w:rsidRDefault="005B2CFD" w:rsidP="005B2CFD">
      <w:pPr>
        <w:pStyle w:val="Heading1"/>
      </w:pPr>
      <w:r>
        <w:rPr>
          <w:caps w:val="0"/>
          <w:szCs w:val="22"/>
        </w:rPr>
        <w:t>T</w:t>
      </w:r>
      <w:r>
        <w:rPr>
          <w:szCs w:val="22"/>
        </w:rPr>
        <w:t>he COMPETING PROVIDER TEST</w:t>
      </w:r>
    </w:p>
    <w:p w14:paraId="54266E94" w14:textId="31D8011D" w:rsidR="005B2CFD" w:rsidRDefault="005B2CFD" w:rsidP="005B2CFD">
      <w:pPr>
        <w:pStyle w:val="ParaNum"/>
      </w:pPr>
      <w:r>
        <w:t>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Pr>
          <w:rStyle w:val="FootnoteReference"/>
          <w:szCs w:val="22"/>
        </w:rPr>
        <w:footnoteReference w:id="19"/>
      </w:r>
      <w:r>
        <w:t xml:space="preserve">  This test is referred to as the “competing provider” test.  Pursuant to the </w:t>
      </w:r>
      <w:r>
        <w:rPr>
          <w:i/>
        </w:rPr>
        <w:t>Effective Competition Order</w:t>
      </w:r>
      <w:r>
        <w:t>, absent evidence to the contrary, the Commission presumes that the competing provider test is met.  Accordingly, even if we determined that Time Warner failed to satisfy its burden of demonstrating LEC effective competition in the Communities, we would presume that Time Warner was subject to competing provider effective competition in the Communities.</w:t>
      </w:r>
      <w:r w:rsidR="00EB1DE6">
        <w:t xml:space="preserve">  </w:t>
      </w:r>
      <w:r w:rsidR="00D217BE">
        <w:t>The Cit</w:t>
      </w:r>
      <w:r w:rsidR="00142E55">
        <w:t>ies</w:t>
      </w:r>
      <w:r w:rsidR="00D217BE">
        <w:t xml:space="preserve"> of </w:t>
      </w:r>
      <w:r w:rsidR="000105C5">
        <w:t xml:space="preserve">Racine and </w:t>
      </w:r>
      <w:r w:rsidR="00D217BE">
        <w:t xml:space="preserve">Kenosha argue that the competing provider test is not satisfied because the petition omits data necessary to determine </w:t>
      </w:r>
      <w:r w:rsidR="000E0BEC">
        <w:t xml:space="preserve">whether </w:t>
      </w:r>
      <w:r w:rsidR="00D217BE">
        <w:t>the percentage of households served in the franchise area</w:t>
      </w:r>
      <w:r w:rsidR="000E0BEC">
        <w:t xml:space="preserve"> exceeds 15 percent</w:t>
      </w:r>
      <w:r w:rsidR="00D217BE">
        <w:t>.</w:t>
      </w:r>
      <w:r w:rsidR="00D217BE">
        <w:rPr>
          <w:rStyle w:val="FootnoteReference"/>
        </w:rPr>
        <w:footnoteReference w:id="20"/>
      </w:r>
      <w:r w:rsidR="000E0BEC">
        <w:t xml:space="preserve">  However, </w:t>
      </w:r>
      <w:r w:rsidR="00142E55">
        <w:t xml:space="preserve">as </w:t>
      </w:r>
      <w:r w:rsidR="000E0BEC">
        <w:t>Kenosha acknowledges</w:t>
      </w:r>
      <w:r w:rsidR="00142E55">
        <w:t xml:space="preserve">, Time Warner did not include competing provider penetration percentages because the petition did not seek a finding of effective competition under </w:t>
      </w:r>
      <w:r w:rsidR="000E0BEC">
        <w:t>the competing provider test.</w:t>
      </w:r>
      <w:r w:rsidR="000E0BEC">
        <w:rPr>
          <w:rStyle w:val="FootnoteReference"/>
        </w:rPr>
        <w:footnoteReference w:id="21"/>
      </w:r>
      <w:r w:rsidR="00E62BBF">
        <w:t xml:space="preserve">  Finally, it appears that Racine’s opposition mistakenly combine</w:t>
      </w:r>
      <w:r w:rsidR="000105C5">
        <w:t>s</w:t>
      </w:r>
      <w:r w:rsidR="00E62BBF">
        <w:t xml:space="preserve"> the requirements for competing provider effective competition with the requirements for LEC effective competition</w:t>
      </w:r>
      <w:r w:rsidR="000105C5">
        <w:t>, which causes it to question the lack of data under the competing provider test</w:t>
      </w:r>
      <w:r w:rsidR="00E62BBF">
        <w:t>.</w:t>
      </w:r>
      <w:r w:rsidR="00E62BBF">
        <w:rPr>
          <w:rStyle w:val="FootnoteReference"/>
        </w:rPr>
        <w:footnoteReference w:id="22"/>
      </w:r>
      <w:r w:rsidR="00E62BBF">
        <w:t xml:space="preserve">  As we have previously indicated, the </w:t>
      </w:r>
      <w:r w:rsidR="009148A7">
        <w:t>petition was filed under the LEC effective competition test and thus, Time Warner did not provide evidence to satisfy th</w:t>
      </w:r>
      <w:r w:rsidR="000105C5">
        <w:t>e competing provider</w:t>
      </w:r>
      <w:r w:rsidR="009148A7">
        <w:t xml:space="preserve"> test.  </w:t>
      </w:r>
    </w:p>
    <w:p w14:paraId="616D0459" w14:textId="77777777" w:rsidR="005B2CFD" w:rsidRDefault="005B2CFD" w:rsidP="005B2CFD">
      <w:pPr>
        <w:pStyle w:val="Heading1"/>
      </w:pPr>
      <w:r>
        <w:rPr>
          <w:szCs w:val="22"/>
        </w:rPr>
        <w:t>ordering clauses</w:t>
      </w:r>
    </w:p>
    <w:p w14:paraId="2E4CA958" w14:textId="77777777" w:rsidR="005B2CFD" w:rsidRDefault="005B2CFD" w:rsidP="005B2CFD">
      <w:pPr>
        <w:pStyle w:val="ParaNum"/>
      </w:pPr>
      <w:r>
        <w:t xml:space="preserve">Accordingly, </w:t>
      </w:r>
      <w:r>
        <w:rPr>
          <w:b/>
        </w:rPr>
        <w:t>IT IS ORDERED</w:t>
      </w:r>
      <w:r>
        <w:t xml:space="preserve"> that the petition for a determination of effective competition filed in the captioned proceeding by Time Warner Cable, Inc. </w:t>
      </w:r>
      <w:r w:rsidRPr="00C23122">
        <w:rPr>
          <w:b/>
        </w:rPr>
        <w:t>IS</w:t>
      </w:r>
      <w:r>
        <w:rPr>
          <w:b/>
        </w:rPr>
        <w:t xml:space="preserve"> GRANTED</w:t>
      </w:r>
      <w:r>
        <w:t xml:space="preserve"> as to the Communities listed on Attachment A hereto.</w:t>
      </w:r>
    </w:p>
    <w:p w14:paraId="4E0954BB" w14:textId="189EA874" w:rsidR="00A32AFB" w:rsidRDefault="005B2CFD" w:rsidP="005B2CFD">
      <w:pPr>
        <w:pStyle w:val="ParaNum"/>
      </w:pPr>
      <w:r>
        <w:rPr>
          <w:b/>
        </w:rPr>
        <w:t>IT IS FURTHER ORDERED</w:t>
      </w:r>
      <w:r>
        <w:t xml:space="preserve"> that the certification to regulate basic cable service rates granted to or on behalf of any of the Communities set forth on Attachment A </w:t>
      </w:r>
      <w:r w:rsidRPr="00C23122">
        <w:rPr>
          <w:b/>
        </w:rPr>
        <w:t>ARE</w:t>
      </w:r>
      <w:r>
        <w:rPr>
          <w:b/>
        </w:rPr>
        <w:t xml:space="preserve"> REVOKED</w:t>
      </w:r>
      <w:r>
        <w:t>.</w:t>
      </w:r>
    </w:p>
    <w:p w14:paraId="5167DD39" w14:textId="3D4B0B3B" w:rsidR="000E02B4" w:rsidRDefault="00A32AFB" w:rsidP="00A32AFB">
      <w:pPr>
        <w:widowControl/>
      </w:pPr>
      <w:r>
        <w:br w:type="page"/>
      </w:r>
    </w:p>
    <w:p w14:paraId="570479E0" w14:textId="77777777" w:rsidR="005B2CFD" w:rsidRDefault="005B2CFD" w:rsidP="005B2CFD">
      <w:pPr>
        <w:pStyle w:val="ParaNum"/>
      </w:pPr>
      <w:r>
        <w:t>This action is taken pursuant to delegated authority pursuant to Section 0.283 of the Commission’s rules.</w:t>
      </w:r>
      <w:r>
        <w:rPr>
          <w:vertAlign w:val="superscript"/>
        </w:rPr>
        <w:footnoteReference w:id="23"/>
      </w:r>
    </w:p>
    <w:p w14:paraId="61C46E73" w14:textId="77777777" w:rsidR="005B2CFD" w:rsidRDefault="005B2CFD" w:rsidP="005B2CFD">
      <w:pPr>
        <w:pStyle w:val="ParaNum"/>
        <w:numPr>
          <w:ilvl w:val="0"/>
          <w:numId w:val="0"/>
        </w:numPr>
        <w:ind w:left="720"/>
      </w:pPr>
    </w:p>
    <w:p w14:paraId="47CE1715" w14:textId="77777777" w:rsidR="005B2CFD" w:rsidRDefault="005B2CFD" w:rsidP="005B2CFD">
      <w:pPr>
        <w:pStyle w:val="ParaNum"/>
        <w:numPr>
          <w:ilvl w:val="0"/>
          <w:numId w:val="0"/>
        </w:numPr>
        <w:jc w:val="center"/>
        <w:rPr>
          <w:szCs w:val="22"/>
        </w:rPr>
      </w:pPr>
      <w:r>
        <w:rPr>
          <w:szCs w:val="22"/>
        </w:rPr>
        <w:t>FEDERAL COMMUNICATIONS COMMISSION</w:t>
      </w:r>
    </w:p>
    <w:p w14:paraId="48584A49" w14:textId="77777777" w:rsidR="005B2CFD" w:rsidRDefault="005B2CFD" w:rsidP="005B2CFD">
      <w:pPr>
        <w:pStyle w:val="DocText"/>
        <w:jc w:val="left"/>
        <w:rPr>
          <w:sz w:val="22"/>
          <w:szCs w:val="22"/>
        </w:rPr>
      </w:pPr>
    </w:p>
    <w:p w14:paraId="7E269B32" w14:textId="77777777" w:rsidR="005B2CFD" w:rsidRDefault="005B2CFD" w:rsidP="005B2CFD">
      <w:pPr>
        <w:pStyle w:val="DocText"/>
        <w:jc w:val="left"/>
        <w:rPr>
          <w:sz w:val="22"/>
          <w:szCs w:val="22"/>
        </w:rPr>
      </w:pPr>
      <w:r>
        <w:rPr>
          <w:sz w:val="22"/>
          <w:szCs w:val="22"/>
        </w:rPr>
        <w:tab/>
      </w:r>
      <w:r>
        <w:rPr>
          <w:sz w:val="22"/>
          <w:szCs w:val="22"/>
        </w:rPr>
        <w:tab/>
        <w:t xml:space="preserve">    Steven A. Broeckaert</w:t>
      </w:r>
    </w:p>
    <w:p w14:paraId="2A1CD4B6" w14:textId="77777777" w:rsidR="005B2CFD" w:rsidRDefault="005B2CFD" w:rsidP="005B2CFD">
      <w:pPr>
        <w:pStyle w:val="ParaNum"/>
        <w:numPr>
          <w:ilvl w:val="0"/>
          <w:numId w:val="0"/>
        </w:numPr>
        <w:ind w:left="720"/>
        <w:rPr>
          <w:szCs w:val="22"/>
        </w:rPr>
      </w:pPr>
      <w:r>
        <w:rPr>
          <w:szCs w:val="22"/>
        </w:rPr>
        <w:tab/>
      </w:r>
      <w:r>
        <w:rPr>
          <w:szCs w:val="22"/>
        </w:rPr>
        <w:tab/>
        <w:t xml:space="preserve">    Senior Deputy Chief, Policy Division, Media Bureau</w:t>
      </w:r>
    </w:p>
    <w:p w14:paraId="2F191439" w14:textId="77777777" w:rsidR="005B2CFD" w:rsidRDefault="005B2CFD" w:rsidP="005B2CFD">
      <w:pPr>
        <w:pStyle w:val="ParaNum"/>
        <w:numPr>
          <w:ilvl w:val="0"/>
          <w:numId w:val="0"/>
        </w:numPr>
        <w:jc w:val="center"/>
        <w:rPr>
          <w:b/>
        </w:rPr>
      </w:pPr>
      <w:r>
        <w:rPr>
          <w:szCs w:val="22"/>
        </w:rPr>
        <w:br w:type="page"/>
      </w:r>
      <w:r>
        <w:rPr>
          <w:b/>
        </w:rPr>
        <w:t>ATTACHMENT A</w:t>
      </w:r>
    </w:p>
    <w:p w14:paraId="70299AD5" w14:textId="77777777" w:rsidR="005B2CFD" w:rsidRPr="008F7C03" w:rsidRDefault="008820A3" w:rsidP="005B2CFD">
      <w:pPr>
        <w:jc w:val="center"/>
        <w:rPr>
          <w:b/>
          <w:szCs w:val="22"/>
        </w:rPr>
      </w:pPr>
      <w:r>
        <w:rPr>
          <w:b/>
          <w:szCs w:val="22"/>
        </w:rPr>
        <w:t>MB Docket No. 12-172</w:t>
      </w:r>
      <w:r w:rsidR="005B2CFD" w:rsidRPr="008F7C03">
        <w:rPr>
          <w:b/>
          <w:szCs w:val="22"/>
        </w:rPr>
        <w:t>, CSR 866</w:t>
      </w:r>
      <w:r>
        <w:rPr>
          <w:b/>
          <w:szCs w:val="22"/>
        </w:rPr>
        <w:t>3</w:t>
      </w:r>
      <w:r w:rsidR="005B2CFD" w:rsidRPr="008F7C03">
        <w:rPr>
          <w:b/>
          <w:szCs w:val="22"/>
        </w:rPr>
        <w:t>-E</w:t>
      </w:r>
    </w:p>
    <w:p w14:paraId="0725CC34" w14:textId="77777777" w:rsidR="005B2CFD" w:rsidRDefault="005B2CFD" w:rsidP="005B2CFD">
      <w:pPr>
        <w:jc w:val="center"/>
        <w:rPr>
          <w:b/>
          <w:sz w:val="20"/>
        </w:rPr>
      </w:pPr>
    </w:p>
    <w:p w14:paraId="50178CE1" w14:textId="77777777" w:rsidR="005B2CFD" w:rsidRDefault="005B2CFD" w:rsidP="005B2CFD">
      <w:pPr>
        <w:jc w:val="center"/>
        <w:rPr>
          <w:b/>
          <w:szCs w:val="22"/>
        </w:rPr>
      </w:pPr>
      <w:r w:rsidRPr="008F7C03">
        <w:rPr>
          <w:b/>
          <w:szCs w:val="22"/>
        </w:rPr>
        <w:t>COMMUNITIES SERVED BY TIME WARNER CABLE INC.</w:t>
      </w:r>
    </w:p>
    <w:p w14:paraId="3284711A" w14:textId="77777777" w:rsidR="005B2CFD" w:rsidRDefault="005B2CFD" w:rsidP="005B2CFD">
      <w:pPr>
        <w:jc w:val="center"/>
        <w:rPr>
          <w:b/>
          <w:szCs w:val="22"/>
        </w:rPr>
      </w:pPr>
    </w:p>
    <w:p w14:paraId="1DF3B25D" w14:textId="77777777" w:rsidR="005B2CFD" w:rsidRDefault="005B2CFD" w:rsidP="005B2CFD">
      <w:pPr>
        <w:rPr>
          <w:b/>
          <w:szCs w:val="22"/>
        </w:rPr>
      </w:pPr>
      <w:r>
        <w:rPr>
          <w:b/>
          <w:szCs w:val="22"/>
        </w:rPr>
        <w:t>Communities</w:t>
      </w:r>
      <w:r>
        <w:rPr>
          <w:b/>
          <w:szCs w:val="22"/>
        </w:rPr>
        <w:tab/>
      </w:r>
      <w:r>
        <w:rPr>
          <w:b/>
          <w:szCs w:val="22"/>
        </w:rPr>
        <w:tab/>
      </w:r>
      <w:r>
        <w:rPr>
          <w:b/>
          <w:szCs w:val="22"/>
        </w:rPr>
        <w:tab/>
        <w:t>CUIDs</w:t>
      </w:r>
    </w:p>
    <w:p w14:paraId="290E4AF1" w14:textId="77777777" w:rsidR="005B2CFD" w:rsidRDefault="005B2CFD" w:rsidP="005B2CFD">
      <w:pPr>
        <w:rPr>
          <w:b/>
          <w:szCs w:val="22"/>
        </w:rPr>
      </w:pPr>
    </w:p>
    <w:p w14:paraId="245DB906" w14:textId="77777777" w:rsidR="005B2CFD" w:rsidRDefault="008820A3" w:rsidP="005B2CFD">
      <w:pPr>
        <w:rPr>
          <w:szCs w:val="22"/>
        </w:rPr>
      </w:pPr>
      <w:r>
        <w:rPr>
          <w:szCs w:val="22"/>
        </w:rPr>
        <w:t xml:space="preserve">Elmwood Park, </w:t>
      </w:r>
      <w:r w:rsidR="005B2CFD" w:rsidRPr="002C5210">
        <w:rPr>
          <w:szCs w:val="22"/>
        </w:rPr>
        <w:t xml:space="preserve">Village of </w:t>
      </w:r>
      <w:r w:rsidR="005B2CFD" w:rsidRPr="002C5210">
        <w:rPr>
          <w:szCs w:val="22"/>
        </w:rPr>
        <w:tab/>
        <w:t>WI0</w:t>
      </w:r>
      <w:r>
        <w:rPr>
          <w:szCs w:val="22"/>
        </w:rPr>
        <w:t>049</w:t>
      </w:r>
    </w:p>
    <w:p w14:paraId="3A8FDADF" w14:textId="77777777" w:rsidR="005B2CFD" w:rsidRDefault="008820A3" w:rsidP="005B2CFD">
      <w:pPr>
        <w:rPr>
          <w:szCs w:val="22"/>
        </w:rPr>
      </w:pPr>
      <w:r>
        <w:rPr>
          <w:szCs w:val="22"/>
        </w:rPr>
        <w:t>Kenosha, City of</w:t>
      </w:r>
      <w:r>
        <w:rPr>
          <w:szCs w:val="22"/>
        </w:rPr>
        <w:tab/>
      </w:r>
      <w:r w:rsidR="005B2CFD">
        <w:rPr>
          <w:szCs w:val="22"/>
        </w:rPr>
        <w:tab/>
        <w:t>WI0</w:t>
      </w:r>
      <w:r>
        <w:rPr>
          <w:szCs w:val="22"/>
        </w:rPr>
        <w:t>498</w:t>
      </w:r>
    </w:p>
    <w:p w14:paraId="3BCC5FA0" w14:textId="77777777" w:rsidR="005B2CFD" w:rsidRDefault="008820A3" w:rsidP="005B2CFD">
      <w:pPr>
        <w:rPr>
          <w:szCs w:val="22"/>
        </w:rPr>
      </w:pPr>
      <w:r>
        <w:rPr>
          <w:szCs w:val="22"/>
        </w:rPr>
        <w:t>Mt. Pleasant, Village of</w:t>
      </w:r>
      <w:r w:rsidR="005B2CFD">
        <w:rPr>
          <w:szCs w:val="22"/>
        </w:rPr>
        <w:tab/>
      </w:r>
      <w:r w:rsidR="005B2CFD">
        <w:rPr>
          <w:szCs w:val="22"/>
        </w:rPr>
        <w:tab/>
        <w:t>WI0</w:t>
      </w:r>
      <w:r>
        <w:rPr>
          <w:szCs w:val="22"/>
        </w:rPr>
        <w:t>0</w:t>
      </w:r>
      <w:r w:rsidR="005B2CFD">
        <w:rPr>
          <w:szCs w:val="22"/>
        </w:rPr>
        <w:t>50</w:t>
      </w:r>
    </w:p>
    <w:p w14:paraId="2A7D42F6" w14:textId="77777777" w:rsidR="005B2CFD" w:rsidRDefault="008820A3" w:rsidP="008820A3">
      <w:pPr>
        <w:ind w:left="720" w:hanging="720"/>
        <w:rPr>
          <w:szCs w:val="22"/>
        </w:rPr>
      </w:pPr>
      <w:r>
        <w:rPr>
          <w:szCs w:val="22"/>
        </w:rPr>
        <w:t>North Bay, Village of</w:t>
      </w:r>
      <w:r w:rsidR="005B2CFD">
        <w:rPr>
          <w:szCs w:val="22"/>
        </w:rPr>
        <w:tab/>
      </w:r>
      <w:r w:rsidR="005B2CFD">
        <w:rPr>
          <w:szCs w:val="22"/>
        </w:rPr>
        <w:tab/>
        <w:t>WI0</w:t>
      </w:r>
      <w:r>
        <w:rPr>
          <w:szCs w:val="22"/>
        </w:rPr>
        <w:t>894</w:t>
      </w:r>
    </w:p>
    <w:p w14:paraId="227E95EF" w14:textId="77777777" w:rsidR="005B2CFD" w:rsidRDefault="008820A3" w:rsidP="005B2CFD">
      <w:pPr>
        <w:rPr>
          <w:szCs w:val="22"/>
        </w:rPr>
      </w:pPr>
      <w:r>
        <w:rPr>
          <w:szCs w:val="22"/>
        </w:rPr>
        <w:t>Pleasant Prairie, Village of</w:t>
      </w:r>
      <w:r w:rsidR="005B2CFD">
        <w:rPr>
          <w:szCs w:val="22"/>
        </w:rPr>
        <w:tab/>
        <w:t>WI05</w:t>
      </w:r>
      <w:r>
        <w:rPr>
          <w:szCs w:val="22"/>
        </w:rPr>
        <w:t>00</w:t>
      </w:r>
    </w:p>
    <w:p w14:paraId="6D4ABEFF" w14:textId="77777777" w:rsidR="005B2CFD" w:rsidRDefault="008820A3" w:rsidP="005B2CFD">
      <w:pPr>
        <w:rPr>
          <w:szCs w:val="22"/>
        </w:rPr>
      </w:pPr>
      <w:r>
        <w:rPr>
          <w:szCs w:val="22"/>
        </w:rPr>
        <w:t>Racine, City of</w:t>
      </w:r>
      <w:r>
        <w:rPr>
          <w:szCs w:val="22"/>
        </w:rPr>
        <w:tab/>
      </w:r>
      <w:r w:rsidR="005B2CFD">
        <w:rPr>
          <w:szCs w:val="22"/>
        </w:rPr>
        <w:tab/>
      </w:r>
      <w:r w:rsidR="005B2CFD">
        <w:rPr>
          <w:szCs w:val="22"/>
        </w:rPr>
        <w:tab/>
        <w:t>WI0</w:t>
      </w:r>
      <w:r>
        <w:rPr>
          <w:szCs w:val="22"/>
        </w:rPr>
        <w:t>006</w:t>
      </w:r>
    </w:p>
    <w:p w14:paraId="678E4049" w14:textId="77777777" w:rsidR="005B2CFD" w:rsidRDefault="008820A3" w:rsidP="005B2CFD">
      <w:pPr>
        <w:rPr>
          <w:szCs w:val="22"/>
        </w:rPr>
      </w:pPr>
      <w:r>
        <w:rPr>
          <w:szCs w:val="22"/>
        </w:rPr>
        <w:t xml:space="preserve">Somers, Town of </w:t>
      </w:r>
      <w:r>
        <w:rPr>
          <w:szCs w:val="22"/>
        </w:rPr>
        <w:tab/>
      </w:r>
      <w:r w:rsidR="005B2CFD">
        <w:rPr>
          <w:szCs w:val="22"/>
        </w:rPr>
        <w:tab/>
        <w:t>WI0</w:t>
      </w:r>
      <w:r>
        <w:rPr>
          <w:szCs w:val="22"/>
        </w:rPr>
        <w:t>499</w:t>
      </w:r>
    </w:p>
    <w:p w14:paraId="57450FE7" w14:textId="77777777" w:rsidR="005B2CFD" w:rsidRDefault="008820A3" w:rsidP="005B2CFD">
      <w:pPr>
        <w:rPr>
          <w:szCs w:val="22"/>
        </w:rPr>
      </w:pPr>
      <w:r>
        <w:rPr>
          <w:szCs w:val="22"/>
        </w:rPr>
        <w:t>Wind Point, Village of</w:t>
      </w:r>
      <w:r w:rsidR="005B2CFD">
        <w:rPr>
          <w:szCs w:val="22"/>
        </w:rPr>
        <w:tab/>
      </w:r>
      <w:r w:rsidR="005B2CFD">
        <w:rPr>
          <w:szCs w:val="22"/>
        </w:rPr>
        <w:tab/>
        <w:t>WI0</w:t>
      </w:r>
      <w:r>
        <w:rPr>
          <w:szCs w:val="22"/>
        </w:rPr>
        <w:t>048</w:t>
      </w:r>
    </w:p>
    <w:p w14:paraId="0F7FF387" w14:textId="77777777" w:rsidR="008820A3" w:rsidRDefault="008820A3" w:rsidP="005B2CFD">
      <w:pPr>
        <w:rPr>
          <w:szCs w:val="22"/>
        </w:rPr>
      </w:pPr>
    </w:p>
    <w:p w14:paraId="3AAE3705" w14:textId="77777777" w:rsidR="005B2CFD" w:rsidRPr="005B2CFD" w:rsidRDefault="005B2CFD" w:rsidP="005B2CFD">
      <w:pPr>
        <w:pStyle w:val="ParaNum"/>
        <w:numPr>
          <w:ilvl w:val="0"/>
          <w:numId w:val="0"/>
        </w:numPr>
        <w:ind w:left="720"/>
      </w:pPr>
    </w:p>
    <w:sectPr w:rsidR="005B2CFD" w:rsidRPr="005B2CFD"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AEBE7" w14:textId="77777777" w:rsidR="00CA0BB5" w:rsidRDefault="00CA0BB5">
      <w:pPr>
        <w:spacing w:line="20" w:lineRule="exact"/>
      </w:pPr>
    </w:p>
  </w:endnote>
  <w:endnote w:type="continuationSeparator" w:id="0">
    <w:p w14:paraId="374EEBB8" w14:textId="77777777" w:rsidR="00CA0BB5" w:rsidRDefault="00CA0BB5">
      <w:r>
        <w:t xml:space="preserve"> </w:t>
      </w:r>
    </w:p>
  </w:endnote>
  <w:endnote w:type="continuationNotice" w:id="1">
    <w:p w14:paraId="7DF7CE62" w14:textId="77777777" w:rsidR="00CA0BB5" w:rsidRDefault="00CA0B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229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D81727"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DBB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C125F">
      <w:rPr>
        <w:noProof/>
      </w:rPr>
      <w:t>2</w:t>
    </w:r>
    <w:r>
      <w:fldChar w:fldCharType="end"/>
    </w:r>
  </w:p>
  <w:p w14:paraId="7DB236CC"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61B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0B19F" w14:textId="77777777" w:rsidR="00CA0BB5" w:rsidRDefault="00CA0BB5">
      <w:r>
        <w:separator/>
      </w:r>
    </w:p>
  </w:footnote>
  <w:footnote w:type="continuationSeparator" w:id="0">
    <w:p w14:paraId="1505C30F" w14:textId="77777777" w:rsidR="00CA0BB5" w:rsidRDefault="00CA0BB5" w:rsidP="00C721AC">
      <w:pPr>
        <w:spacing w:before="120"/>
        <w:rPr>
          <w:sz w:val="20"/>
        </w:rPr>
      </w:pPr>
      <w:r>
        <w:rPr>
          <w:sz w:val="20"/>
        </w:rPr>
        <w:t xml:space="preserve">(Continued from previous page)  </w:t>
      </w:r>
      <w:r>
        <w:rPr>
          <w:sz w:val="20"/>
        </w:rPr>
        <w:separator/>
      </w:r>
    </w:p>
  </w:footnote>
  <w:footnote w:type="continuationNotice" w:id="1">
    <w:p w14:paraId="668320B7" w14:textId="77777777" w:rsidR="00CA0BB5" w:rsidRDefault="00CA0BB5" w:rsidP="00C721AC">
      <w:pPr>
        <w:jc w:val="right"/>
        <w:rPr>
          <w:sz w:val="20"/>
        </w:rPr>
      </w:pPr>
      <w:r>
        <w:rPr>
          <w:sz w:val="20"/>
        </w:rPr>
        <w:t>(continued….)</w:t>
      </w:r>
    </w:p>
  </w:footnote>
  <w:footnote w:id="2">
    <w:p w14:paraId="02166C83" w14:textId="77777777" w:rsidR="005B2CFD" w:rsidRDefault="005B2CFD" w:rsidP="005B2CFD">
      <w:pPr>
        <w:pStyle w:val="FootnoteText"/>
      </w:pPr>
      <w:r>
        <w:rPr>
          <w:rStyle w:val="FootnoteReference"/>
        </w:rPr>
        <w:footnoteRef/>
      </w:r>
      <w:r>
        <w:t xml:space="preserve"> </w:t>
      </w:r>
      <w:r>
        <w:rPr>
          <w:i/>
        </w:rPr>
        <w:t>See</w:t>
      </w:r>
      <w:r>
        <w:t xml:space="preserve"> 47 U.S.C. § 543(l)(1)(D).</w:t>
      </w:r>
    </w:p>
  </w:footnote>
  <w:footnote w:id="3">
    <w:p w14:paraId="314D9710" w14:textId="77777777" w:rsidR="005B2CFD" w:rsidRDefault="005B2CFD" w:rsidP="005B2CFD">
      <w:pPr>
        <w:pStyle w:val="FootnoteText"/>
      </w:pPr>
      <w:r>
        <w:rPr>
          <w:rStyle w:val="FootnoteReference"/>
        </w:rPr>
        <w:footnoteRef/>
      </w:r>
      <w:r>
        <w:t xml:space="preserve"> 47 C.F.R. § 76.905(b)(4).</w:t>
      </w:r>
    </w:p>
  </w:footnote>
  <w:footnote w:id="4">
    <w:p w14:paraId="08A90082" w14:textId="4F6A86C9" w:rsidR="005B2CFD" w:rsidRPr="00354B63" w:rsidRDefault="005B2CFD" w:rsidP="005B2CFD">
      <w:pPr>
        <w:pStyle w:val="FootnoteText"/>
      </w:pPr>
      <w:r>
        <w:rPr>
          <w:rStyle w:val="FootnoteReference"/>
        </w:rPr>
        <w:footnoteRef/>
      </w:r>
      <w:r>
        <w:t xml:space="preserve"> </w:t>
      </w:r>
      <w:r w:rsidR="00E168B8">
        <w:t>One</w:t>
      </w:r>
      <w:r w:rsidR="004C73DE">
        <w:t xml:space="preserve"> response </w:t>
      </w:r>
      <w:r w:rsidR="005C0E6D">
        <w:t xml:space="preserve">included AT&amp;T’s television lineup </w:t>
      </w:r>
      <w:r w:rsidR="004C73DE">
        <w:t xml:space="preserve">for </w:t>
      </w:r>
      <w:r w:rsidR="005C0E6D">
        <w:t xml:space="preserve">the City of Racine’s five </w:t>
      </w:r>
      <w:r w:rsidR="004C73DE">
        <w:t xml:space="preserve">zip codes.  </w:t>
      </w:r>
      <w:r w:rsidR="004C73DE" w:rsidRPr="00B3213C">
        <w:rPr>
          <w:i/>
        </w:rPr>
        <w:t>See</w:t>
      </w:r>
      <w:r w:rsidR="004C73DE">
        <w:t xml:space="preserve"> Letter from </w:t>
      </w:r>
      <w:r w:rsidR="00B3213C">
        <w:t>Craig A. Gilley, Edwards Wildman Palmer LLP, Counsel for Time Warner</w:t>
      </w:r>
      <w:r w:rsidR="002F627A">
        <w:t xml:space="preserve"> Cable</w:t>
      </w:r>
      <w:r w:rsidR="00B3213C">
        <w:t xml:space="preserve"> Inc.</w:t>
      </w:r>
      <w:r w:rsidR="002F627A">
        <w:t>,</w:t>
      </w:r>
      <w:r w:rsidR="00B3213C">
        <w:t xml:space="preserve"> to Marlene H. Dortch, Secretary, Federal Communications Commission (“Time Warner Initial Response”) (filed Aug</w:t>
      </w:r>
      <w:r w:rsidR="002F627A">
        <w:t>.</w:t>
      </w:r>
      <w:r w:rsidR="00B3213C">
        <w:t xml:space="preserve"> 31, 2012).  </w:t>
      </w:r>
      <w:r w:rsidR="00E168B8">
        <w:t>The other</w:t>
      </w:r>
      <w:r>
        <w:t xml:space="preserve"> response, which </w:t>
      </w:r>
      <w:r w:rsidR="00E168B8">
        <w:t>included a</w:t>
      </w:r>
      <w:r>
        <w:t xml:space="preserve"> confidential </w:t>
      </w:r>
      <w:r w:rsidR="00E168B8">
        <w:t xml:space="preserve">version </w:t>
      </w:r>
      <w:r>
        <w:t xml:space="preserve">and </w:t>
      </w:r>
      <w:r w:rsidR="00E168B8">
        <w:t>a version</w:t>
      </w:r>
      <w:r>
        <w:t xml:space="preserve"> for public inspection</w:t>
      </w:r>
      <w:r w:rsidR="005C0E6D">
        <w:t xml:space="preserve">, </w:t>
      </w:r>
      <w:r w:rsidR="00E168B8">
        <w:t>addressed</w:t>
      </w:r>
      <w:r w:rsidR="005C0E6D">
        <w:t xml:space="preserve"> AT&amp;T subscribership data</w:t>
      </w:r>
      <w:r>
        <w:t xml:space="preserve">.  </w:t>
      </w:r>
      <w:r w:rsidRPr="00E605F4">
        <w:rPr>
          <w:i/>
        </w:rPr>
        <w:t>See</w:t>
      </w:r>
      <w:r>
        <w:t xml:space="preserve"> Letter from Craig A. Gilley, Edwards Wildman Palmer LLP, Counsel for Time Warner</w:t>
      </w:r>
      <w:r w:rsidR="002F627A">
        <w:t xml:space="preserve"> Cable</w:t>
      </w:r>
      <w:r>
        <w:t xml:space="preserve"> Inc.</w:t>
      </w:r>
      <w:r w:rsidR="002F627A">
        <w:t>,</w:t>
      </w:r>
      <w:r>
        <w:t xml:space="preserve"> to Marlene H. Dortch, Secretary, Federal Communications Commission (“Time Warner </w:t>
      </w:r>
      <w:r w:rsidR="00B3213C">
        <w:t xml:space="preserve">Supplemental </w:t>
      </w:r>
      <w:r>
        <w:t>Response”) (filed Mar</w:t>
      </w:r>
      <w:r w:rsidR="002F627A">
        <w:t>.</w:t>
      </w:r>
      <w:r>
        <w:t xml:space="preserve"> </w:t>
      </w:r>
      <w:r w:rsidR="004C73DE">
        <w:t>20</w:t>
      </w:r>
      <w:r>
        <w:t>, 2014).</w:t>
      </w:r>
    </w:p>
  </w:footnote>
  <w:footnote w:id="5">
    <w:p w14:paraId="56852E7A" w14:textId="77777777" w:rsidR="005B2CFD" w:rsidRDefault="005B2CFD" w:rsidP="005B2CFD">
      <w:pPr>
        <w:pStyle w:val="FootnoteText"/>
      </w:pPr>
      <w:r>
        <w:rPr>
          <w:rStyle w:val="FootnoteReference"/>
        </w:rPr>
        <w:footnoteRef/>
      </w:r>
      <w:r>
        <w:t xml:space="preserve"> </w:t>
      </w:r>
      <w:r>
        <w:rPr>
          <w:i/>
          <w:spacing w:val="-2"/>
        </w:rPr>
        <w:t>See Amendment to the Commission’s Rules Concerning Effective Competition; Implementation of Section 111 of the STELA Reauthorization Act</w:t>
      </w:r>
      <w:r>
        <w:rPr>
          <w:spacing w:val="-2"/>
        </w:rPr>
        <w:t>, Report and Order, 30 FCC Rcd 6574 (2015) (“</w:t>
      </w:r>
      <w:r>
        <w:rPr>
          <w:i/>
          <w:spacing w:val="-2"/>
        </w:rPr>
        <w:t>Effective Competition Order</w:t>
      </w:r>
      <w:r>
        <w:rPr>
          <w:spacing w:val="-2"/>
        </w:rPr>
        <w:t>”).</w:t>
      </w:r>
    </w:p>
  </w:footnote>
  <w:footnote w:id="6">
    <w:p w14:paraId="4E54E173" w14:textId="77777777" w:rsidR="005B2CFD" w:rsidRDefault="005B2CFD" w:rsidP="005B2CFD">
      <w:pPr>
        <w:pStyle w:val="FootnoteText"/>
        <w:tabs>
          <w:tab w:val="left" w:pos="-720"/>
        </w:tabs>
        <w:rPr>
          <w:spacing w:val="-2"/>
        </w:rPr>
      </w:pPr>
      <w:r>
        <w:rPr>
          <w:rStyle w:val="FootnoteReference"/>
          <w:spacing w:val="-2"/>
        </w:rPr>
        <w:footnoteRef/>
      </w:r>
      <w:r>
        <w:rPr>
          <w:i/>
          <w:spacing w:val="-2"/>
        </w:rPr>
        <w:t xml:space="preserve"> See</w:t>
      </w:r>
      <w:r>
        <w:rPr>
          <w:spacing w:val="-2"/>
        </w:rPr>
        <w:t xml:space="preserve"> 47 U.S.C. § 543(l)(1); 47 C.F.R. §§ 76.905(b), 76.906.</w:t>
      </w:r>
    </w:p>
  </w:footnote>
  <w:footnote w:id="7">
    <w:p w14:paraId="2959DE88" w14:textId="77777777" w:rsidR="005B2CFD" w:rsidRDefault="005B2CFD" w:rsidP="005B2CFD">
      <w:pPr>
        <w:pStyle w:val="footnotedescription"/>
        <w:spacing w:after="120"/>
      </w:pPr>
      <w:r>
        <w:rPr>
          <w:rStyle w:val="footnotemark"/>
        </w:rPr>
        <w:footnoteRef/>
      </w:r>
      <w:r>
        <w:t xml:space="preserve"> 47 U.S.C. § 543(1)(1)(D); </w:t>
      </w:r>
      <w:r>
        <w:rPr>
          <w:i/>
        </w:rPr>
        <w:t xml:space="preserve">see also </w:t>
      </w:r>
      <w:r>
        <w:t>47 C.F.R. § 76.905(b)(4).</w:t>
      </w:r>
    </w:p>
  </w:footnote>
  <w:footnote w:id="8">
    <w:p w14:paraId="77BAD481" w14:textId="77777777" w:rsidR="005B2CFD" w:rsidRDefault="005B2CFD" w:rsidP="005B2CFD">
      <w:pPr>
        <w:pStyle w:val="footnotedescription"/>
        <w:spacing w:after="120"/>
      </w:pPr>
      <w:r>
        <w:rPr>
          <w:rStyle w:val="footnotemark"/>
        </w:rPr>
        <w:footnoteRef/>
      </w:r>
      <w:r>
        <w:t xml:space="preserve"> </w:t>
      </w:r>
      <w:r>
        <w:rPr>
          <w:i/>
        </w:rPr>
        <w:t>See Implementation of Cable Act Reform Provisions of the Telecommunications Act of 1996</w:t>
      </w:r>
      <w:r>
        <w:t>, 14 FCC Rcd 5296, 5305 (1999) (“</w:t>
      </w:r>
      <w:r>
        <w:rPr>
          <w:i/>
        </w:rPr>
        <w:t>Cable Reform Order</w:t>
      </w:r>
      <w:r>
        <w:t xml:space="preserve">”).  The incumbent also must show that the LEC intends to build-out its cable system within a reasonable period of time if it has not already done so, that no regulatory, technical or other impediments to household service exist, that the LEC is marketing its services so that potential customers are aware that the LEC’s services may be purchased, that the LEC has actually begun to provide services, the extent of such services, the ease with which service may be expanded, and the expected date for completion of construction in the franchise area.  </w:t>
      </w:r>
      <w:r>
        <w:rPr>
          <w:i/>
        </w:rPr>
        <w:t>Id</w:t>
      </w:r>
      <w:r>
        <w:t>. at 5305.</w:t>
      </w:r>
    </w:p>
  </w:footnote>
  <w:footnote w:id="9">
    <w:p w14:paraId="5577558B" w14:textId="77777777" w:rsidR="005B2CFD" w:rsidRPr="004F0265" w:rsidRDefault="005B2CFD" w:rsidP="005B2CFD">
      <w:pPr>
        <w:pStyle w:val="FootnoteText"/>
      </w:pPr>
      <w:r>
        <w:rPr>
          <w:rStyle w:val="FootnoteReference"/>
        </w:rPr>
        <w:footnoteRef/>
      </w:r>
      <w:r>
        <w:t xml:space="preserve"> </w:t>
      </w:r>
      <w:r w:rsidRPr="004F0265">
        <w:t>Petition at 7.</w:t>
      </w:r>
    </w:p>
  </w:footnote>
  <w:footnote w:id="10">
    <w:p w14:paraId="5E1998ED" w14:textId="77777777" w:rsidR="005B2CFD" w:rsidRPr="009A46FF" w:rsidRDefault="005B2CFD" w:rsidP="005B2CFD">
      <w:pPr>
        <w:pStyle w:val="FootnoteText"/>
      </w:pPr>
      <w:r>
        <w:rPr>
          <w:rStyle w:val="FootnoteReference"/>
        </w:rPr>
        <w:footnoteRef/>
      </w:r>
      <w:r>
        <w:t xml:space="preserve"> </w:t>
      </w:r>
      <w:r w:rsidRPr="00E605F4">
        <w:rPr>
          <w:i/>
        </w:rPr>
        <w:t>See</w:t>
      </w:r>
      <w:r>
        <w:t xml:space="preserve"> </w:t>
      </w:r>
      <w:r w:rsidRPr="004F0265">
        <w:rPr>
          <w:i/>
        </w:rPr>
        <w:t>Cable Reform Order</w:t>
      </w:r>
      <w:r>
        <w:t xml:space="preserve">, 14 FCC Rcd at 5305-06, ¶¶ 13-15.  </w:t>
      </w:r>
      <w:r w:rsidRPr="00E605F4">
        <w:rPr>
          <w:i/>
        </w:rPr>
        <w:t>See</w:t>
      </w:r>
      <w:r>
        <w:t xml:space="preserve"> also Petition at 3-6.</w:t>
      </w:r>
    </w:p>
  </w:footnote>
  <w:footnote w:id="11">
    <w:p w14:paraId="170C975D" w14:textId="77777777" w:rsidR="002D6447" w:rsidRDefault="002D6447">
      <w:pPr>
        <w:pStyle w:val="FootnoteText"/>
      </w:pPr>
      <w:r>
        <w:rPr>
          <w:rStyle w:val="FootnoteReference"/>
        </w:rPr>
        <w:footnoteRef/>
      </w:r>
      <w:r>
        <w:t xml:space="preserve"> Kenosha Opposition at 2-3</w:t>
      </w:r>
      <w:r w:rsidR="00111A6F">
        <w:t>; Racine Opposition at 2-</w:t>
      </w:r>
      <w:r w:rsidR="00E35B99">
        <w:t>4</w:t>
      </w:r>
      <w:r>
        <w:t>.</w:t>
      </w:r>
    </w:p>
  </w:footnote>
  <w:footnote w:id="12">
    <w:p w14:paraId="59178767" w14:textId="46AF9273" w:rsidR="00877065" w:rsidRDefault="00877065">
      <w:pPr>
        <w:pStyle w:val="FootnoteText"/>
      </w:pPr>
      <w:r>
        <w:rPr>
          <w:rStyle w:val="FootnoteReference"/>
        </w:rPr>
        <w:footnoteRef/>
      </w:r>
      <w:r>
        <w:t xml:space="preserve"> Time Warner Reply at </w:t>
      </w:r>
      <w:r w:rsidR="009148A7">
        <w:t>2</w:t>
      </w:r>
      <w:r w:rsidR="006904E3">
        <w:t>.</w:t>
      </w:r>
    </w:p>
  </w:footnote>
  <w:footnote w:id="13">
    <w:p w14:paraId="76B2523B" w14:textId="5892193F" w:rsidR="00B1575E" w:rsidRDefault="00B1575E" w:rsidP="00B1575E">
      <w:pPr>
        <w:pStyle w:val="FootnoteText"/>
      </w:pPr>
      <w:r>
        <w:rPr>
          <w:rStyle w:val="FootnoteReference"/>
        </w:rPr>
        <w:footnoteRef/>
      </w:r>
      <w:r>
        <w:t xml:space="preserve"> </w:t>
      </w:r>
      <w:r w:rsidR="009148A7">
        <w:t>Racine Opposition at 3-4</w:t>
      </w:r>
      <w:r w:rsidR="001C5141">
        <w:t>.</w:t>
      </w:r>
      <w:r w:rsidR="006904E3">
        <w:t xml:space="preserve"> </w:t>
      </w:r>
    </w:p>
  </w:footnote>
  <w:footnote w:id="14">
    <w:p w14:paraId="32099D24" w14:textId="77777777" w:rsidR="00B1575E" w:rsidRPr="00F30D1A" w:rsidRDefault="00B1575E" w:rsidP="00B1575E">
      <w:pPr>
        <w:pStyle w:val="FootnoteText"/>
      </w:pPr>
      <w:r>
        <w:rPr>
          <w:rStyle w:val="FootnoteReference"/>
        </w:rPr>
        <w:footnoteRef/>
      </w:r>
      <w:r>
        <w:t xml:space="preserve"> </w:t>
      </w:r>
      <w:r>
        <w:rPr>
          <w:i/>
        </w:rPr>
        <w:t>Cable Reform Order</w:t>
      </w:r>
      <w:r>
        <w:t>, 14 FCC Rcd at 5303.</w:t>
      </w:r>
    </w:p>
  </w:footnote>
  <w:footnote w:id="15">
    <w:p w14:paraId="35DE43B9" w14:textId="77777777" w:rsidR="00B1575E" w:rsidRPr="00D832DD" w:rsidRDefault="00B1575E" w:rsidP="00B1575E">
      <w:pPr>
        <w:pStyle w:val="FootnoteText"/>
      </w:pPr>
      <w:r>
        <w:rPr>
          <w:rStyle w:val="FootnoteReference"/>
        </w:rPr>
        <w:footnoteRef/>
      </w:r>
      <w:r>
        <w:t xml:space="preserve"> </w:t>
      </w:r>
      <w:r>
        <w:rPr>
          <w:i/>
        </w:rPr>
        <w:t>See</w:t>
      </w:r>
      <w:r>
        <w:t xml:space="preserve"> Time Warner Supplemental Response at 1 (Confidential Response – Not for Public Inspection).  The Cities of Racine and Kenosha did not request access to Time Warner’s Confidential </w:t>
      </w:r>
      <w:r w:rsidR="006904E3">
        <w:t xml:space="preserve">Supplemental </w:t>
      </w:r>
      <w:r>
        <w:t>Response.</w:t>
      </w:r>
    </w:p>
  </w:footnote>
  <w:footnote w:id="16">
    <w:p w14:paraId="2AD8DB49" w14:textId="77777777" w:rsidR="00111A6F" w:rsidRDefault="00111A6F">
      <w:pPr>
        <w:pStyle w:val="FootnoteText"/>
      </w:pPr>
      <w:r>
        <w:rPr>
          <w:rStyle w:val="FootnoteReference"/>
        </w:rPr>
        <w:footnoteRef/>
      </w:r>
      <w:r>
        <w:t xml:space="preserve"> Kenosha Opposition at 5</w:t>
      </w:r>
      <w:r w:rsidR="00977DBC">
        <w:t>; Racine Opposition 8-9.</w:t>
      </w:r>
    </w:p>
  </w:footnote>
  <w:footnote w:id="17">
    <w:p w14:paraId="5C615982" w14:textId="77777777" w:rsidR="00FD1C1F" w:rsidRDefault="00FD1C1F" w:rsidP="00FD1C1F">
      <w:pPr>
        <w:pStyle w:val="FootnoteText"/>
      </w:pPr>
      <w:r>
        <w:rPr>
          <w:rStyle w:val="FootnoteReference"/>
        </w:rPr>
        <w:footnoteRef/>
      </w:r>
      <w:r>
        <w:t xml:space="preserve"> </w:t>
      </w:r>
      <w:r w:rsidR="00856E80">
        <w:t>Time Warner Initial Response at 1.</w:t>
      </w:r>
    </w:p>
  </w:footnote>
  <w:footnote w:id="18">
    <w:p w14:paraId="1DB3AFD6" w14:textId="77777777" w:rsidR="000E02B4" w:rsidRDefault="000E02B4" w:rsidP="000E02B4">
      <w:pPr>
        <w:pStyle w:val="FootnoteText"/>
      </w:pPr>
      <w:r>
        <w:rPr>
          <w:rStyle w:val="FootnoteReference"/>
        </w:rPr>
        <w:footnoteRef/>
      </w:r>
      <w:r>
        <w:t xml:space="preserve"> Time Warner Reply at 4.</w:t>
      </w:r>
      <w:r w:rsidR="00EB1DE6">
        <w:t xml:space="preserve">  </w:t>
      </w:r>
      <w:r w:rsidR="00EB1DE6" w:rsidRPr="005B7E44">
        <w:t>The “comparable programming” element of the LEC test is met if a competing provider offers at least 12 channels of video programming, including at least one channel of nonbroadcast service programming.</w:t>
      </w:r>
      <w:r w:rsidR="00EB1DE6">
        <w:t xml:space="preserve">  </w:t>
      </w:r>
      <w:r w:rsidR="00EB1DE6">
        <w:rPr>
          <w:i/>
        </w:rPr>
        <w:t>See</w:t>
      </w:r>
      <w:r w:rsidR="00EB1DE6">
        <w:t xml:space="preserve"> 47 C.F.R. § 76.905(g); </w:t>
      </w:r>
      <w:r w:rsidR="00EB1DE6">
        <w:rPr>
          <w:i/>
        </w:rPr>
        <w:t xml:space="preserve">see also </w:t>
      </w:r>
      <w:r w:rsidR="00EB1DE6">
        <w:t>Petition at 5.</w:t>
      </w:r>
    </w:p>
  </w:footnote>
  <w:footnote w:id="19">
    <w:p w14:paraId="2F507ACE" w14:textId="77777777" w:rsidR="005B2CFD" w:rsidRDefault="005B2CFD" w:rsidP="005B2CFD">
      <w:pPr>
        <w:pStyle w:val="FootnoteText"/>
        <w:rPr>
          <w:i/>
        </w:rPr>
      </w:pPr>
      <w:r>
        <w:rPr>
          <w:rStyle w:val="FootnoteReference"/>
        </w:rPr>
        <w:footnoteRef/>
      </w:r>
      <w:r>
        <w:t xml:space="preserve"> 47 U.S.C. § 543(l)(1)(B); </w:t>
      </w:r>
      <w:r>
        <w:rPr>
          <w:i/>
        </w:rPr>
        <w:t>see</w:t>
      </w:r>
      <w:r>
        <w:t xml:space="preserve"> </w:t>
      </w:r>
      <w:r>
        <w:rPr>
          <w:i/>
        </w:rPr>
        <w:t>also</w:t>
      </w:r>
      <w:r>
        <w:t xml:space="preserve"> 47 C.F.R. § 76.905(b)(2).</w:t>
      </w:r>
    </w:p>
  </w:footnote>
  <w:footnote w:id="20">
    <w:p w14:paraId="6D489B5D" w14:textId="06823432" w:rsidR="00D217BE" w:rsidRDefault="00D217BE">
      <w:pPr>
        <w:pStyle w:val="FootnoteText"/>
      </w:pPr>
      <w:r>
        <w:rPr>
          <w:rStyle w:val="FootnoteReference"/>
        </w:rPr>
        <w:footnoteRef/>
      </w:r>
      <w:r>
        <w:t xml:space="preserve"> </w:t>
      </w:r>
      <w:r w:rsidR="000105C5">
        <w:t xml:space="preserve">Racine Opposition at 5; </w:t>
      </w:r>
      <w:r>
        <w:t>Kenosha Opposition at 4.</w:t>
      </w:r>
    </w:p>
  </w:footnote>
  <w:footnote w:id="21">
    <w:p w14:paraId="0535EF68" w14:textId="7103743C" w:rsidR="000E0BEC" w:rsidRDefault="000E0BEC">
      <w:pPr>
        <w:pStyle w:val="FootnoteText"/>
      </w:pPr>
      <w:r>
        <w:rPr>
          <w:rStyle w:val="FootnoteReference"/>
        </w:rPr>
        <w:footnoteRef/>
      </w:r>
      <w:r>
        <w:t xml:space="preserve"> </w:t>
      </w:r>
      <w:r w:rsidR="000105C5" w:rsidRPr="00A32AFB">
        <w:rPr>
          <w:i/>
        </w:rPr>
        <w:t>Id</w:t>
      </w:r>
      <w:r w:rsidR="000105C5">
        <w:t xml:space="preserve">. </w:t>
      </w:r>
      <w:r>
        <w:t xml:space="preserve"> </w:t>
      </w:r>
    </w:p>
  </w:footnote>
  <w:footnote w:id="22">
    <w:p w14:paraId="17C4A8F3" w14:textId="7A8BCA7E" w:rsidR="00E62BBF" w:rsidRDefault="00E62BBF">
      <w:pPr>
        <w:pStyle w:val="FootnoteText"/>
      </w:pPr>
      <w:r>
        <w:rPr>
          <w:rStyle w:val="FootnoteReference"/>
        </w:rPr>
        <w:footnoteRef/>
      </w:r>
      <w:r>
        <w:t xml:space="preserve"> Racine Opposition at 3-10.</w:t>
      </w:r>
    </w:p>
  </w:footnote>
  <w:footnote w:id="23">
    <w:p w14:paraId="3D83F58C" w14:textId="77777777" w:rsidR="005B2CFD" w:rsidRDefault="005B2CFD" w:rsidP="005B2CFD">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8E61" w14:textId="77777777" w:rsidR="009F1F90" w:rsidRDefault="009F1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A4A3" w14:textId="76C7522C" w:rsidR="00D25FB5" w:rsidRDefault="00D25FB5" w:rsidP="00810B6F">
    <w:pPr>
      <w:pStyle w:val="Header"/>
      <w:rPr>
        <w:b w:val="0"/>
      </w:rPr>
    </w:pPr>
    <w:r>
      <w:tab/>
      <w:t>Federal Communications Commission</w:t>
    </w:r>
    <w:r>
      <w:tab/>
    </w:r>
    <w:r w:rsidR="00BA61C7">
      <w:t>DA 16-428</w:t>
    </w:r>
  </w:p>
  <w:p w14:paraId="1EC9C34E" w14:textId="77777777" w:rsidR="00D25FB5" w:rsidRDefault="008E38B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B096B25" wp14:editId="536036C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83267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D5642C1"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8B815" w14:textId="5CD40E03" w:rsidR="00D25FB5" w:rsidRDefault="008E38B3" w:rsidP="00810B6F">
    <w:pPr>
      <w:pStyle w:val="Header"/>
      <w:rPr>
        <w:b w:val="0"/>
      </w:rPr>
    </w:pPr>
    <w:r>
      <w:rPr>
        <w:noProof/>
      </w:rPr>
      <mc:AlternateContent>
        <mc:Choice Requires="wps">
          <w:drawing>
            <wp:anchor distT="0" distB="0" distL="114300" distR="114300" simplePos="0" relativeHeight="251658240" behindDoc="1" locked="0" layoutInCell="0" allowOverlap="1" wp14:anchorId="2D22E71C" wp14:editId="2F08DD1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C05D6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B2CFD">
      <w:t>DA 16-</w:t>
    </w:r>
    <w:r w:rsidR="00BA61C7">
      <w:t>428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20886EB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05C5"/>
    <w:rsid w:val="0001171D"/>
    <w:rsid w:val="00036039"/>
    <w:rsid w:val="00037F90"/>
    <w:rsid w:val="000875BF"/>
    <w:rsid w:val="00096D8C"/>
    <w:rsid w:val="000C0B65"/>
    <w:rsid w:val="000E02B4"/>
    <w:rsid w:val="000E05FE"/>
    <w:rsid w:val="000E0BEC"/>
    <w:rsid w:val="000E3D42"/>
    <w:rsid w:val="00111A6F"/>
    <w:rsid w:val="001120FC"/>
    <w:rsid w:val="00122BD5"/>
    <w:rsid w:val="00133F79"/>
    <w:rsid w:val="00142E55"/>
    <w:rsid w:val="00147930"/>
    <w:rsid w:val="00176699"/>
    <w:rsid w:val="00194A66"/>
    <w:rsid w:val="001C5141"/>
    <w:rsid w:val="001D6BCF"/>
    <w:rsid w:val="001E01CA"/>
    <w:rsid w:val="001F2DCC"/>
    <w:rsid w:val="00211CFD"/>
    <w:rsid w:val="002406F7"/>
    <w:rsid w:val="00275CF5"/>
    <w:rsid w:val="0028301F"/>
    <w:rsid w:val="00285017"/>
    <w:rsid w:val="002A2D2E"/>
    <w:rsid w:val="002A5E65"/>
    <w:rsid w:val="002C00E8"/>
    <w:rsid w:val="002D6447"/>
    <w:rsid w:val="002D6AA5"/>
    <w:rsid w:val="002F627A"/>
    <w:rsid w:val="00343749"/>
    <w:rsid w:val="003660ED"/>
    <w:rsid w:val="003B0550"/>
    <w:rsid w:val="003B694F"/>
    <w:rsid w:val="003E4D89"/>
    <w:rsid w:val="003F171C"/>
    <w:rsid w:val="00412FC5"/>
    <w:rsid w:val="00422276"/>
    <w:rsid w:val="004242F1"/>
    <w:rsid w:val="004276C5"/>
    <w:rsid w:val="00445A00"/>
    <w:rsid w:val="00451B0F"/>
    <w:rsid w:val="004C2EE3"/>
    <w:rsid w:val="004C73DE"/>
    <w:rsid w:val="004D0F03"/>
    <w:rsid w:val="004E4A22"/>
    <w:rsid w:val="00500D80"/>
    <w:rsid w:val="00511968"/>
    <w:rsid w:val="0055614C"/>
    <w:rsid w:val="005A4620"/>
    <w:rsid w:val="005B2CFD"/>
    <w:rsid w:val="005B7E44"/>
    <w:rsid w:val="005C0E6D"/>
    <w:rsid w:val="005E14C2"/>
    <w:rsid w:val="00607BA5"/>
    <w:rsid w:val="0061180A"/>
    <w:rsid w:val="00626EB6"/>
    <w:rsid w:val="00652BE3"/>
    <w:rsid w:val="00655D03"/>
    <w:rsid w:val="00683388"/>
    <w:rsid w:val="00683F84"/>
    <w:rsid w:val="006904E3"/>
    <w:rsid w:val="006A6A81"/>
    <w:rsid w:val="006C184C"/>
    <w:rsid w:val="006F7393"/>
    <w:rsid w:val="0070224F"/>
    <w:rsid w:val="007115F7"/>
    <w:rsid w:val="00766951"/>
    <w:rsid w:val="00776B11"/>
    <w:rsid w:val="00785689"/>
    <w:rsid w:val="00793808"/>
    <w:rsid w:val="0079754B"/>
    <w:rsid w:val="007A1E6D"/>
    <w:rsid w:val="007B0EB2"/>
    <w:rsid w:val="007C125F"/>
    <w:rsid w:val="007E057F"/>
    <w:rsid w:val="00810B6F"/>
    <w:rsid w:val="00822CE0"/>
    <w:rsid w:val="008344C9"/>
    <w:rsid w:val="00841AB1"/>
    <w:rsid w:val="00856E80"/>
    <w:rsid w:val="00877065"/>
    <w:rsid w:val="008820A3"/>
    <w:rsid w:val="008C68F1"/>
    <w:rsid w:val="008E38B3"/>
    <w:rsid w:val="009148A7"/>
    <w:rsid w:val="00921803"/>
    <w:rsid w:val="00926503"/>
    <w:rsid w:val="009726D8"/>
    <w:rsid w:val="00977DBC"/>
    <w:rsid w:val="009D01B8"/>
    <w:rsid w:val="009F1F90"/>
    <w:rsid w:val="009F76DB"/>
    <w:rsid w:val="00A10506"/>
    <w:rsid w:val="00A32AFB"/>
    <w:rsid w:val="00A32C3B"/>
    <w:rsid w:val="00A45F4F"/>
    <w:rsid w:val="00A600A9"/>
    <w:rsid w:val="00A97DE1"/>
    <w:rsid w:val="00AA55B7"/>
    <w:rsid w:val="00AA5B9E"/>
    <w:rsid w:val="00AB2407"/>
    <w:rsid w:val="00AB53DF"/>
    <w:rsid w:val="00B07E5C"/>
    <w:rsid w:val="00B1575E"/>
    <w:rsid w:val="00B2088C"/>
    <w:rsid w:val="00B3213C"/>
    <w:rsid w:val="00B41477"/>
    <w:rsid w:val="00B43C15"/>
    <w:rsid w:val="00B811F7"/>
    <w:rsid w:val="00BA5DC6"/>
    <w:rsid w:val="00BA6196"/>
    <w:rsid w:val="00BA61C7"/>
    <w:rsid w:val="00BC6D8C"/>
    <w:rsid w:val="00C34006"/>
    <w:rsid w:val="00C426B1"/>
    <w:rsid w:val="00C66160"/>
    <w:rsid w:val="00C721AC"/>
    <w:rsid w:val="00C90D6A"/>
    <w:rsid w:val="00CA0BB5"/>
    <w:rsid w:val="00CA247E"/>
    <w:rsid w:val="00CC72B6"/>
    <w:rsid w:val="00D0218D"/>
    <w:rsid w:val="00D217BE"/>
    <w:rsid w:val="00D25FB5"/>
    <w:rsid w:val="00D44223"/>
    <w:rsid w:val="00D94928"/>
    <w:rsid w:val="00DA2529"/>
    <w:rsid w:val="00DB130A"/>
    <w:rsid w:val="00DB2EBB"/>
    <w:rsid w:val="00DC10A1"/>
    <w:rsid w:val="00DC655F"/>
    <w:rsid w:val="00DC6B1B"/>
    <w:rsid w:val="00DD0B59"/>
    <w:rsid w:val="00DD7EBD"/>
    <w:rsid w:val="00DF62B6"/>
    <w:rsid w:val="00E07225"/>
    <w:rsid w:val="00E168B8"/>
    <w:rsid w:val="00E35B99"/>
    <w:rsid w:val="00E5409F"/>
    <w:rsid w:val="00E62BBF"/>
    <w:rsid w:val="00EA53F6"/>
    <w:rsid w:val="00EB0511"/>
    <w:rsid w:val="00EB1DE6"/>
    <w:rsid w:val="00EE6488"/>
    <w:rsid w:val="00F021FA"/>
    <w:rsid w:val="00F62E97"/>
    <w:rsid w:val="00F64209"/>
    <w:rsid w:val="00F93BF5"/>
    <w:rsid w:val="00F95F32"/>
    <w:rsid w:val="00FC0794"/>
    <w:rsid w:val="00FD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6E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5B2CFD"/>
  </w:style>
  <w:style w:type="paragraph" w:customStyle="1" w:styleId="footnotedescription">
    <w:name w:val="footnote description"/>
    <w:next w:val="Normal"/>
    <w:link w:val="footnotedescriptionChar"/>
    <w:hidden/>
    <w:rsid w:val="005B2CFD"/>
    <w:pPr>
      <w:spacing w:line="259" w:lineRule="auto"/>
    </w:pPr>
    <w:rPr>
      <w:color w:val="000000"/>
      <w:szCs w:val="22"/>
    </w:rPr>
  </w:style>
  <w:style w:type="character" w:customStyle="1" w:styleId="footnotedescriptionChar">
    <w:name w:val="footnote description Char"/>
    <w:link w:val="footnotedescription"/>
    <w:rsid w:val="005B2CFD"/>
    <w:rPr>
      <w:color w:val="000000"/>
      <w:szCs w:val="22"/>
    </w:rPr>
  </w:style>
  <w:style w:type="character" w:customStyle="1" w:styleId="footnotemark">
    <w:name w:val="footnote mark"/>
    <w:hidden/>
    <w:rsid w:val="005B2CFD"/>
    <w:rPr>
      <w:rFonts w:ascii="Times New Roman" w:eastAsia="Times New Roman" w:hAnsi="Times New Roman" w:cs="Times New Roman"/>
      <w:color w:val="000000"/>
      <w:sz w:val="20"/>
      <w:vertAlign w:val="superscript"/>
    </w:rPr>
  </w:style>
  <w:style w:type="paragraph" w:styleId="Caption">
    <w:name w:val="caption"/>
    <w:basedOn w:val="Normal"/>
    <w:next w:val="Normal"/>
    <w:qFormat/>
    <w:rsid w:val="005B2CFD"/>
    <w:pPr>
      <w:widowControl/>
      <w:spacing w:before="120" w:after="120"/>
    </w:pPr>
    <w:rPr>
      <w:b/>
      <w:snapToGrid/>
      <w:kern w:val="0"/>
    </w:rPr>
  </w:style>
  <w:style w:type="paragraph" w:customStyle="1" w:styleId="DocText">
    <w:name w:val="DocText"/>
    <w:autoRedefine/>
    <w:rsid w:val="005B2CFD"/>
    <w:pPr>
      <w:tabs>
        <w:tab w:val="left" w:pos="1440"/>
      </w:tabs>
      <w:ind w:left="360"/>
      <w:jc w:val="both"/>
    </w:pPr>
    <w:rPr>
      <w:spacing w:val="-2"/>
      <w:sz w:val="24"/>
    </w:rPr>
  </w:style>
  <w:style w:type="paragraph" w:styleId="BalloonText">
    <w:name w:val="Balloon Text"/>
    <w:basedOn w:val="Normal"/>
    <w:link w:val="BalloonTextChar"/>
    <w:rsid w:val="005C0E6D"/>
    <w:rPr>
      <w:rFonts w:ascii="Segoe UI" w:hAnsi="Segoe UI" w:cs="Segoe UI"/>
      <w:sz w:val="18"/>
      <w:szCs w:val="18"/>
    </w:rPr>
  </w:style>
  <w:style w:type="character" w:customStyle="1" w:styleId="BalloonTextChar">
    <w:name w:val="Balloon Text Char"/>
    <w:link w:val="BalloonText"/>
    <w:rsid w:val="005C0E6D"/>
    <w:rPr>
      <w:rFonts w:ascii="Segoe UI" w:hAnsi="Segoe UI" w:cs="Segoe UI"/>
      <w:snapToGrid w:val="0"/>
      <w:kern w:val="28"/>
      <w:sz w:val="18"/>
      <w:szCs w:val="18"/>
    </w:rPr>
  </w:style>
  <w:style w:type="character" w:styleId="CommentReference">
    <w:name w:val="annotation reference"/>
    <w:basedOn w:val="DefaultParagraphFont"/>
    <w:rsid w:val="006904E3"/>
    <w:rPr>
      <w:sz w:val="16"/>
      <w:szCs w:val="16"/>
    </w:rPr>
  </w:style>
  <w:style w:type="paragraph" w:styleId="CommentText">
    <w:name w:val="annotation text"/>
    <w:basedOn w:val="Normal"/>
    <w:link w:val="CommentTextChar"/>
    <w:rsid w:val="006904E3"/>
    <w:rPr>
      <w:sz w:val="20"/>
    </w:rPr>
  </w:style>
  <w:style w:type="character" w:customStyle="1" w:styleId="CommentTextChar">
    <w:name w:val="Comment Text Char"/>
    <w:basedOn w:val="DefaultParagraphFont"/>
    <w:link w:val="CommentText"/>
    <w:rsid w:val="006904E3"/>
    <w:rPr>
      <w:snapToGrid w:val="0"/>
      <w:kern w:val="28"/>
    </w:rPr>
  </w:style>
  <w:style w:type="paragraph" w:styleId="CommentSubject">
    <w:name w:val="annotation subject"/>
    <w:basedOn w:val="CommentText"/>
    <w:next w:val="CommentText"/>
    <w:link w:val="CommentSubjectChar"/>
    <w:rsid w:val="006904E3"/>
    <w:rPr>
      <w:b/>
      <w:bCs/>
    </w:rPr>
  </w:style>
  <w:style w:type="character" w:customStyle="1" w:styleId="CommentSubjectChar">
    <w:name w:val="Comment Subject Char"/>
    <w:basedOn w:val="CommentTextChar"/>
    <w:link w:val="CommentSubject"/>
    <w:rsid w:val="006904E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5B2CFD"/>
  </w:style>
  <w:style w:type="paragraph" w:customStyle="1" w:styleId="footnotedescription">
    <w:name w:val="footnote description"/>
    <w:next w:val="Normal"/>
    <w:link w:val="footnotedescriptionChar"/>
    <w:hidden/>
    <w:rsid w:val="005B2CFD"/>
    <w:pPr>
      <w:spacing w:line="259" w:lineRule="auto"/>
    </w:pPr>
    <w:rPr>
      <w:color w:val="000000"/>
      <w:szCs w:val="22"/>
    </w:rPr>
  </w:style>
  <w:style w:type="character" w:customStyle="1" w:styleId="footnotedescriptionChar">
    <w:name w:val="footnote description Char"/>
    <w:link w:val="footnotedescription"/>
    <w:rsid w:val="005B2CFD"/>
    <w:rPr>
      <w:color w:val="000000"/>
      <w:szCs w:val="22"/>
    </w:rPr>
  </w:style>
  <w:style w:type="character" w:customStyle="1" w:styleId="footnotemark">
    <w:name w:val="footnote mark"/>
    <w:hidden/>
    <w:rsid w:val="005B2CFD"/>
    <w:rPr>
      <w:rFonts w:ascii="Times New Roman" w:eastAsia="Times New Roman" w:hAnsi="Times New Roman" w:cs="Times New Roman"/>
      <w:color w:val="000000"/>
      <w:sz w:val="20"/>
      <w:vertAlign w:val="superscript"/>
    </w:rPr>
  </w:style>
  <w:style w:type="paragraph" w:styleId="Caption">
    <w:name w:val="caption"/>
    <w:basedOn w:val="Normal"/>
    <w:next w:val="Normal"/>
    <w:qFormat/>
    <w:rsid w:val="005B2CFD"/>
    <w:pPr>
      <w:widowControl/>
      <w:spacing w:before="120" w:after="120"/>
    </w:pPr>
    <w:rPr>
      <w:b/>
      <w:snapToGrid/>
      <w:kern w:val="0"/>
    </w:rPr>
  </w:style>
  <w:style w:type="paragraph" w:customStyle="1" w:styleId="DocText">
    <w:name w:val="DocText"/>
    <w:autoRedefine/>
    <w:rsid w:val="005B2CFD"/>
    <w:pPr>
      <w:tabs>
        <w:tab w:val="left" w:pos="1440"/>
      </w:tabs>
      <w:ind w:left="360"/>
      <w:jc w:val="both"/>
    </w:pPr>
    <w:rPr>
      <w:spacing w:val="-2"/>
      <w:sz w:val="24"/>
    </w:rPr>
  </w:style>
  <w:style w:type="paragraph" w:styleId="BalloonText">
    <w:name w:val="Balloon Text"/>
    <w:basedOn w:val="Normal"/>
    <w:link w:val="BalloonTextChar"/>
    <w:rsid w:val="005C0E6D"/>
    <w:rPr>
      <w:rFonts w:ascii="Segoe UI" w:hAnsi="Segoe UI" w:cs="Segoe UI"/>
      <w:sz w:val="18"/>
      <w:szCs w:val="18"/>
    </w:rPr>
  </w:style>
  <w:style w:type="character" w:customStyle="1" w:styleId="BalloonTextChar">
    <w:name w:val="Balloon Text Char"/>
    <w:link w:val="BalloonText"/>
    <w:rsid w:val="005C0E6D"/>
    <w:rPr>
      <w:rFonts w:ascii="Segoe UI" w:hAnsi="Segoe UI" w:cs="Segoe UI"/>
      <w:snapToGrid w:val="0"/>
      <w:kern w:val="28"/>
      <w:sz w:val="18"/>
      <w:szCs w:val="18"/>
    </w:rPr>
  </w:style>
  <w:style w:type="character" w:styleId="CommentReference">
    <w:name w:val="annotation reference"/>
    <w:basedOn w:val="DefaultParagraphFont"/>
    <w:rsid w:val="006904E3"/>
    <w:rPr>
      <w:sz w:val="16"/>
      <w:szCs w:val="16"/>
    </w:rPr>
  </w:style>
  <w:style w:type="paragraph" w:styleId="CommentText">
    <w:name w:val="annotation text"/>
    <w:basedOn w:val="Normal"/>
    <w:link w:val="CommentTextChar"/>
    <w:rsid w:val="006904E3"/>
    <w:rPr>
      <w:sz w:val="20"/>
    </w:rPr>
  </w:style>
  <w:style w:type="character" w:customStyle="1" w:styleId="CommentTextChar">
    <w:name w:val="Comment Text Char"/>
    <w:basedOn w:val="DefaultParagraphFont"/>
    <w:link w:val="CommentText"/>
    <w:rsid w:val="006904E3"/>
    <w:rPr>
      <w:snapToGrid w:val="0"/>
      <w:kern w:val="28"/>
    </w:rPr>
  </w:style>
  <w:style w:type="paragraph" w:styleId="CommentSubject">
    <w:name w:val="annotation subject"/>
    <w:basedOn w:val="CommentText"/>
    <w:next w:val="CommentText"/>
    <w:link w:val="CommentSubjectChar"/>
    <w:rsid w:val="006904E3"/>
    <w:rPr>
      <w:b/>
      <w:bCs/>
    </w:rPr>
  </w:style>
  <w:style w:type="character" w:customStyle="1" w:styleId="CommentSubjectChar">
    <w:name w:val="Comment Subject Char"/>
    <w:basedOn w:val="CommentTextChar"/>
    <w:link w:val="CommentSubject"/>
    <w:rsid w:val="006904E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6820</Characters>
  <Application>Microsoft Office Word</Application>
  <DocSecurity>0</DocSecurity>
  <Lines>130</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8126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2016-04-15T13:25:00Z</cp:lastPrinted>
  <dcterms:created xsi:type="dcterms:W3CDTF">2016-04-19T16:31:00Z</dcterms:created>
  <dcterms:modified xsi:type="dcterms:W3CDTF">2016-04-19T16:31:00Z</dcterms:modified>
  <cp:category> </cp:category>
  <cp:contentStatus> </cp:contentStatus>
</cp:coreProperties>
</file>