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F3" w:rsidRDefault="00DF51F3" w:rsidP="005B4F0E">
      <w:pPr>
        <w:jc w:val="center"/>
        <w:rPr>
          <w:b/>
        </w:rPr>
      </w:pPr>
      <w:bookmarkStart w:id="0" w:name="_GoBack"/>
      <w:bookmarkEnd w:id="0"/>
    </w:p>
    <w:p w:rsidR="00DF51F3" w:rsidRPr="00ED5746" w:rsidRDefault="00DF51F3" w:rsidP="00DF51F3">
      <w:pPr>
        <w:jc w:val="center"/>
        <w:rPr>
          <w:b/>
        </w:rPr>
      </w:pPr>
      <w:r w:rsidRPr="00ED5746">
        <w:rPr>
          <w:rFonts w:ascii="Times New Roman Bold" w:hAnsi="Times New Roman Bold"/>
          <w:b/>
          <w:kern w:val="0"/>
          <w:szCs w:val="22"/>
        </w:rPr>
        <w:t>Before</w:t>
      </w:r>
      <w:r w:rsidRPr="00ED5746">
        <w:rPr>
          <w:b/>
        </w:rPr>
        <w:t xml:space="preserve"> the</w:t>
      </w:r>
    </w:p>
    <w:p w:rsidR="00DF51F3" w:rsidRPr="00ED5746" w:rsidRDefault="00DF51F3" w:rsidP="00DF51F3">
      <w:pPr>
        <w:pStyle w:val="StyleBoldCentered"/>
      </w:pPr>
      <w:r w:rsidRPr="00ED5746">
        <w:t>F</w:t>
      </w:r>
      <w:r w:rsidRPr="00ED5746">
        <w:rPr>
          <w:caps w:val="0"/>
        </w:rPr>
        <w:t>ederal Communications Commission</w:t>
      </w:r>
    </w:p>
    <w:p w:rsidR="00DF51F3" w:rsidRPr="00ED5746" w:rsidRDefault="00DF51F3" w:rsidP="00DF51F3">
      <w:pPr>
        <w:pStyle w:val="StyleBoldCentered"/>
      </w:pPr>
      <w:r w:rsidRPr="00ED5746">
        <w:rPr>
          <w:caps w:val="0"/>
        </w:rPr>
        <w:t>Washington, DC 20554</w:t>
      </w:r>
    </w:p>
    <w:p w:rsidR="00DF51F3" w:rsidRPr="00ED5746" w:rsidRDefault="00DF51F3" w:rsidP="00DF51F3"/>
    <w:tbl>
      <w:tblPr>
        <w:tblW w:w="0" w:type="auto"/>
        <w:tblLayout w:type="fixed"/>
        <w:tblLook w:val="0000" w:firstRow="0" w:lastRow="0" w:firstColumn="0" w:lastColumn="0" w:noHBand="0" w:noVBand="0"/>
      </w:tblPr>
      <w:tblGrid>
        <w:gridCol w:w="4698"/>
        <w:gridCol w:w="630"/>
        <w:gridCol w:w="4248"/>
      </w:tblGrid>
      <w:tr w:rsidR="00DF51F3" w:rsidRPr="00D84548" w:rsidTr="006C16A5">
        <w:tc>
          <w:tcPr>
            <w:tcW w:w="4698" w:type="dxa"/>
          </w:tcPr>
          <w:p w:rsidR="00DF51F3" w:rsidRPr="00D84548" w:rsidRDefault="00DF51F3" w:rsidP="006C16A5">
            <w:pPr>
              <w:tabs>
                <w:tab w:val="center" w:pos="4680"/>
              </w:tabs>
              <w:suppressAutoHyphens/>
              <w:rPr>
                <w:spacing w:val="-2"/>
              </w:rPr>
            </w:pPr>
            <w:r w:rsidRPr="00ED5746">
              <w:rPr>
                <w:spacing w:val="-2"/>
              </w:rPr>
              <w:t>In the Matter of</w:t>
            </w:r>
          </w:p>
          <w:p w:rsidR="00DF51F3" w:rsidRPr="00D23E19" w:rsidRDefault="00DF51F3" w:rsidP="006C16A5">
            <w:pPr>
              <w:tabs>
                <w:tab w:val="left" w:pos="360"/>
                <w:tab w:val="center" w:pos="4680"/>
                <w:tab w:val="right" w:leader="dot" w:pos="9360"/>
              </w:tabs>
              <w:suppressAutoHyphens/>
              <w:ind w:left="360" w:right="720" w:hanging="360"/>
              <w:rPr>
                <w:spacing w:val="-2"/>
              </w:rPr>
            </w:pPr>
          </w:p>
          <w:p w:rsidR="00DF51F3" w:rsidRPr="00D84548" w:rsidRDefault="00DF51F3" w:rsidP="006C16A5">
            <w:pPr>
              <w:autoSpaceDE w:val="0"/>
              <w:autoSpaceDN w:val="0"/>
              <w:adjustRightInd w:val="0"/>
            </w:pPr>
            <w:r>
              <w:rPr>
                <w:szCs w:val="22"/>
              </w:rPr>
              <w:t>inContact, Inc.</w:t>
            </w:r>
          </w:p>
        </w:tc>
        <w:tc>
          <w:tcPr>
            <w:tcW w:w="630" w:type="dxa"/>
          </w:tcPr>
          <w:p w:rsidR="00DF51F3" w:rsidRPr="00D84548" w:rsidRDefault="00DF51F3" w:rsidP="006C16A5">
            <w:pPr>
              <w:tabs>
                <w:tab w:val="center" w:pos="4680"/>
              </w:tabs>
              <w:suppressAutoHyphens/>
              <w:rPr>
                <w:b/>
                <w:spacing w:val="-2"/>
              </w:rPr>
            </w:pPr>
            <w:r w:rsidRPr="00D84548">
              <w:rPr>
                <w:b/>
                <w:spacing w:val="-2"/>
              </w:rPr>
              <w:t>)</w:t>
            </w:r>
          </w:p>
          <w:p w:rsidR="00DF51F3" w:rsidRPr="00D23E19" w:rsidRDefault="00DF51F3" w:rsidP="006C16A5">
            <w:pPr>
              <w:tabs>
                <w:tab w:val="center" w:pos="4680"/>
              </w:tabs>
              <w:suppressAutoHyphens/>
              <w:rPr>
                <w:b/>
                <w:spacing w:val="-2"/>
              </w:rPr>
            </w:pPr>
            <w:r w:rsidRPr="00D84548">
              <w:rPr>
                <w:b/>
                <w:spacing w:val="-2"/>
              </w:rPr>
              <w:t>)</w:t>
            </w:r>
          </w:p>
          <w:p w:rsidR="00DF51F3" w:rsidRPr="00D23E19" w:rsidRDefault="00DF51F3" w:rsidP="006C16A5">
            <w:pPr>
              <w:tabs>
                <w:tab w:val="center" w:pos="4680"/>
              </w:tabs>
              <w:suppressAutoHyphens/>
              <w:rPr>
                <w:b/>
                <w:spacing w:val="-2"/>
              </w:rPr>
            </w:pPr>
            <w:r w:rsidRPr="00D84548">
              <w:rPr>
                <w:b/>
                <w:spacing w:val="-2"/>
              </w:rPr>
              <w:t>)</w:t>
            </w:r>
          </w:p>
          <w:p w:rsidR="00DF51F3" w:rsidRPr="00D23E19" w:rsidRDefault="00DF51F3" w:rsidP="006C16A5">
            <w:pPr>
              <w:tabs>
                <w:tab w:val="center" w:pos="4680"/>
              </w:tabs>
              <w:suppressAutoHyphens/>
              <w:rPr>
                <w:b/>
                <w:spacing w:val="-2"/>
              </w:rPr>
            </w:pPr>
            <w:r w:rsidRPr="00D84548">
              <w:rPr>
                <w:b/>
                <w:spacing w:val="-2"/>
              </w:rPr>
              <w:t>)</w:t>
            </w:r>
          </w:p>
          <w:p w:rsidR="00DF51F3" w:rsidRPr="00D23E19" w:rsidRDefault="00DF51F3" w:rsidP="006C16A5">
            <w:pPr>
              <w:tabs>
                <w:tab w:val="center" w:pos="4680"/>
              </w:tabs>
              <w:suppressAutoHyphens/>
              <w:rPr>
                <w:b/>
                <w:spacing w:val="-2"/>
              </w:rPr>
            </w:pPr>
            <w:r w:rsidRPr="00D84548">
              <w:rPr>
                <w:b/>
                <w:spacing w:val="-2"/>
              </w:rPr>
              <w:t>)</w:t>
            </w:r>
          </w:p>
          <w:p w:rsidR="00DF51F3" w:rsidRPr="00D23E19" w:rsidRDefault="00DF51F3" w:rsidP="006C16A5">
            <w:pPr>
              <w:tabs>
                <w:tab w:val="center" w:pos="4680"/>
              </w:tabs>
              <w:suppressAutoHyphens/>
              <w:rPr>
                <w:b/>
                <w:spacing w:val="-2"/>
              </w:rPr>
            </w:pPr>
            <w:r w:rsidRPr="00D84548">
              <w:rPr>
                <w:b/>
                <w:spacing w:val="-2"/>
              </w:rPr>
              <w:t>)</w:t>
            </w:r>
          </w:p>
          <w:p w:rsidR="00DF51F3" w:rsidRPr="00D23E19" w:rsidRDefault="00DF51F3" w:rsidP="006C16A5">
            <w:pPr>
              <w:tabs>
                <w:tab w:val="center" w:pos="4680"/>
              </w:tabs>
              <w:suppressAutoHyphens/>
              <w:rPr>
                <w:b/>
                <w:spacing w:val="-2"/>
              </w:rPr>
            </w:pPr>
            <w:r w:rsidRPr="00D84548">
              <w:rPr>
                <w:b/>
                <w:spacing w:val="-2"/>
              </w:rPr>
              <w:t>)</w:t>
            </w:r>
          </w:p>
          <w:p w:rsidR="00DF51F3" w:rsidRPr="00D23E19" w:rsidRDefault="00DF51F3" w:rsidP="006C16A5">
            <w:pPr>
              <w:tabs>
                <w:tab w:val="center" w:pos="4680"/>
              </w:tabs>
              <w:suppressAutoHyphens/>
              <w:rPr>
                <w:b/>
                <w:spacing w:val="-2"/>
              </w:rPr>
            </w:pPr>
          </w:p>
        </w:tc>
        <w:tc>
          <w:tcPr>
            <w:tcW w:w="4248" w:type="dxa"/>
          </w:tcPr>
          <w:p w:rsidR="00DF51F3" w:rsidRDefault="00DF51F3" w:rsidP="006C16A5">
            <w:pPr>
              <w:tabs>
                <w:tab w:val="center" w:pos="4680"/>
              </w:tabs>
              <w:suppressAutoHyphens/>
              <w:ind w:left="432"/>
              <w:rPr>
                <w:spacing w:val="-2"/>
                <w:szCs w:val="22"/>
              </w:rPr>
            </w:pPr>
          </w:p>
          <w:p w:rsidR="00DF51F3" w:rsidRDefault="00DF51F3" w:rsidP="006C16A5">
            <w:pPr>
              <w:tabs>
                <w:tab w:val="center" w:pos="4680"/>
              </w:tabs>
              <w:suppressAutoHyphens/>
              <w:ind w:left="432"/>
              <w:rPr>
                <w:spacing w:val="-2"/>
                <w:szCs w:val="22"/>
              </w:rPr>
            </w:pPr>
          </w:p>
          <w:p w:rsidR="00DF51F3" w:rsidRPr="00D84548" w:rsidRDefault="00DF51F3" w:rsidP="006C16A5">
            <w:pPr>
              <w:tabs>
                <w:tab w:val="center" w:pos="4680"/>
              </w:tabs>
              <w:suppressAutoHyphens/>
              <w:ind w:left="432"/>
              <w:rPr>
                <w:spacing w:val="-2"/>
                <w:szCs w:val="22"/>
              </w:rPr>
            </w:pPr>
            <w:r w:rsidRPr="00D84548">
              <w:rPr>
                <w:spacing w:val="-2"/>
                <w:szCs w:val="22"/>
              </w:rPr>
              <w:t xml:space="preserve">File No.:  </w:t>
            </w:r>
            <w:r>
              <w:rPr>
                <w:spacing w:val="-2"/>
                <w:szCs w:val="22"/>
              </w:rPr>
              <w:t>EB-IHD-15-00020237</w:t>
            </w:r>
          </w:p>
          <w:p w:rsidR="00DF51F3" w:rsidRPr="00D84548" w:rsidRDefault="00DF51F3" w:rsidP="006C16A5">
            <w:pPr>
              <w:ind w:left="432"/>
              <w:rPr>
                <w:spacing w:val="-2"/>
                <w:szCs w:val="22"/>
              </w:rPr>
            </w:pPr>
            <w:r w:rsidRPr="00D84548">
              <w:rPr>
                <w:spacing w:val="-2"/>
                <w:szCs w:val="22"/>
              </w:rPr>
              <w:t xml:space="preserve">Acct. No.:  </w:t>
            </w:r>
            <w:r>
              <w:rPr>
                <w:spacing w:val="-2"/>
                <w:szCs w:val="22"/>
              </w:rPr>
              <w:t>201632080005</w:t>
            </w:r>
          </w:p>
          <w:p w:rsidR="00DF51F3" w:rsidRPr="00D84548" w:rsidRDefault="00DF51F3" w:rsidP="006C16A5">
            <w:pPr>
              <w:tabs>
                <w:tab w:val="center" w:pos="4680"/>
              </w:tabs>
              <w:suppressAutoHyphens/>
              <w:ind w:left="432"/>
              <w:rPr>
                <w:snapToGrid/>
                <w:spacing w:val="-2"/>
              </w:rPr>
            </w:pPr>
            <w:r w:rsidRPr="00D84548">
              <w:rPr>
                <w:szCs w:val="22"/>
              </w:rPr>
              <w:t xml:space="preserve">FRN:  </w:t>
            </w:r>
            <w:r>
              <w:rPr>
                <w:spacing w:val="-2"/>
                <w:szCs w:val="22"/>
              </w:rPr>
              <w:t>0004977997</w:t>
            </w:r>
          </w:p>
        </w:tc>
      </w:tr>
    </w:tbl>
    <w:p w:rsidR="00DF51F3" w:rsidRPr="00D84548" w:rsidRDefault="00DF51F3" w:rsidP="00DF51F3">
      <w:pPr>
        <w:jc w:val="center"/>
        <w:outlineLvl w:val="0"/>
        <w:rPr>
          <w:b/>
          <w:szCs w:val="22"/>
        </w:rPr>
      </w:pPr>
      <w:r w:rsidRPr="00D84548">
        <w:rPr>
          <w:b/>
          <w:szCs w:val="22"/>
        </w:rPr>
        <w:t>ORDER</w:t>
      </w:r>
    </w:p>
    <w:p w:rsidR="00DF51F3" w:rsidRPr="00D84548" w:rsidRDefault="00DF51F3" w:rsidP="00DF51F3">
      <w:pPr>
        <w:tabs>
          <w:tab w:val="left" w:pos="-720"/>
        </w:tabs>
        <w:suppressAutoHyphens/>
        <w:spacing w:line="227" w:lineRule="auto"/>
        <w:rPr>
          <w:spacing w:val="-2"/>
        </w:rPr>
      </w:pPr>
    </w:p>
    <w:p w:rsidR="00DF51F3" w:rsidRPr="00D84548" w:rsidRDefault="00DF51F3" w:rsidP="00DF51F3">
      <w:pPr>
        <w:tabs>
          <w:tab w:val="left" w:pos="720"/>
          <w:tab w:val="right" w:pos="9360"/>
        </w:tabs>
        <w:suppressAutoHyphens/>
        <w:spacing w:line="227" w:lineRule="auto"/>
        <w:rPr>
          <w:spacing w:val="-2"/>
        </w:rPr>
      </w:pPr>
      <w:r w:rsidRPr="00D84548">
        <w:rPr>
          <w:b/>
          <w:spacing w:val="-2"/>
        </w:rPr>
        <w:t xml:space="preserve">Adopted:  </w:t>
      </w:r>
      <w:r>
        <w:rPr>
          <w:b/>
          <w:spacing w:val="-2"/>
        </w:rPr>
        <w:t>May 9</w:t>
      </w:r>
      <w:r w:rsidRPr="00D84548">
        <w:rPr>
          <w:b/>
          <w:spacing w:val="-2"/>
        </w:rPr>
        <w:t>, 20</w:t>
      </w:r>
      <w:r>
        <w:rPr>
          <w:b/>
          <w:spacing w:val="-2"/>
        </w:rPr>
        <w:t>16</w:t>
      </w:r>
      <w:r w:rsidRPr="00D84548">
        <w:rPr>
          <w:b/>
          <w:spacing w:val="-2"/>
        </w:rPr>
        <w:tab/>
        <w:t xml:space="preserve">Released:  </w:t>
      </w:r>
      <w:r>
        <w:rPr>
          <w:b/>
          <w:spacing w:val="-2"/>
        </w:rPr>
        <w:t>May 9</w:t>
      </w:r>
      <w:r w:rsidRPr="00D84548">
        <w:rPr>
          <w:b/>
          <w:spacing w:val="-2"/>
        </w:rPr>
        <w:t>, 20</w:t>
      </w:r>
      <w:r>
        <w:rPr>
          <w:b/>
          <w:spacing w:val="-2"/>
        </w:rPr>
        <w:t>16</w:t>
      </w:r>
    </w:p>
    <w:p w:rsidR="00DF51F3" w:rsidRPr="00D84548" w:rsidRDefault="00DF51F3" w:rsidP="00DF51F3"/>
    <w:p w:rsidR="00DF51F3" w:rsidRPr="00D84548" w:rsidRDefault="00DF51F3" w:rsidP="00DF51F3">
      <w:pPr>
        <w:rPr>
          <w:spacing w:val="-2"/>
        </w:rPr>
      </w:pPr>
      <w:r w:rsidRPr="00D84548">
        <w:rPr>
          <w:spacing w:val="-2"/>
          <w:szCs w:val="22"/>
        </w:rPr>
        <w:t>By the Chief, Enforcement Bureau:</w:t>
      </w:r>
    </w:p>
    <w:p w:rsidR="00DF51F3" w:rsidRPr="00D84548" w:rsidRDefault="00DF51F3" w:rsidP="00DF51F3"/>
    <w:p w:rsidR="00DF51F3" w:rsidRPr="009462E6" w:rsidRDefault="00DF51F3" w:rsidP="00DF51F3">
      <w:pPr>
        <w:pStyle w:val="ParaNum"/>
        <w:numPr>
          <w:ilvl w:val="0"/>
          <w:numId w:val="22"/>
        </w:numPr>
        <w:tabs>
          <w:tab w:val="clear" w:pos="1080"/>
        </w:tabs>
        <w:rPr>
          <w:color w:val="000000"/>
          <w:szCs w:val="22"/>
        </w:rPr>
      </w:pPr>
      <w:r w:rsidRPr="00D84548">
        <w:rPr>
          <w:szCs w:val="22"/>
        </w:rPr>
        <w:t xml:space="preserve">The Enforcement Bureau (Bureau) of the Federal Communications Commission has entered into a Consent Decree to resolve its investigation into whether </w:t>
      </w:r>
      <w:r>
        <w:rPr>
          <w:szCs w:val="22"/>
        </w:rPr>
        <w:t xml:space="preserve">inContact, Inc. </w:t>
      </w:r>
      <w:r w:rsidRPr="00D84548">
        <w:rPr>
          <w:szCs w:val="22"/>
        </w:rPr>
        <w:t>(</w:t>
      </w:r>
      <w:r>
        <w:rPr>
          <w:szCs w:val="22"/>
        </w:rPr>
        <w:t>inContact), a long distance carrier and provider of call center-related services, failed to ensure that the providers it used to deliver its calls to a consumer in a rural area were doing so reliably</w:t>
      </w:r>
      <w:r>
        <w:t>.  Rural call completion problems have significant and immediate public interest ramifications.  They cause rural businesses to lose revenue, impede medical professionals from reaching patients in rural areas, cut families off from their relatives, and create the potential for dangerous delays in public safety communications.  To settle this matter, inContact admits that it failed to ensure that its intermediate providers were performing adequately in delivering service to the rural consumer and that it failed to cooperate with the Commission’s investigation of this problem</w:t>
      </w:r>
      <w:r>
        <w:rPr>
          <w:szCs w:val="22"/>
        </w:rPr>
        <w:t xml:space="preserve">.  inContact will implement a compliance plan to prevent recurrence of these violations and </w:t>
      </w:r>
      <w:r w:rsidRPr="00D84548">
        <w:rPr>
          <w:szCs w:val="22"/>
        </w:rPr>
        <w:t>will pay a $</w:t>
      </w:r>
      <w:r>
        <w:rPr>
          <w:szCs w:val="22"/>
        </w:rPr>
        <w:t xml:space="preserve">100,000 </w:t>
      </w:r>
      <w:r w:rsidRPr="00D84548">
        <w:rPr>
          <w:szCs w:val="22"/>
        </w:rPr>
        <w:t>civil penalty</w:t>
      </w:r>
      <w:r>
        <w:rPr>
          <w:szCs w:val="22"/>
        </w:rPr>
        <w:t xml:space="preserve">.  </w:t>
      </w:r>
    </w:p>
    <w:p w:rsidR="00DF51F3" w:rsidRPr="00E61555" w:rsidRDefault="00DF51F3" w:rsidP="00DF51F3">
      <w:pPr>
        <w:pStyle w:val="ParaNum"/>
        <w:numPr>
          <w:ilvl w:val="0"/>
          <w:numId w:val="22"/>
        </w:numPr>
        <w:tabs>
          <w:tab w:val="clear" w:pos="1080"/>
        </w:tabs>
        <w:rPr>
          <w:szCs w:val="22"/>
        </w:rPr>
      </w:pPr>
      <w:r w:rsidRPr="00E61555">
        <w:rPr>
          <w:szCs w:val="22"/>
        </w:rPr>
        <w:t xml:space="preserve">After reviewing the terms of the Consent Decree and evaluating the facts before us, we find that the public interest would be served by adopting the Consent Decree and terminating the referenced investigation regarding inContact’s compliance with Sections 201(b) and 202(a) </w:t>
      </w:r>
      <w:r w:rsidRPr="009462E6">
        <w:rPr>
          <w:rFonts w:eastAsiaTheme="minorHAnsi"/>
          <w:snapToGrid/>
          <w:szCs w:val="22"/>
        </w:rPr>
        <w:t>of the Communications Act of 1934, as amended,</w:t>
      </w:r>
      <w:r w:rsidRPr="002112F6">
        <w:rPr>
          <w:rFonts w:eastAsiaTheme="minorHAnsi"/>
          <w:snapToGrid/>
          <w:szCs w:val="22"/>
          <w:vertAlign w:val="superscript"/>
        </w:rPr>
        <w:footnoteReference w:id="2"/>
      </w:r>
      <w:r w:rsidRPr="009462E6">
        <w:rPr>
          <w:rFonts w:eastAsiaTheme="minorHAnsi"/>
          <w:snapToGrid/>
          <w:szCs w:val="22"/>
        </w:rPr>
        <w:t xml:space="preserve"> </w:t>
      </w:r>
      <w:r w:rsidRPr="00E61555">
        <w:rPr>
          <w:rFonts w:eastAsiaTheme="minorHAnsi"/>
          <w:snapToGrid/>
          <w:szCs w:val="22"/>
        </w:rPr>
        <w:t xml:space="preserve">in connection with </w:t>
      </w:r>
      <w:r w:rsidRPr="009462E6">
        <w:rPr>
          <w:rFonts w:eastAsiaTheme="minorHAnsi"/>
          <w:snapToGrid/>
          <w:szCs w:val="22"/>
        </w:rPr>
        <w:t xml:space="preserve">its call completion to a consumer in a rural area, and </w:t>
      </w:r>
      <w:r w:rsidRPr="00E61555">
        <w:rPr>
          <w:rFonts w:eastAsiaTheme="minorHAnsi"/>
          <w:snapToGrid/>
          <w:szCs w:val="22"/>
        </w:rPr>
        <w:t xml:space="preserve">its compliance with </w:t>
      </w:r>
      <w:r w:rsidRPr="009462E6">
        <w:rPr>
          <w:rFonts w:eastAsiaTheme="minorHAnsi"/>
          <w:snapToGrid/>
          <w:szCs w:val="22"/>
        </w:rPr>
        <w:t xml:space="preserve">Sections 4(i), 4(j), </w:t>
      </w:r>
      <w:r w:rsidRPr="00E61555">
        <w:rPr>
          <w:szCs w:val="22"/>
        </w:rPr>
        <w:t>218, and 403 of the Act</w:t>
      </w:r>
      <w:r w:rsidRPr="002112F6">
        <w:rPr>
          <w:rStyle w:val="FootnoteReference"/>
          <w:sz w:val="22"/>
          <w:szCs w:val="22"/>
        </w:rPr>
        <w:footnoteReference w:id="3"/>
      </w:r>
      <w:r w:rsidRPr="00E61555">
        <w:rPr>
          <w:szCs w:val="22"/>
        </w:rPr>
        <w:t xml:space="preserve"> in connection with its failure to cooperate with the Commission’s investigation of the problem.</w:t>
      </w:r>
    </w:p>
    <w:p w:rsidR="00DF51F3" w:rsidRPr="00D84548" w:rsidRDefault="00DF51F3" w:rsidP="00DF51F3">
      <w:pPr>
        <w:pStyle w:val="ParaNum"/>
        <w:numPr>
          <w:ilvl w:val="0"/>
          <w:numId w:val="22"/>
        </w:numPr>
        <w:tabs>
          <w:tab w:val="clear" w:pos="1080"/>
          <w:tab w:val="left" w:pos="1440"/>
        </w:tabs>
        <w:rPr>
          <w:szCs w:val="22"/>
        </w:rPr>
      </w:pPr>
      <w:r>
        <w:rPr>
          <w:szCs w:val="22"/>
        </w:rPr>
        <w:t>In the absence of material new evidence relating to this matter, we do not set for hearing the question of inContact’s basic qualifications to hold or obtain any Commission license or authorization.</w:t>
      </w:r>
      <w:r>
        <w:rPr>
          <w:rStyle w:val="FootnoteReference"/>
          <w:szCs w:val="22"/>
        </w:rPr>
        <w:footnoteReference w:id="4"/>
      </w:r>
    </w:p>
    <w:p w:rsidR="00DF51F3" w:rsidRPr="00D84548" w:rsidRDefault="00DF51F3" w:rsidP="00DF51F3">
      <w:pPr>
        <w:pStyle w:val="ParaNum"/>
        <w:widowControl/>
        <w:numPr>
          <w:ilvl w:val="0"/>
          <w:numId w:val="22"/>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 4(i)</w:t>
      </w:r>
      <w:r>
        <w:rPr>
          <w:szCs w:val="22"/>
        </w:rPr>
        <w:t xml:space="preserve"> </w:t>
      </w:r>
      <w:r w:rsidRPr="00D84548">
        <w:rPr>
          <w:szCs w:val="22"/>
        </w:rPr>
        <w:t>of the Act</w:t>
      </w:r>
      <w:r w:rsidRPr="00D84548">
        <w:rPr>
          <w:rStyle w:val="FootnoteReference"/>
          <w:szCs w:val="22"/>
        </w:rPr>
        <w:footnoteReference w:id="5"/>
      </w:r>
      <w:r w:rsidRPr="00D84548">
        <w:rPr>
          <w:szCs w:val="22"/>
        </w:rPr>
        <w:t xml:space="preserve"> and the authority delegated by Sections 0.111 and 0.311 of the Rules,</w:t>
      </w:r>
      <w:r w:rsidRPr="00D84548">
        <w:rPr>
          <w:rStyle w:val="FootnoteReference"/>
          <w:szCs w:val="22"/>
        </w:rPr>
        <w:footnoteReference w:id="6"/>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DF51F3" w:rsidRPr="00D84548" w:rsidRDefault="00DF51F3" w:rsidP="00DF51F3">
      <w:pPr>
        <w:pStyle w:val="ParaNum"/>
        <w:numPr>
          <w:ilvl w:val="0"/>
          <w:numId w:val="22"/>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DF51F3" w:rsidRPr="00D84548" w:rsidRDefault="00DF51F3" w:rsidP="00DF51F3">
      <w:pPr>
        <w:pStyle w:val="ParaNum"/>
        <w:numPr>
          <w:ilvl w:val="0"/>
          <w:numId w:val="22"/>
        </w:numPr>
        <w:tabs>
          <w:tab w:val="clear" w:pos="1080"/>
          <w:tab w:val="left" w:pos="1440"/>
        </w:tabs>
        <w:rPr>
          <w:szCs w:val="22"/>
        </w:rPr>
      </w:pPr>
      <w:r w:rsidRPr="00D84548">
        <w:rPr>
          <w:b/>
        </w:rPr>
        <w:t>IT IS FURTHER ORDERED</w:t>
      </w:r>
      <w:r w:rsidRPr="00D84548">
        <w:t xml:space="preserve"> that a copy of this Order and Consent Decree </w:t>
      </w:r>
      <w:r w:rsidRPr="00981F23">
        <w:rPr>
          <w:color w:val="000000" w:themeColor="text1"/>
          <w:szCs w:val="22"/>
        </w:rPr>
        <w:t xml:space="preserve">shall be sent by first class mail and certified mail, return receipt requested, to </w:t>
      </w:r>
      <w:r w:rsidRPr="006D1201">
        <w:rPr>
          <w:color w:val="000000" w:themeColor="text1"/>
          <w:szCs w:val="22"/>
        </w:rPr>
        <w:t>Daniel G. Lloyd, Esq., General Counsel,</w:t>
      </w:r>
      <w:r w:rsidRPr="00981F23">
        <w:rPr>
          <w:color w:val="000000" w:themeColor="text1"/>
          <w:szCs w:val="22"/>
        </w:rPr>
        <w:t xml:space="preserve"> </w:t>
      </w:r>
      <w:r>
        <w:rPr>
          <w:color w:val="000000" w:themeColor="text1"/>
          <w:szCs w:val="22"/>
        </w:rPr>
        <w:t>inContact, Inc.,</w:t>
      </w:r>
      <w:r w:rsidRPr="003631B6">
        <w:t xml:space="preserve"> </w:t>
      </w:r>
      <w:r>
        <w:t xml:space="preserve">75 West Towne Ridge Parkway, Tower 1, Salt Lake City, UT 84070, </w:t>
      </w:r>
      <w:r w:rsidRPr="00981F23">
        <w:rPr>
          <w:color w:val="000000" w:themeColor="text1"/>
          <w:szCs w:val="22"/>
        </w:rPr>
        <w:t>and to</w:t>
      </w:r>
      <w:r>
        <w:rPr>
          <w:color w:val="000000" w:themeColor="text1"/>
          <w:szCs w:val="22"/>
        </w:rPr>
        <w:t xml:space="preserve"> Allison D. Rule, Esq., Marashlian &amp; Donahue, PLLC, The CommLaw Group, 1420 Spring Hill Road, Suite 401, McLean, VA</w:t>
      </w:r>
      <w:r w:rsidRPr="00981F23">
        <w:rPr>
          <w:color w:val="000000" w:themeColor="text1"/>
          <w:szCs w:val="22"/>
        </w:rPr>
        <w:t xml:space="preserve"> </w:t>
      </w:r>
      <w:r>
        <w:rPr>
          <w:color w:val="000000" w:themeColor="text1"/>
          <w:szCs w:val="22"/>
        </w:rPr>
        <w:t>22102.</w:t>
      </w:r>
    </w:p>
    <w:p w:rsidR="00DF51F3" w:rsidRDefault="00DF51F3" w:rsidP="00DF51F3">
      <w:pPr>
        <w:pStyle w:val="ParaNum"/>
        <w:numPr>
          <w:ilvl w:val="0"/>
          <w:numId w:val="0"/>
        </w:numPr>
        <w:tabs>
          <w:tab w:val="left" w:pos="1440"/>
        </w:tabs>
        <w:spacing w:after="240"/>
        <w:ind w:left="720"/>
        <w:rPr>
          <w:b/>
        </w:rPr>
      </w:pPr>
    </w:p>
    <w:p w:rsidR="00DF51F3" w:rsidRPr="00EF505E" w:rsidRDefault="00DF51F3" w:rsidP="00DF51F3">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DF51F3" w:rsidRPr="00EF505E" w:rsidRDefault="00DF51F3" w:rsidP="00DF51F3">
      <w:pPr>
        <w:rPr>
          <w:szCs w:val="22"/>
          <w:lang w:val="fr-FR"/>
        </w:rPr>
      </w:pPr>
    </w:p>
    <w:p w:rsidR="00DF51F3" w:rsidRPr="00EF505E" w:rsidRDefault="00DF51F3" w:rsidP="00DF51F3">
      <w:pPr>
        <w:rPr>
          <w:szCs w:val="22"/>
          <w:lang w:val="fr-FR"/>
        </w:rPr>
      </w:pPr>
    </w:p>
    <w:p w:rsidR="00DF51F3" w:rsidRPr="00EF505E" w:rsidRDefault="00DF51F3" w:rsidP="00DF51F3">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rsidR="00DF51F3" w:rsidRPr="00EF505E" w:rsidRDefault="00DF51F3" w:rsidP="00DF51F3">
      <w:pPr>
        <w:outlineLvl w:val="0"/>
        <w:rPr>
          <w:szCs w:val="22"/>
          <w:lang w:val="fr-FR"/>
        </w:rPr>
      </w:pPr>
    </w:p>
    <w:p w:rsidR="00DF51F3" w:rsidRDefault="00DF51F3" w:rsidP="00DF51F3">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rsidR="00DF51F3" w:rsidRDefault="00DF51F3" w:rsidP="00DF51F3">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rsidR="00DF51F3" w:rsidRDefault="00DF51F3" w:rsidP="00DF51F3">
      <w:pPr>
        <w:ind w:left="2880" w:firstLine="720"/>
        <w:outlineLvl w:val="0"/>
        <w:rPr>
          <w:szCs w:val="22"/>
        </w:rPr>
      </w:pPr>
      <w:r>
        <w:rPr>
          <w:szCs w:val="22"/>
        </w:rPr>
        <w:t>Enforcement Bureau</w:t>
      </w:r>
    </w:p>
    <w:p w:rsidR="00DF51F3" w:rsidRPr="008C4282" w:rsidRDefault="00DF51F3" w:rsidP="00DF51F3">
      <w:pPr>
        <w:rPr>
          <w:szCs w:val="22"/>
        </w:rPr>
      </w:pPr>
    </w:p>
    <w:p w:rsidR="00DF51F3" w:rsidRDefault="00DF51F3" w:rsidP="005B4F0E">
      <w:pPr>
        <w:jc w:val="center"/>
        <w:rPr>
          <w:b/>
        </w:rPr>
      </w:pPr>
    </w:p>
    <w:p w:rsidR="00DF51F3" w:rsidRDefault="00DF51F3" w:rsidP="005B4F0E">
      <w:pPr>
        <w:jc w:val="center"/>
        <w:rPr>
          <w:b/>
        </w:rPr>
        <w:sectPr w:rsidR="00DF51F3"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DF51F3" w:rsidRDefault="00DF51F3" w:rsidP="005B4F0E">
      <w:pPr>
        <w:jc w:val="center"/>
        <w:rPr>
          <w:b/>
        </w:rPr>
      </w:pPr>
    </w:p>
    <w:p w:rsidR="005B4F0E" w:rsidRPr="002E1D57" w:rsidRDefault="005B4F0E" w:rsidP="005B4F0E">
      <w:pPr>
        <w:jc w:val="center"/>
        <w:rPr>
          <w:b/>
        </w:rPr>
      </w:pPr>
      <w:r w:rsidRPr="002E1D57">
        <w:rPr>
          <w:b/>
        </w:rPr>
        <w:t>Before the</w:t>
      </w:r>
    </w:p>
    <w:p w:rsidR="005B4F0E" w:rsidRPr="002E1D57" w:rsidRDefault="005B4F0E" w:rsidP="005B4F0E">
      <w:pPr>
        <w:pStyle w:val="StyleBoldCentered"/>
        <w:rPr>
          <w:rFonts w:ascii="Times New Roman" w:hAnsi="Times New Roman"/>
        </w:rPr>
      </w:pPr>
      <w:r w:rsidRPr="002E1D57">
        <w:rPr>
          <w:rFonts w:ascii="Times New Roman" w:hAnsi="Times New Roman"/>
        </w:rPr>
        <w:t>F</w:t>
      </w:r>
      <w:r w:rsidRPr="002E1D57">
        <w:rPr>
          <w:rFonts w:ascii="Times New Roman" w:hAnsi="Times New Roman"/>
          <w:caps w:val="0"/>
        </w:rPr>
        <w:t>ederal Communications Commission</w:t>
      </w:r>
    </w:p>
    <w:p w:rsidR="005B4F0E" w:rsidRPr="002E1D57" w:rsidRDefault="005B4F0E" w:rsidP="005B4F0E">
      <w:pPr>
        <w:pStyle w:val="StyleBoldCentered"/>
        <w:rPr>
          <w:rFonts w:ascii="Times New Roman" w:hAnsi="Times New Roman"/>
        </w:rPr>
      </w:pPr>
      <w:r w:rsidRPr="002E1D57">
        <w:rPr>
          <w:rFonts w:ascii="Times New Roman" w:hAnsi="Times New Roman"/>
          <w:caps w:val="0"/>
        </w:rPr>
        <w:t>Washington, DC 20554</w:t>
      </w:r>
    </w:p>
    <w:p w:rsidR="005B4F0E" w:rsidRPr="002E1D57" w:rsidRDefault="005B4F0E" w:rsidP="005B4F0E"/>
    <w:tbl>
      <w:tblPr>
        <w:tblW w:w="9576" w:type="dxa"/>
        <w:tblLayout w:type="fixed"/>
        <w:tblLook w:val="0000" w:firstRow="0" w:lastRow="0" w:firstColumn="0" w:lastColumn="0" w:noHBand="0" w:noVBand="0"/>
      </w:tblPr>
      <w:tblGrid>
        <w:gridCol w:w="4698"/>
        <w:gridCol w:w="630"/>
        <w:gridCol w:w="4248"/>
      </w:tblGrid>
      <w:tr w:rsidR="005B4F0E" w:rsidRPr="00671A15" w:rsidTr="00051558">
        <w:trPr>
          <w:trHeight w:val="2043"/>
        </w:trPr>
        <w:tc>
          <w:tcPr>
            <w:tcW w:w="4698" w:type="dxa"/>
          </w:tcPr>
          <w:p w:rsidR="005B4F0E" w:rsidRPr="002E1D57" w:rsidRDefault="005B4F0E" w:rsidP="00BF7A5B">
            <w:pPr>
              <w:tabs>
                <w:tab w:val="center" w:pos="4680"/>
              </w:tabs>
              <w:suppressAutoHyphens/>
              <w:rPr>
                <w:spacing w:val="-2"/>
              </w:rPr>
            </w:pPr>
            <w:r w:rsidRPr="002E1D57">
              <w:rPr>
                <w:spacing w:val="-2"/>
              </w:rPr>
              <w:t>In the Matter of</w:t>
            </w:r>
          </w:p>
          <w:p w:rsidR="005B4F0E" w:rsidRPr="002E1D57" w:rsidRDefault="005B4F0E" w:rsidP="00BF7A5B">
            <w:pPr>
              <w:tabs>
                <w:tab w:val="center" w:pos="4680"/>
              </w:tabs>
              <w:suppressAutoHyphens/>
              <w:rPr>
                <w:spacing w:val="-2"/>
              </w:rPr>
            </w:pPr>
          </w:p>
          <w:p w:rsidR="008A1C76" w:rsidRDefault="00D877BD" w:rsidP="00BF7A5B">
            <w:pPr>
              <w:tabs>
                <w:tab w:val="center" w:pos="4680"/>
              </w:tabs>
              <w:suppressAutoHyphens/>
            </w:pPr>
            <w:r>
              <w:t>inContact, Inc.</w:t>
            </w:r>
          </w:p>
          <w:p w:rsidR="00077F73" w:rsidRDefault="00077F73" w:rsidP="00BF7A5B">
            <w:pPr>
              <w:tabs>
                <w:tab w:val="center" w:pos="4680"/>
              </w:tabs>
              <w:suppressAutoHyphens/>
            </w:pPr>
          </w:p>
          <w:p w:rsidR="00D93B6A" w:rsidRDefault="00D93B6A" w:rsidP="00BF7A5B">
            <w:pPr>
              <w:tabs>
                <w:tab w:val="center" w:pos="4680"/>
              </w:tabs>
              <w:suppressAutoHyphens/>
              <w:rPr>
                <w:spacing w:val="-2"/>
              </w:rPr>
            </w:pPr>
          </w:p>
          <w:p w:rsidR="00077F73" w:rsidRPr="00D93B6A" w:rsidRDefault="00D93B6A" w:rsidP="00D93B6A">
            <w:pPr>
              <w:tabs>
                <w:tab w:val="left" w:pos="2901"/>
              </w:tabs>
            </w:pPr>
            <w:r>
              <w:tab/>
            </w:r>
          </w:p>
        </w:tc>
        <w:tc>
          <w:tcPr>
            <w:tcW w:w="630" w:type="dxa"/>
          </w:tcPr>
          <w:p w:rsidR="005B4F0E" w:rsidRPr="002E1D57" w:rsidRDefault="005B4F0E" w:rsidP="00BF7A5B">
            <w:pPr>
              <w:tabs>
                <w:tab w:val="center" w:pos="4680"/>
              </w:tabs>
              <w:suppressAutoHyphens/>
              <w:rPr>
                <w:b/>
                <w:spacing w:val="-2"/>
              </w:rPr>
            </w:pPr>
            <w:r w:rsidRPr="002E1D57">
              <w:rPr>
                <w:b/>
                <w:spacing w:val="-2"/>
              </w:rPr>
              <w:t>)</w:t>
            </w:r>
          </w:p>
          <w:p w:rsidR="005B4F0E" w:rsidRPr="002E1D57" w:rsidRDefault="005B4F0E" w:rsidP="00BF7A5B">
            <w:pPr>
              <w:tabs>
                <w:tab w:val="center" w:pos="4680"/>
              </w:tabs>
              <w:suppressAutoHyphens/>
              <w:rPr>
                <w:b/>
                <w:spacing w:val="-2"/>
              </w:rPr>
            </w:pPr>
            <w:r w:rsidRPr="002E1D57">
              <w:rPr>
                <w:b/>
                <w:spacing w:val="-2"/>
              </w:rPr>
              <w:t>)</w:t>
            </w:r>
          </w:p>
          <w:p w:rsidR="005B4F0E" w:rsidRPr="002E1D57" w:rsidRDefault="005B4F0E" w:rsidP="00BF7A5B">
            <w:pPr>
              <w:tabs>
                <w:tab w:val="center" w:pos="4680"/>
              </w:tabs>
              <w:suppressAutoHyphens/>
              <w:rPr>
                <w:b/>
                <w:spacing w:val="-2"/>
              </w:rPr>
            </w:pPr>
            <w:r w:rsidRPr="002E1D57">
              <w:rPr>
                <w:b/>
                <w:spacing w:val="-2"/>
              </w:rPr>
              <w:t>)</w:t>
            </w:r>
          </w:p>
          <w:p w:rsidR="005B4F0E" w:rsidRPr="002E1D57" w:rsidRDefault="005B4F0E" w:rsidP="00BF7A5B">
            <w:pPr>
              <w:tabs>
                <w:tab w:val="center" w:pos="4680"/>
              </w:tabs>
              <w:suppressAutoHyphens/>
              <w:rPr>
                <w:b/>
                <w:spacing w:val="-2"/>
              </w:rPr>
            </w:pPr>
            <w:r w:rsidRPr="002E1D57">
              <w:rPr>
                <w:b/>
                <w:spacing w:val="-2"/>
              </w:rPr>
              <w:t>)</w:t>
            </w:r>
          </w:p>
          <w:p w:rsidR="005B4F0E" w:rsidRPr="002E1D57" w:rsidRDefault="005B4F0E" w:rsidP="00486AAF">
            <w:pPr>
              <w:tabs>
                <w:tab w:val="center" w:pos="4680"/>
              </w:tabs>
              <w:suppressAutoHyphens/>
              <w:rPr>
                <w:b/>
                <w:spacing w:val="-2"/>
              </w:rPr>
            </w:pPr>
            <w:r w:rsidRPr="002E1D57">
              <w:rPr>
                <w:b/>
                <w:spacing w:val="-2"/>
              </w:rPr>
              <w:t>)</w:t>
            </w:r>
          </w:p>
          <w:p w:rsidR="00302835" w:rsidRPr="002E1D57" w:rsidRDefault="00302835" w:rsidP="00486AAF">
            <w:pPr>
              <w:tabs>
                <w:tab w:val="center" w:pos="4680"/>
              </w:tabs>
              <w:suppressAutoHyphens/>
              <w:rPr>
                <w:b/>
                <w:spacing w:val="-2"/>
              </w:rPr>
            </w:pPr>
            <w:r w:rsidRPr="002E1D57">
              <w:rPr>
                <w:b/>
                <w:spacing w:val="-2"/>
              </w:rPr>
              <w:t>)</w:t>
            </w:r>
          </w:p>
          <w:p w:rsidR="00076C13" w:rsidRPr="002E1D57" w:rsidRDefault="00076C13" w:rsidP="00486AAF">
            <w:pPr>
              <w:tabs>
                <w:tab w:val="center" w:pos="4680"/>
              </w:tabs>
              <w:suppressAutoHyphens/>
              <w:rPr>
                <w:b/>
                <w:spacing w:val="-2"/>
              </w:rPr>
            </w:pPr>
            <w:r w:rsidRPr="002E1D57">
              <w:rPr>
                <w:b/>
                <w:spacing w:val="-2"/>
              </w:rPr>
              <w:t>)</w:t>
            </w:r>
          </w:p>
          <w:p w:rsidR="00302835" w:rsidRPr="002E1D57" w:rsidRDefault="00302835" w:rsidP="00486AAF">
            <w:pPr>
              <w:tabs>
                <w:tab w:val="center" w:pos="4680"/>
              </w:tabs>
              <w:suppressAutoHyphens/>
              <w:rPr>
                <w:spacing w:val="-2"/>
              </w:rPr>
            </w:pPr>
          </w:p>
        </w:tc>
        <w:tc>
          <w:tcPr>
            <w:tcW w:w="4248" w:type="dxa"/>
          </w:tcPr>
          <w:p w:rsidR="00843A5F" w:rsidRPr="002E1D57" w:rsidRDefault="00843A5F" w:rsidP="00076C13">
            <w:pPr>
              <w:tabs>
                <w:tab w:val="center" w:pos="4680"/>
              </w:tabs>
              <w:suppressAutoHyphens/>
              <w:ind w:left="432"/>
              <w:rPr>
                <w:spacing w:val="-2"/>
              </w:rPr>
            </w:pPr>
          </w:p>
          <w:p w:rsidR="00843A5F" w:rsidRPr="00C71946" w:rsidRDefault="00843A5F" w:rsidP="00076C13">
            <w:pPr>
              <w:tabs>
                <w:tab w:val="center" w:pos="4680"/>
              </w:tabs>
              <w:suppressAutoHyphens/>
              <w:ind w:left="432"/>
              <w:rPr>
                <w:spacing w:val="-2"/>
              </w:rPr>
            </w:pPr>
          </w:p>
          <w:p w:rsidR="00D877BD" w:rsidRPr="00C71946" w:rsidRDefault="00D877BD" w:rsidP="00D877BD">
            <w:pPr>
              <w:tabs>
                <w:tab w:val="center" w:pos="4680"/>
              </w:tabs>
              <w:suppressAutoHyphens/>
              <w:ind w:left="432"/>
              <w:rPr>
                <w:spacing w:val="-2"/>
              </w:rPr>
            </w:pPr>
            <w:r w:rsidRPr="00C71946">
              <w:rPr>
                <w:spacing w:val="-2"/>
              </w:rPr>
              <w:t xml:space="preserve">File No.:  </w:t>
            </w:r>
            <w:r w:rsidR="00FC4CB8" w:rsidRPr="00C71946">
              <w:rPr>
                <w:spacing w:val="-2"/>
              </w:rPr>
              <w:t>EB-IHD-15-00020237</w:t>
            </w:r>
          </w:p>
          <w:p w:rsidR="00D877BD" w:rsidRPr="00C71946" w:rsidRDefault="00D877BD" w:rsidP="00D877BD">
            <w:pPr>
              <w:ind w:left="432"/>
              <w:rPr>
                <w:spacing w:val="-2"/>
              </w:rPr>
            </w:pPr>
            <w:r w:rsidRPr="00C71946">
              <w:rPr>
                <w:spacing w:val="-2"/>
              </w:rPr>
              <w:t>Acct. No</w:t>
            </w:r>
            <w:r w:rsidRPr="006C74B5">
              <w:rPr>
                <w:spacing w:val="-2"/>
                <w:szCs w:val="22"/>
              </w:rPr>
              <w:t xml:space="preserve">.:  </w:t>
            </w:r>
            <w:r w:rsidR="006C74B5" w:rsidRPr="006C74B5">
              <w:rPr>
                <w:color w:val="222222"/>
                <w:szCs w:val="22"/>
                <w:shd w:val="clear" w:color="auto" w:fill="FFFFFF"/>
              </w:rPr>
              <w:t>201632080005</w:t>
            </w:r>
          </w:p>
          <w:p w:rsidR="005B4F0E" w:rsidRPr="00671A15" w:rsidRDefault="00D877BD" w:rsidP="00D877BD">
            <w:pPr>
              <w:tabs>
                <w:tab w:val="center" w:pos="4680"/>
              </w:tabs>
              <w:suppressAutoHyphens/>
              <w:ind w:left="432"/>
              <w:rPr>
                <w:spacing w:val="-2"/>
              </w:rPr>
            </w:pPr>
            <w:r w:rsidRPr="00C71946">
              <w:t xml:space="preserve">FRN:  </w:t>
            </w:r>
            <w:r w:rsidR="002353F4" w:rsidRPr="00C71946">
              <w:t>0004977997</w:t>
            </w:r>
          </w:p>
        </w:tc>
      </w:tr>
    </w:tbl>
    <w:p w:rsidR="00064ADC" w:rsidRDefault="00BD08D2" w:rsidP="00FD0F9C">
      <w:pPr>
        <w:pStyle w:val="StyleBoldCentered"/>
        <w:rPr>
          <w:rFonts w:ascii="Times New Roman" w:hAnsi="Times New Roman"/>
        </w:rPr>
      </w:pPr>
      <w:r w:rsidRPr="00671A15">
        <w:rPr>
          <w:rFonts w:ascii="Times New Roman" w:hAnsi="Times New Roman"/>
        </w:rPr>
        <w:t>CONSENT DECREE</w:t>
      </w:r>
    </w:p>
    <w:p w:rsidR="00265011" w:rsidRDefault="00265011" w:rsidP="00FD0F9C">
      <w:pPr>
        <w:pStyle w:val="StyleBoldCentered"/>
        <w:rPr>
          <w:rFonts w:ascii="Times New Roman" w:hAnsi="Times New Roman"/>
        </w:rPr>
      </w:pPr>
    </w:p>
    <w:p w:rsidR="00A442A7" w:rsidRPr="00FC4CB8" w:rsidRDefault="000370C3" w:rsidP="00A442A7">
      <w:pPr>
        <w:pStyle w:val="ParaNum"/>
        <w:numPr>
          <w:ilvl w:val="0"/>
          <w:numId w:val="8"/>
        </w:numPr>
      </w:pPr>
      <w:r>
        <w:t xml:space="preserve">       </w:t>
      </w:r>
      <w:r w:rsidR="00BD08D2" w:rsidRPr="00FC4CB8">
        <w:t>The Enforcement Bureau of the Federal Communications Commission and</w:t>
      </w:r>
      <w:r w:rsidR="00D877BD" w:rsidRPr="00FC4CB8">
        <w:t xml:space="preserve"> inContact, Inc</w:t>
      </w:r>
      <w:r w:rsidR="00A92736">
        <w:t>.</w:t>
      </w:r>
      <w:r w:rsidR="00EE1CFE">
        <w:t>,</w:t>
      </w:r>
      <w:r w:rsidR="00BD08D2" w:rsidRPr="00FC4CB8">
        <w:t xml:space="preserve"> by their authorized representatives, hereby enter into this Consent Decree </w:t>
      </w:r>
      <w:r w:rsidR="00DF33A1">
        <w:t xml:space="preserve">for the purpose of </w:t>
      </w:r>
      <w:r w:rsidR="00BD08D2" w:rsidRPr="00FC4CB8">
        <w:t>terminat</w:t>
      </w:r>
      <w:r w:rsidR="00DF33A1">
        <w:t>ing</w:t>
      </w:r>
      <w:r w:rsidR="00BD08D2" w:rsidRPr="00FC4CB8">
        <w:t xml:space="preserve"> the </w:t>
      </w:r>
      <w:r w:rsidR="00B709FD" w:rsidRPr="00FC4CB8">
        <w:t xml:space="preserve">Bureau’s </w:t>
      </w:r>
      <w:r w:rsidR="00D65117" w:rsidRPr="00FC4CB8">
        <w:t>investigation into</w:t>
      </w:r>
      <w:r w:rsidR="00DF33A1">
        <w:t xml:space="preserve"> whether</w:t>
      </w:r>
      <w:r w:rsidR="00BD08D2" w:rsidRPr="00FC4CB8">
        <w:t xml:space="preserve"> </w:t>
      </w:r>
      <w:r w:rsidR="00D877BD" w:rsidRPr="00FC4CB8">
        <w:t>inContact</w:t>
      </w:r>
      <w:r w:rsidR="00DF33A1">
        <w:t xml:space="preserve"> violated </w:t>
      </w:r>
      <w:r w:rsidR="00D95583" w:rsidRPr="00FC4CB8">
        <w:t xml:space="preserve">Sections 201(b) and 202(a) of the Communications Act of 1934, </w:t>
      </w:r>
      <w:r w:rsidR="003058A7" w:rsidRPr="00FC4CB8">
        <w:t>a</w:t>
      </w:r>
      <w:r w:rsidR="00D95583" w:rsidRPr="00FC4CB8">
        <w:t xml:space="preserve">s </w:t>
      </w:r>
      <w:r w:rsidR="003058A7" w:rsidRPr="00FC4CB8">
        <w:t>a</w:t>
      </w:r>
      <w:r w:rsidR="00D95583" w:rsidRPr="00FC4CB8">
        <w:t>mended</w:t>
      </w:r>
      <w:r w:rsidR="00E45917" w:rsidRPr="00FC4CB8">
        <w:t>,</w:t>
      </w:r>
      <w:r w:rsidR="00D95583" w:rsidRPr="00FC4CB8">
        <w:rPr>
          <w:rStyle w:val="FootnoteReference"/>
          <w:sz w:val="22"/>
        </w:rPr>
        <w:footnoteReference w:id="7"/>
      </w:r>
      <w:r w:rsidR="003058A7" w:rsidRPr="00FC4CB8">
        <w:t xml:space="preserve"> </w:t>
      </w:r>
      <w:r w:rsidR="00EF5FE2" w:rsidRPr="00FC4CB8">
        <w:t xml:space="preserve">in connection </w:t>
      </w:r>
      <w:r w:rsidR="00916209" w:rsidRPr="00FC4CB8">
        <w:t xml:space="preserve">with </w:t>
      </w:r>
      <w:r w:rsidR="003058A7" w:rsidRPr="00FC4CB8">
        <w:t xml:space="preserve">substandard delivery of long distance calls to </w:t>
      </w:r>
      <w:r w:rsidR="00D877BD" w:rsidRPr="00FC4CB8">
        <w:t xml:space="preserve">a </w:t>
      </w:r>
      <w:r w:rsidR="00E066C3">
        <w:t xml:space="preserve">consumer in a </w:t>
      </w:r>
      <w:r w:rsidR="00D877BD" w:rsidRPr="00FC4CB8">
        <w:t>certain rural area</w:t>
      </w:r>
      <w:r w:rsidR="00C10230">
        <w:t xml:space="preserve">, </w:t>
      </w:r>
      <w:r w:rsidR="00D37D51" w:rsidRPr="00FC4CB8">
        <w:t xml:space="preserve">and </w:t>
      </w:r>
      <w:r w:rsidR="00D37D51" w:rsidRPr="00C10230">
        <w:t xml:space="preserve">its compliance with Sections 4(i), 4(j), </w:t>
      </w:r>
      <w:r w:rsidR="00F746B9" w:rsidRPr="00C10230">
        <w:t xml:space="preserve">218, </w:t>
      </w:r>
      <w:r w:rsidR="00D37D51" w:rsidRPr="00C10230">
        <w:t>and 403 of the Act</w:t>
      </w:r>
      <w:r w:rsidR="00E066C3" w:rsidRPr="00C10230">
        <w:t>,</w:t>
      </w:r>
      <w:r w:rsidR="00E066C3" w:rsidRPr="00C10230">
        <w:rPr>
          <w:rStyle w:val="FootnoteReference"/>
        </w:rPr>
        <w:footnoteReference w:id="8"/>
      </w:r>
      <w:r w:rsidR="00E066C3" w:rsidRPr="00C10230">
        <w:t xml:space="preserve"> </w:t>
      </w:r>
      <w:r w:rsidR="00D37D51" w:rsidRPr="00C10230">
        <w:t xml:space="preserve">in connection with its failure to </w:t>
      </w:r>
      <w:r w:rsidR="00D53B56">
        <w:t>cooperate with the</w:t>
      </w:r>
      <w:r w:rsidR="00394651">
        <w:t xml:space="preserve"> Commission’s </w:t>
      </w:r>
      <w:r w:rsidR="00FC4CB8" w:rsidRPr="00FC4CB8">
        <w:t>investigation of the problem.</w:t>
      </w:r>
    </w:p>
    <w:p w:rsidR="00BD08D2" w:rsidRPr="00EE4702" w:rsidRDefault="00BD08D2" w:rsidP="00E02214">
      <w:pPr>
        <w:pStyle w:val="Heading1"/>
        <w:rPr>
          <w:rFonts w:ascii="Times New Roman" w:hAnsi="Times New Roman"/>
        </w:rPr>
      </w:pPr>
      <w:r w:rsidRPr="00EE4702">
        <w:rPr>
          <w:rFonts w:ascii="Times New Roman" w:hAnsi="Times New Roman"/>
        </w:rPr>
        <w:t>DEFINITIONS</w:t>
      </w:r>
    </w:p>
    <w:p w:rsidR="00BD08D2" w:rsidRPr="00C86691" w:rsidRDefault="00BD08D2" w:rsidP="008155A1">
      <w:pPr>
        <w:pStyle w:val="ParaNum"/>
      </w:pPr>
      <w:r w:rsidRPr="00EE4702">
        <w:t xml:space="preserve">For the </w:t>
      </w:r>
      <w:r w:rsidRPr="00C86691">
        <w:t>purposes of this Consent Decree, the following definitions shall apply:</w:t>
      </w:r>
    </w:p>
    <w:p w:rsidR="00BD08D2" w:rsidRPr="00C86691" w:rsidRDefault="00BD08D2" w:rsidP="00EF1B1B">
      <w:pPr>
        <w:numPr>
          <w:ilvl w:val="0"/>
          <w:numId w:val="5"/>
        </w:numPr>
        <w:tabs>
          <w:tab w:val="clear" w:pos="1224"/>
        </w:tabs>
        <w:spacing w:after="120"/>
        <w:ind w:left="1890"/>
      </w:pPr>
      <w:r w:rsidRPr="00C86691">
        <w:t>“Act”</w:t>
      </w:r>
      <w:r w:rsidRPr="00C86691">
        <w:rPr>
          <w:rStyle w:val="ParanumChar0"/>
        </w:rPr>
        <w:t xml:space="preserve"> </w:t>
      </w:r>
      <w:r w:rsidRPr="00C86691">
        <w:t>means the Communications Act of 1934, as amended</w:t>
      </w:r>
      <w:r w:rsidR="00610208" w:rsidRPr="00C86691">
        <w:t>.</w:t>
      </w:r>
      <w:r w:rsidR="00843A5F" w:rsidRPr="00C86691">
        <w:rPr>
          <w:rStyle w:val="FootnoteReference"/>
          <w:sz w:val="22"/>
        </w:rPr>
        <w:footnoteReference w:id="9"/>
      </w:r>
    </w:p>
    <w:p w:rsidR="00BD08D2" w:rsidRPr="00C86691" w:rsidRDefault="00BD08D2" w:rsidP="00EF1B1B">
      <w:pPr>
        <w:numPr>
          <w:ilvl w:val="0"/>
          <w:numId w:val="5"/>
        </w:numPr>
        <w:tabs>
          <w:tab w:val="clear" w:pos="1224"/>
        </w:tabs>
        <w:spacing w:after="120"/>
        <w:ind w:left="1890"/>
      </w:pPr>
      <w:r w:rsidRPr="00C86691">
        <w:t>“Adopting</w:t>
      </w:r>
      <w:r w:rsidR="00246786" w:rsidRPr="00C86691">
        <w:t xml:space="preserve"> Order” means an o</w:t>
      </w:r>
      <w:r w:rsidRPr="00C86691">
        <w:t xml:space="preserve">rder of the </w:t>
      </w:r>
      <w:r w:rsidR="00C454BF" w:rsidRPr="00C86691">
        <w:t xml:space="preserve">Commission or the </w:t>
      </w:r>
      <w:r w:rsidRPr="00C86691">
        <w:t>Bureau adopting the terms of this Consent Decree without change, addition, deletion, or modification.</w:t>
      </w:r>
    </w:p>
    <w:p w:rsidR="00AC2B38" w:rsidRPr="0079773F" w:rsidRDefault="00BD08D2" w:rsidP="0079773F">
      <w:pPr>
        <w:numPr>
          <w:ilvl w:val="0"/>
          <w:numId w:val="5"/>
        </w:numPr>
        <w:tabs>
          <w:tab w:val="clear" w:pos="1224"/>
        </w:tabs>
        <w:spacing w:after="120"/>
        <w:ind w:left="1890"/>
      </w:pPr>
      <w:r w:rsidRPr="00C86691">
        <w:t>“Bureau” means the Enforcement Bureau of the Federal Communications Commission.</w:t>
      </w:r>
    </w:p>
    <w:p w:rsidR="00BD08D2" w:rsidRPr="00C86691" w:rsidRDefault="00BD08D2" w:rsidP="00EF1B1B">
      <w:pPr>
        <w:numPr>
          <w:ilvl w:val="0"/>
          <w:numId w:val="5"/>
        </w:numPr>
        <w:tabs>
          <w:tab w:val="clear" w:pos="1224"/>
        </w:tabs>
        <w:spacing w:after="120"/>
        <w:ind w:left="1890"/>
      </w:pPr>
      <w:r w:rsidRPr="00C86691">
        <w:t>“Commission” and “FCC” mean the Federal Communications Commission and all of its bureaus and offices.</w:t>
      </w:r>
    </w:p>
    <w:p w:rsidR="00BD08D2" w:rsidRDefault="00BD08D2" w:rsidP="00EF1B1B">
      <w:pPr>
        <w:numPr>
          <w:ilvl w:val="0"/>
          <w:numId w:val="5"/>
        </w:numPr>
        <w:tabs>
          <w:tab w:val="clear" w:pos="1224"/>
        </w:tabs>
        <w:spacing w:after="120"/>
        <w:ind w:left="1890"/>
      </w:pPr>
      <w:r w:rsidRPr="00C86691">
        <w:t>“Communications Laws” means collectively, the Act, the Rules, and the published and promulgated orders and decision</w:t>
      </w:r>
      <w:r w:rsidR="00302835" w:rsidRPr="00C86691">
        <w:t xml:space="preserve">s of the Commission to which </w:t>
      </w:r>
      <w:r w:rsidR="00EB0C7D">
        <w:t>inContact</w:t>
      </w:r>
      <w:r w:rsidRPr="00C86691">
        <w:t xml:space="preserve"> is subject by vi</w:t>
      </w:r>
      <w:r w:rsidR="00246786" w:rsidRPr="00C86691">
        <w:t>rtue of its business activities</w:t>
      </w:r>
      <w:r w:rsidR="00DF33A1">
        <w:t>, including but not limited to the Rural Call Completion Rules</w:t>
      </w:r>
      <w:r w:rsidRPr="00C86691">
        <w:t>.</w:t>
      </w:r>
    </w:p>
    <w:p w:rsidR="00BD08D2" w:rsidRPr="00C86691" w:rsidRDefault="00BD08D2" w:rsidP="00EF1B1B">
      <w:pPr>
        <w:numPr>
          <w:ilvl w:val="0"/>
          <w:numId w:val="5"/>
        </w:numPr>
        <w:tabs>
          <w:tab w:val="clear" w:pos="1224"/>
        </w:tabs>
        <w:spacing w:after="120"/>
        <w:ind w:left="1890"/>
      </w:pPr>
      <w:r w:rsidRPr="00C86691">
        <w:t>“Compliance Plan” means the compliance obligations</w:t>
      </w:r>
      <w:r w:rsidR="008155A1" w:rsidRPr="00C86691">
        <w:t xml:space="preserve">, </w:t>
      </w:r>
      <w:r w:rsidRPr="00C86691">
        <w:t>program</w:t>
      </w:r>
      <w:r w:rsidR="008155A1" w:rsidRPr="00C86691">
        <w:t>, and procedures</w:t>
      </w:r>
      <w:r w:rsidR="00BC7821" w:rsidRPr="00C86691">
        <w:t xml:space="preserve"> d</w:t>
      </w:r>
      <w:r w:rsidRPr="00C86691">
        <w:t>escribed in this Consent Decree at paragraph</w:t>
      </w:r>
      <w:r w:rsidR="00FB39CB" w:rsidRPr="00C86691">
        <w:t xml:space="preserve"> </w:t>
      </w:r>
      <w:r w:rsidR="005B669A" w:rsidRPr="00B7430B">
        <w:t>19</w:t>
      </w:r>
      <w:r w:rsidRPr="00C86691">
        <w:t>.</w:t>
      </w:r>
    </w:p>
    <w:p w:rsidR="00BD08D2" w:rsidRPr="00C86691" w:rsidRDefault="00BD08D2" w:rsidP="00EF1B1B">
      <w:pPr>
        <w:numPr>
          <w:ilvl w:val="0"/>
          <w:numId w:val="5"/>
        </w:numPr>
        <w:tabs>
          <w:tab w:val="clear" w:pos="1224"/>
        </w:tabs>
        <w:spacing w:after="120"/>
        <w:ind w:left="1890"/>
      </w:pPr>
      <w:r w:rsidRPr="00C86691">
        <w:t>“Covered Employees” me</w:t>
      </w:r>
      <w:r w:rsidR="0079773F">
        <w:t>ans all employees and agents of the Company</w:t>
      </w:r>
      <w:r w:rsidR="00FB39CB" w:rsidRPr="00C86691">
        <w:t xml:space="preserve"> </w:t>
      </w:r>
      <w:r w:rsidRPr="00C86691">
        <w:t xml:space="preserve">who perform, or supervise, oversee, or manage the performance of, duties </w:t>
      </w:r>
      <w:r w:rsidR="00DF33A1">
        <w:t xml:space="preserve">that </w:t>
      </w:r>
      <w:r w:rsidRPr="00C86691">
        <w:t xml:space="preserve">relate to </w:t>
      </w:r>
      <w:r w:rsidR="001B53C1">
        <w:t>inContact</w:t>
      </w:r>
      <w:r w:rsidRPr="00C86691">
        <w:t xml:space="preserve">’s responsibilities under the </w:t>
      </w:r>
      <w:r w:rsidR="00DF33A1">
        <w:t xml:space="preserve">Communications Laws, including the </w:t>
      </w:r>
      <w:r w:rsidR="00753E68" w:rsidRPr="00C86691">
        <w:t>Rural Call Completion Rules</w:t>
      </w:r>
      <w:r w:rsidR="00467CC0">
        <w:t>.</w:t>
      </w:r>
    </w:p>
    <w:p w:rsidR="00BD08D2" w:rsidRDefault="00BD08D2" w:rsidP="00EF1B1B">
      <w:pPr>
        <w:numPr>
          <w:ilvl w:val="0"/>
          <w:numId w:val="5"/>
        </w:numPr>
        <w:tabs>
          <w:tab w:val="clear" w:pos="1224"/>
        </w:tabs>
        <w:spacing w:after="120"/>
        <w:ind w:left="1890"/>
      </w:pPr>
      <w:r w:rsidRPr="00A15C4D">
        <w:t>“Effective</w:t>
      </w:r>
      <w:r w:rsidR="00CE68FE" w:rsidRPr="00A15C4D">
        <w:t xml:space="preserve"> Date” means the date by</w:t>
      </w:r>
      <w:r w:rsidR="00C04651" w:rsidRPr="00A15C4D">
        <w:t xml:space="preserve"> which </w:t>
      </w:r>
      <w:r w:rsidR="00CE68FE" w:rsidRPr="00A15C4D">
        <w:t xml:space="preserve">both </w:t>
      </w:r>
      <w:r w:rsidR="00C04651" w:rsidRPr="00A15C4D">
        <w:t xml:space="preserve">the Bureau </w:t>
      </w:r>
      <w:r w:rsidR="00CE68FE" w:rsidRPr="00A15C4D">
        <w:t xml:space="preserve">and </w:t>
      </w:r>
      <w:r w:rsidR="0079773F" w:rsidRPr="00A15C4D">
        <w:t>inContact</w:t>
      </w:r>
      <w:r w:rsidR="00CE68FE" w:rsidRPr="00A15C4D">
        <w:t xml:space="preserve"> have signed the Consent Decree</w:t>
      </w:r>
      <w:r w:rsidR="00C04651" w:rsidRPr="00A15C4D">
        <w:t>.</w:t>
      </w:r>
    </w:p>
    <w:p w:rsidR="00D92704" w:rsidRPr="00A15C4D" w:rsidRDefault="00D92704" w:rsidP="00D93B6A">
      <w:pPr>
        <w:widowControl/>
        <w:numPr>
          <w:ilvl w:val="0"/>
          <w:numId w:val="5"/>
        </w:numPr>
        <w:tabs>
          <w:tab w:val="clear" w:pos="1224"/>
        </w:tabs>
        <w:spacing w:after="120"/>
        <w:ind w:left="1886"/>
      </w:pPr>
      <w:r w:rsidRPr="00C86691">
        <w:t>“</w:t>
      </w:r>
      <w:r>
        <w:t>inContact</w:t>
      </w:r>
      <w:r w:rsidRPr="00C86691">
        <w:t xml:space="preserve">” or “Company” means </w:t>
      </w:r>
      <w:r>
        <w:t>inContact, Inc. and its affiliates, subsidiaries, predecessors-in-interest, and successors-in-interest</w:t>
      </w:r>
      <w:r w:rsidRPr="00C86691">
        <w:t>.</w:t>
      </w:r>
    </w:p>
    <w:p w:rsidR="00006830" w:rsidRPr="00A15C4D" w:rsidRDefault="00BD08D2" w:rsidP="00006830">
      <w:pPr>
        <w:numPr>
          <w:ilvl w:val="0"/>
          <w:numId w:val="5"/>
        </w:numPr>
        <w:tabs>
          <w:tab w:val="clear" w:pos="1224"/>
        </w:tabs>
        <w:spacing w:after="120"/>
        <w:ind w:left="1890"/>
      </w:pPr>
      <w:r w:rsidRPr="00A15C4D">
        <w:t>“Investigation” m</w:t>
      </w:r>
      <w:r w:rsidR="00073450" w:rsidRPr="00A15C4D">
        <w:t xml:space="preserve">eans the </w:t>
      </w:r>
      <w:r w:rsidR="00D92704">
        <w:t>informal complaints referenced in paragraph</w:t>
      </w:r>
      <w:r w:rsidR="005B669A">
        <w:t>s 11-12</w:t>
      </w:r>
      <w:r w:rsidR="00D92704">
        <w:t xml:space="preserve"> below and the </w:t>
      </w:r>
      <w:r w:rsidR="00073450" w:rsidRPr="00A15C4D">
        <w:t>investigation commenced</w:t>
      </w:r>
      <w:r w:rsidRPr="00A15C4D">
        <w:t xml:space="preserve"> by the Bureau </w:t>
      </w:r>
      <w:r w:rsidR="00D82A58" w:rsidRPr="00A15C4D">
        <w:t>u</w:t>
      </w:r>
      <w:r w:rsidR="0079773F" w:rsidRPr="00A15C4D">
        <w:t>nder File No. EB-IHD-15-</w:t>
      </w:r>
      <w:r w:rsidR="00C81ABF" w:rsidRPr="00A15C4D">
        <w:rPr>
          <w:spacing w:val="-2"/>
        </w:rPr>
        <w:t xml:space="preserve">00020237 </w:t>
      </w:r>
      <w:r w:rsidRPr="00A15C4D">
        <w:t xml:space="preserve">regarding </w:t>
      </w:r>
      <w:r w:rsidR="00073450" w:rsidRPr="00A15C4D">
        <w:t xml:space="preserve">whether </w:t>
      </w:r>
      <w:r w:rsidR="0079773F" w:rsidRPr="00A15C4D">
        <w:t>inContact</w:t>
      </w:r>
      <w:r w:rsidR="00CE417A" w:rsidRPr="00A15C4D">
        <w:t xml:space="preserve"> </w:t>
      </w:r>
      <w:r w:rsidR="00073450" w:rsidRPr="00A15C4D">
        <w:t xml:space="preserve">violated </w:t>
      </w:r>
      <w:r w:rsidR="00D82A58" w:rsidRPr="00A15C4D">
        <w:t>S</w:t>
      </w:r>
      <w:r w:rsidR="0046549C" w:rsidRPr="00A15C4D">
        <w:t>ections 201(b) and 202(a) of the Act</w:t>
      </w:r>
      <w:r w:rsidRPr="00A15C4D">
        <w:t>.</w:t>
      </w:r>
      <w:r w:rsidR="00006830" w:rsidRPr="00A15C4D">
        <w:t xml:space="preserve"> </w:t>
      </w:r>
    </w:p>
    <w:p w:rsidR="000D32DF" w:rsidRPr="00A15C4D" w:rsidRDefault="00006830" w:rsidP="00F2278C">
      <w:pPr>
        <w:numPr>
          <w:ilvl w:val="0"/>
          <w:numId w:val="5"/>
        </w:numPr>
        <w:tabs>
          <w:tab w:val="clear" w:pos="1224"/>
        </w:tabs>
        <w:spacing w:after="120"/>
        <w:ind w:left="1890"/>
      </w:pPr>
      <w:r w:rsidRPr="00A15C4D">
        <w:t>“Intermediate Provider” has the meaning provided in Section 64.1600(f) of the Rules</w:t>
      </w:r>
      <w:r w:rsidR="003A2E1D">
        <w:t>.</w:t>
      </w:r>
      <w:r w:rsidRPr="00A15C4D">
        <w:rPr>
          <w:rStyle w:val="FootnoteReference"/>
        </w:rPr>
        <w:footnoteReference w:id="10"/>
      </w:r>
    </w:p>
    <w:p w:rsidR="002C4E2A" w:rsidRPr="00A15C4D" w:rsidRDefault="002C4E2A" w:rsidP="0046549C">
      <w:pPr>
        <w:numPr>
          <w:ilvl w:val="0"/>
          <w:numId w:val="5"/>
        </w:numPr>
        <w:tabs>
          <w:tab w:val="clear" w:pos="1224"/>
        </w:tabs>
        <w:spacing w:after="120"/>
        <w:ind w:left="1890"/>
      </w:pPr>
      <w:r w:rsidRPr="00A15C4D">
        <w:t xml:space="preserve">“OCN” means </w:t>
      </w:r>
      <w:r w:rsidR="007758BB" w:rsidRPr="00A15C4D">
        <w:t xml:space="preserve">an </w:t>
      </w:r>
      <w:r w:rsidRPr="00A15C4D">
        <w:t>Operating Company Number</w:t>
      </w:r>
      <w:r w:rsidR="003B5426" w:rsidRPr="00A15C4D">
        <w:t xml:space="preserve"> that is an alphanumeric code that uniquely identifies providers of local telecommunications service.</w:t>
      </w:r>
      <w:r w:rsidR="00F85896" w:rsidRPr="00A15C4D">
        <w:rPr>
          <w:rStyle w:val="FootnoteReference"/>
        </w:rPr>
        <w:footnoteReference w:id="11"/>
      </w:r>
      <w:r w:rsidR="003B5426" w:rsidRPr="00A15C4D">
        <w:t xml:space="preserve">  </w:t>
      </w:r>
    </w:p>
    <w:p w:rsidR="00BD08D2" w:rsidRPr="00C86691" w:rsidRDefault="00BD08D2" w:rsidP="00EF1B1B">
      <w:pPr>
        <w:numPr>
          <w:ilvl w:val="0"/>
          <w:numId w:val="5"/>
        </w:numPr>
        <w:tabs>
          <w:tab w:val="clear" w:pos="1224"/>
        </w:tabs>
        <w:spacing w:after="120"/>
        <w:ind w:left="1890"/>
      </w:pPr>
      <w:r w:rsidRPr="00C86691">
        <w:t>“Operating Procedures” mean</w:t>
      </w:r>
      <w:r w:rsidR="003010FA" w:rsidRPr="00C86691">
        <w:t>s</w:t>
      </w:r>
      <w:r w:rsidR="00683B2D" w:rsidRPr="00C86691">
        <w:t xml:space="preserve"> the standard</w:t>
      </w:r>
      <w:r w:rsidRPr="00C86691">
        <w:t xml:space="preserve"> internal operating procedures and compliance pol</w:t>
      </w:r>
      <w:r w:rsidR="00AD6D76" w:rsidRPr="00C86691">
        <w:t xml:space="preserve">icies established by </w:t>
      </w:r>
      <w:r w:rsidR="0079773F">
        <w:t>inContact</w:t>
      </w:r>
      <w:r w:rsidRPr="00C86691">
        <w:t xml:space="preserve"> to implement the Compliance Plan.</w:t>
      </w:r>
    </w:p>
    <w:p w:rsidR="00BD08D2" w:rsidRPr="00C86691" w:rsidRDefault="00BD08D2" w:rsidP="00EF1B1B">
      <w:pPr>
        <w:numPr>
          <w:ilvl w:val="0"/>
          <w:numId w:val="5"/>
        </w:numPr>
        <w:tabs>
          <w:tab w:val="clear" w:pos="1224"/>
        </w:tabs>
        <w:spacing w:after="120"/>
        <w:ind w:left="1890"/>
      </w:pPr>
      <w:r w:rsidRPr="00C86691">
        <w:t>“Parties” mean</w:t>
      </w:r>
      <w:r w:rsidR="003010FA" w:rsidRPr="00C86691">
        <w:t>s</w:t>
      </w:r>
      <w:r w:rsidRPr="00C86691">
        <w:t xml:space="preserve"> </w:t>
      </w:r>
      <w:r w:rsidR="0079773F">
        <w:t xml:space="preserve">inContact </w:t>
      </w:r>
      <w:r w:rsidRPr="00C86691">
        <w:t>and the Bureau, each of which is a “Party.”</w:t>
      </w:r>
    </w:p>
    <w:p w:rsidR="00FD48A6" w:rsidRPr="00C86691" w:rsidRDefault="00BD08D2" w:rsidP="00FD48A6">
      <w:pPr>
        <w:numPr>
          <w:ilvl w:val="0"/>
          <w:numId w:val="5"/>
        </w:numPr>
        <w:tabs>
          <w:tab w:val="clear" w:pos="1224"/>
        </w:tabs>
        <w:spacing w:after="120"/>
        <w:ind w:left="1890"/>
      </w:pPr>
      <w:r w:rsidRPr="00C86691">
        <w:t>“Rules” mean</w:t>
      </w:r>
      <w:r w:rsidR="003010FA" w:rsidRPr="00C86691">
        <w:t>s</w:t>
      </w:r>
      <w:r w:rsidRPr="00C86691">
        <w:t xml:space="preserve"> the Commission’s regulations found in Title 47 of the Code of Federal Regulations.</w:t>
      </w:r>
    </w:p>
    <w:p w:rsidR="00A0444F" w:rsidRPr="00C86691" w:rsidRDefault="002C4E2A" w:rsidP="00FD48A6">
      <w:pPr>
        <w:numPr>
          <w:ilvl w:val="0"/>
          <w:numId w:val="5"/>
        </w:numPr>
        <w:tabs>
          <w:tab w:val="clear" w:pos="1224"/>
        </w:tabs>
        <w:spacing w:after="120"/>
        <w:ind w:left="1890"/>
      </w:pPr>
      <w:r w:rsidRPr="00C86691">
        <w:t>“</w:t>
      </w:r>
      <w:r w:rsidR="00A0444F" w:rsidRPr="00C86691">
        <w:rPr>
          <w:i/>
        </w:rPr>
        <w:t>Rural Call Completion Declaratory Ruling</w:t>
      </w:r>
      <w:r w:rsidRPr="00C86691">
        <w:t>”</w:t>
      </w:r>
      <w:r w:rsidR="000B07B0">
        <w:t xml:space="preserve"> </w:t>
      </w:r>
      <w:r w:rsidR="00A0444F" w:rsidRPr="00C86691">
        <w:t xml:space="preserve">means the declaratory ruling captioned </w:t>
      </w:r>
      <w:r w:rsidR="00F44F26" w:rsidRPr="00C86691">
        <w:t xml:space="preserve">as </w:t>
      </w:r>
      <w:r w:rsidR="00DC3EA5" w:rsidRPr="00C86691">
        <w:rPr>
          <w:i/>
        </w:rPr>
        <w:t>Developing an Unified Intercarrier Compensation Regime</w:t>
      </w:r>
      <w:r w:rsidR="00DC3EA5" w:rsidRPr="00C86691">
        <w:t>, Declaratory Ruling, 27 FCC Rcd 1351 (Wireline Comp. Bur. 2012).</w:t>
      </w:r>
      <w:r w:rsidR="00C10230">
        <w:t xml:space="preserve"> “</w:t>
      </w:r>
      <w:r w:rsidR="00C10230" w:rsidRPr="00C10230">
        <w:rPr>
          <w:i/>
        </w:rPr>
        <w:t>Rural Call Completion Enforcement Advisory</w:t>
      </w:r>
      <w:r w:rsidR="00C10230">
        <w:t xml:space="preserve">” </w:t>
      </w:r>
      <w:r w:rsidR="000B07B0">
        <w:t>or “</w:t>
      </w:r>
      <w:r w:rsidR="000B07B0" w:rsidRPr="000B07B0">
        <w:rPr>
          <w:i/>
        </w:rPr>
        <w:t>Advisory</w:t>
      </w:r>
      <w:r w:rsidR="000B07B0">
        <w:t xml:space="preserve">” </w:t>
      </w:r>
      <w:r w:rsidR="00C10230">
        <w:t xml:space="preserve">means the advisory captioned as </w:t>
      </w:r>
      <w:r w:rsidR="00C10230" w:rsidRPr="00D978A2">
        <w:rPr>
          <w:i/>
        </w:rPr>
        <w:t>FCC Enforcement Advisory:</w:t>
      </w:r>
      <w:r w:rsidR="00C10230">
        <w:t xml:space="preserve"> </w:t>
      </w:r>
      <w:r w:rsidR="00C10230" w:rsidRPr="00591704">
        <w:rPr>
          <w:i/>
        </w:rPr>
        <w:t>Rural Call Completion, Long Distance Providers Must Take Consumer Complaints about Rural Call Completion Problems Seriously</w:t>
      </w:r>
      <w:r w:rsidR="00C10230">
        <w:t xml:space="preserve">, Public Notice, 28 FCC Rcd 10347 (Enf. Bur. 2013).  </w:t>
      </w:r>
      <w:r w:rsidRPr="00C86691">
        <w:t>“</w:t>
      </w:r>
      <w:r w:rsidR="00A0444F" w:rsidRPr="00C86691">
        <w:rPr>
          <w:i/>
        </w:rPr>
        <w:t>Rural Call Completion Order</w:t>
      </w:r>
      <w:r w:rsidRPr="00C86691">
        <w:t>”</w:t>
      </w:r>
      <w:r w:rsidR="00A0444F" w:rsidRPr="00C86691">
        <w:rPr>
          <w:i/>
        </w:rPr>
        <w:t xml:space="preserve"> </w:t>
      </w:r>
      <w:r w:rsidR="00A0444F" w:rsidRPr="00C86691">
        <w:t>means</w:t>
      </w:r>
      <w:r w:rsidR="00A0444F" w:rsidRPr="00C86691">
        <w:rPr>
          <w:i/>
        </w:rPr>
        <w:t xml:space="preserve"> </w:t>
      </w:r>
      <w:r w:rsidR="00A0444F" w:rsidRPr="00C86691">
        <w:t xml:space="preserve">the order captioned as </w:t>
      </w:r>
      <w:r w:rsidR="00A0444F" w:rsidRPr="00C86691">
        <w:rPr>
          <w:i/>
        </w:rPr>
        <w:t xml:space="preserve">Rural Call Completion, </w:t>
      </w:r>
      <w:r w:rsidR="00A0444F" w:rsidRPr="00C86691">
        <w:t xml:space="preserve">Report and Order and Further Notice of Proposed Rulemaking, 28 FCC Rcd 16154 (2013), </w:t>
      </w:r>
      <w:r w:rsidR="00A0444F" w:rsidRPr="00C86691">
        <w:rPr>
          <w:i/>
        </w:rPr>
        <w:t>modified in part on recon.,</w:t>
      </w:r>
      <w:r w:rsidR="00A0444F" w:rsidRPr="00C86691">
        <w:t xml:space="preserve"> </w:t>
      </w:r>
      <w:r w:rsidR="00261648">
        <w:t>29 FCC Rcd 14026 (</w:t>
      </w:r>
      <w:r w:rsidR="00A0444F" w:rsidRPr="00C86691">
        <w:t xml:space="preserve">2014). </w:t>
      </w:r>
    </w:p>
    <w:p w:rsidR="003B5426" w:rsidRPr="0047159B" w:rsidRDefault="00FD48A6" w:rsidP="00BB50A2">
      <w:pPr>
        <w:numPr>
          <w:ilvl w:val="0"/>
          <w:numId w:val="5"/>
        </w:numPr>
        <w:tabs>
          <w:tab w:val="clear" w:pos="1224"/>
        </w:tabs>
        <w:spacing w:after="120"/>
        <w:ind w:left="1890"/>
      </w:pPr>
      <w:r w:rsidRPr="0047159B">
        <w:t xml:space="preserve">“Rural Call Completion Rules” means Sections 201(b) and 202(a) of the Act, as interpreted in the </w:t>
      </w:r>
      <w:r w:rsidRPr="0047159B">
        <w:rPr>
          <w:i/>
        </w:rPr>
        <w:t>Rural Call Completion Declaratory Ruling</w:t>
      </w:r>
      <w:r w:rsidRPr="0047159B">
        <w:t xml:space="preserve">, the </w:t>
      </w:r>
      <w:r w:rsidR="00261648">
        <w:t>R</w:t>
      </w:r>
      <w:r w:rsidRPr="0047159B">
        <w:t xml:space="preserve">ules adopted in the </w:t>
      </w:r>
      <w:r w:rsidRPr="0047159B">
        <w:rPr>
          <w:i/>
        </w:rPr>
        <w:t>Rural Call Completion Order</w:t>
      </w:r>
      <w:r w:rsidRPr="0047159B">
        <w:t>, 47 CFR Sections 64.2101, 64.2103, 64.2105, 64.2107, 64.2109 and 64.2201, and other provisions of the Act, the Rules, and Commission orders related to Rural Call Completion</w:t>
      </w:r>
      <w:r w:rsidR="00066CD1" w:rsidRPr="0047159B">
        <w:t xml:space="preserve">, including those addressed in the </w:t>
      </w:r>
      <w:r w:rsidR="00066CD1" w:rsidRPr="0047159B">
        <w:rPr>
          <w:i/>
        </w:rPr>
        <w:t>Rural Call Completion Enforcement Advisory</w:t>
      </w:r>
      <w:r w:rsidRPr="0047159B">
        <w:t xml:space="preserve">.  </w:t>
      </w:r>
    </w:p>
    <w:p w:rsidR="00E02214" w:rsidRPr="00C86691" w:rsidRDefault="00E02214" w:rsidP="00D93B6A">
      <w:pPr>
        <w:pStyle w:val="Heading1"/>
        <w:widowControl/>
        <w:rPr>
          <w:rFonts w:ascii="Times New Roman" w:hAnsi="Times New Roman"/>
        </w:rPr>
      </w:pPr>
      <w:r w:rsidRPr="00C86691">
        <w:rPr>
          <w:rFonts w:ascii="Times New Roman" w:hAnsi="Times New Roman"/>
        </w:rPr>
        <w:t>BACKGROUND</w:t>
      </w:r>
    </w:p>
    <w:p w:rsidR="007760CA" w:rsidRPr="00C86691" w:rsidRDefault="007760CA" w:rsidP="00D93B6A">
      <w:pPr>
        <w:pStyle w:val="ParaNum"/>
        <w:widowControl/>
        <w:spacing w:after="240"/>
      </w:pPr>
      <w:r w:rsidRPr="00C86691">
        <w:t>Section 201(b) of the Act provides</w:t>
      </w:r>
      <w:r w:rsidR="002C4E2A" w:rsidRPr="00C86691">
        <w:t xml:space="preserve"> that</w:t>
      </w:r>
      <w:r w:rsidRPr="00C86691">
        <w:t xml:space="preserve"> “[a]ll charges, practices, classifications, and regulations for and in connection with [interstate and foreign] communication service, shall be just and reasonable, and any such charge, practice, classification, or regulation that is unjust or unreasonable is declared to be unlawful.”</w:t>
      </w:r>
      <w:r w:rsidRPr="00C86691">
        <w:rPr>
          <w:vertAlign w:val="superscript"/>
        </w:rPr>
        <w:footnoteReference w:id="12"/>
      </w:r>
      <w:r w:rsidRPr="00C86691">
        <w:t xml:space="preserve">  Section 202(a) states</w:t>
      </w:r>
      <w:r w:rsidR="00C92032" w:rsidRPr="00C86691">
        <w:t xml:space="preserve"> that</w:t>
      </w:r>
      <w:r w:rsidRPr="00C86691">
        <w:t xml:space="preserve"> “[i]t shall be unlawful for any common carrier to make any unjust or unreasonable discrimination in charges, practices, classifications, regulations, facilities, or services for or in connection with like communication service, directly or indirectly, by any means or device, . . . or to subject any particular person, class of persons, or locality to any undue or unreasonable prejudice or disadvantage.”</w:t>
      </w:r>
      <w:r w:rsidRPr="00C86691">
        <w:rPr>
          <w:rStyle w:val="FootnoteReference"/>
          <w:sz w:val="22"/>
        </w:rPr>
        <w:footnoteReference w:id="13"/>
      </w:r>
      <w:r w:rsidRPr="00C86691">
        <w:t xml:space="preserve"> </w:t>
      </w:r>
    </w:p>
    <w:p w:rsidR="007760CA" w:rsidRPr="00C86691" w:rsidRDefault="007760CA" w:rsidP="00D93B6A">
      <w:pPr>
        <w:pStyle w:val="ParaNum"/>
        <w:widowControl/>
        <w:spacing w:after="240"/>
      </w:pPr>
      <w:r w:rsidRPr="00C86691">
        <w:t>The Commission has emphasized that “i</w:t>
      </w:r>
      <w:r w:rsidRPr="00C86691">
        <w:rPr>
          <w:shd w:val="clear" w:color="auto" w:fill="FFFFFF"/>
        </w:rPr>
        <w:t>t is vital that our Nation maintains a communications network </w:t>
      </w:r>
      <w:bookmarkStart w:id="1" w:name="SR;848"/>
      <w:bookmarkStart w:id="2" w:name="SR;849"/>
      <w:bookmarkEnd w:id="1"/>
      <w:bookmarkEnd w:id="2"/>
      <w:r w:rsidRPr="00C86691">
        <w:rPr>
          <w:shd w:val="clear" w:color="auto" w:fill="FFFFFF"/>
        </w:rPr>
        <w:t>that offers reliable and resilient service</w:t>
      </w:r>
      <w:r w:rsidRPr="00C86691">
        <w:t>.”</w:t>
      </w:r>
      <w:r w:rsidRPr="00C86691">
        <w:rPr>
          <w:vertAlign w:val="superscript"/>
        </w:rPr>
        <w:footnoteReference w:id="14"/>
      </w:r>
      <w:r w:rsidRPr="00C86691">
        <w:t xml:space="preserve">  The Commission has also recognized that “permitting blocking or the refusal to deliver voice telephone traffic, whether as a means of ‘self-help’ to address perceived unreasonable intercarrier compensation charges or otherwise, risks ‘degradation of the country’s telecommunications network.’”</w:t>
      </w:r>
      <w:r w:rsidRPr="00C86691">
        <w:rPr>
          <w:vertAlign w:val="superscript"/>
        </w:rPr>
        <w:footnoteReference w:id="15"/>
      </w:r>
      <w:r w:rsidRPr="00C86691">
        <w:t xml:space="preserve">  To prevent that result, the Commission has consistently held that telecommunications carriers, including interexchange carriers, generally may not “‘block, choke, reduce or restrict traffic in any way.’”</w:t>
      </w:r>
      <w:r w:rsidRPr="00C86691">
        <w:rPr>
          <w:vertAlign w:val="superscript"/>
        </w:rPr>
        <w:footnoteReference w:id="16"/>
      </w:r>
    </w:p>
    <w:p w:rsidR="007760CA" w:rsidRPr="00C86691" w:rsidRDefault="007760CA" w:rsidP="00D93B6A">
      <w:pPr>
        <w:pStyle w:val="ParaNum"/>
        <w:widowControl/>
        <w:spacing w:after="240"/>
      </w:pPr>
      <w:r w:rsidRPr="00C86691">
        <w:t>In June 2011, a coalition of trade associations representing rural rate-of-return incumbent local exchange carriers (LECs) sent a letter to the Bureau concerning “a nationwide and industry-wide epidemic” of calls to rural LEC service areas failing to complete or having poor call quality.</w:t>
      </w:r>
      <w:r w:rsidRPr="00C86691">
        <w:rPr>
          <w:vertAlign w:val="superscript"/>
        </w:rPr>
        <w:footnoteReference w:id="17"/>
      </w:r>
      <w:r w:rsidRPr="00C86691">
        <w:t xml:space="preserve">  In September 2011, the Commission announced that it had created a Rural Call Completion Task Force “to investigate and address the growing problem of calls to rural customers that are being delayed or that fail to connect.”</w:t>
      </w:r>
      <w:r w:rsidRPr="00C86691">
        <w:rPr>
          <w:vertAlign w:val="superscript"/>
        </w:rPr>
        <w:footnoteReference w:id="18"/>
      </w:r>
    </w:p>
    <w:p w:rsidR="00323039" w:rsidRDefault="007760CA" w:rsidP="00D93B6A">
      <w:pPr>
        <w:pStyle w:val="ParaNum"/>
        <w:widowControl/>
      </w:pPr>
      <w:r w:rsidRPr="00C86691">
        <w:t xml:space="preserve">On February 6, 2012, the Commission’s Wireline Competition Bureau (WCB) </w:t>
      </w:r>
      <w:r w:rsidR="00447A1A" w:rsidRPr="00C86691">
        <w:t xml:space="preserve">issued the </w:t>
      </w:r>
      <w:r w:rsidR="00447A1A" w:rsidRPr="00C86691">
        <w:rPr>
          <w:i/>
        </w:rPr>
        <w:t>Rural Call Completion Declaratory Ruling</w:t>
      </w:r>
      <w:r w:rsidR="00447A1A" w:rsidRPr="00C86691">
        <w:t xml:space="preserve">, which </w:t>
      </w:r>
      <w:r w:rsidRPr="00C86691">
        <w:t>“clarif[ied] that a carrier that knows or should know that calls are not being completed to certain areas, and that engages in acts (or omissions) that allow or effectively allow these conditions to persist, may be liable for a violation of section 201 of the Act.”</w:t>
      </w:r>
      <w:r w:rsidRPr="00C86691">
        <w:rPr>
          <w:rStyle w:val="FootnoteReference"/>
          <w:sz w:val="22"/>
        </w:rPr>
        <w:footnoteReference w:id="19"/>
      </w:r>
      <w:r w:rsidRPr="00C86691">
        <w:t xml:space="preserve">  It found that “it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w:t>
      </w:r>
      <w:r w:rsidR="00CB36AA">
        <w:t xml:space="preserve"> </w:t>
      </w:r>
      <w:r w:rsidR="00CB36AA" w:rsidRPr="00CB36AA">
        <w:t xml:space="preserve"> This is particularly the case when the problems are brought to the carrier’s attention by customers, rate-of-return carriers serving rural areas, or others, and the carrier nevertheless fails to take corrective action that is within its power</w:t>
      </w:r>
      <w:r w:rsidR="00CB36AA">
        <w:t>.</w:t>
      </w:r>
      <w:r w:rsidRPr="00C86691">
        <w:t>”</w:t>
      </w:r>
      <w:r w:rsidRPr="00C86691">
        <w:rPr>
          <w:vertAlign w:val="superscript"/>
        </w:rPr>
        <w:footnoteReference w:id="20"/>
      </w:r>
      <w:r w:rsidRPr="00C86691">
        <w:t xml:space="preserve">  WCB further clarified that “adopting or perpetuating routing practices that result in lower quality service to rural or high-cost localities than like service to urban or lower cost localities (including other lower cost rural areas) may, in the absence of a persuasive explanation, constitute unjust or unreasonable discrimination in practices, facilities, or services and violate section 202 of the Act.”</w:t>
      </w:r>
      <w:r w:rsidRPr="00C86691">
        <w:rPr>
          <w:vertAlign w:val="superscript"/>
        </w:rPr>
        <w:footnoteReference w:id="21"/>
      </w:r>
      <w:r w:rsidR="00323039" w:rsidRPr="00C86691">
        <w:t xml:space="preserve"> </w:t>
      </w:r>
    </w:p>
    <w:p w:rsidR="00D877BD" w:rsidRPr="00C86691" w:rsidRDefault="00024A5A" w:rsidP="00D93B6A">
      <w:pPr>
        <w:pStyle w:val="ParaNum"/>
        <w:widowControl/>
      </w:pPr>
      <w:r>
        <w:t>On July 19</w:t>
      </w:r>
      <w:r w:rsidR="00545751">
        <w:t>, 2013, t</w:t>
      </w:r>
      <w:r w:rsidR="00545751" w:rsidRPr="00545751">
        <w:t xml:space="preserve">he Enforcement Bureau issued the </w:t>
      </w:r>
      <w:r w:rsidR="00545751" w:rsidRPr="00545751">
        <w:rPr>
          <w:i/>
        </w:rPr>
        <w:t>Rural Call Completion Enforcement Advisory</w:t>
      </w:r>
      <w:r w:rsidR="00545751" w:rsidRPr="00545751">
        <w:t xml:space="preserve"> warning</w:t>
      </w:r>
      <w:r w:rsidR="00CB36AA">
        <w:t xml:space="preserve"> </w:t>
      </w:r>
      <w:r w:rsidR="00CB36AA" w:rsidRPr="00CB36AA">
        <w:t>long distance providers that the Commission intended to take enforcement action against providers that submit deficient responses to informal complaints about rural call completion problems.</w:t>
      </w:r>
      <w:r w:rsidR="00CB36AA" w:rsidRPr="00545751">
        <w:rPr>
          <w:sz w:val="20"/>
          <w:vertAlign w:val="superscript"/>
        </w:rPr>
        <w:footnoteReference w:id="22"/>
      </w:r>
      <w:r w:rsidR="00CB36AA">
        <w:t xml:space="preserve"> </w:t>
      </w:r>
      <w:r w:rsidR="00CB36AA" w:rsidRPr="00CB36AA">
        <w:t xml:space="preserve"> The Advisory</w:t>
      </w:r>
      <w:r w:rsidR="00CB36AA">
        <w:t xml:space="preserve"> reminded providers that “any” consumer may file an informal complaint, even if the consumer is not a customer of the provider against whom the complaint is filed</w:t>
      </w:r>
      <w:r w:rsidR="00175B33">
        <w:t>,</w:t>
      </w:r>
      <w:r w:rsidR="00506A8E">
        <w:t xml:space="preserve"> and </w:t>
      </w:r>
      <w:r w:rsidR="00175B33">
        <w:t xml:space="preserve">further </w:t>
      </w:r>
      <w:r w:rsidR="00CB36AA" w:rsidRPr="00CB36AA">
        <w:t xml:space="preserve">explained that providers could satisfy </w:t>
      </w:r>
      <w:r w:rsidR="00CB36AA">
        <w:t xml:space="preserve">rural call completion </w:t>
      </w:r>
      <w:r w:rsidR="00CB36AA" w:rsidRPr="00CB36AA">
        <w:t>complaints “by contacting the complainant, testing and troubleshooting call completion, and permanently moving traffic onto known well-performing routes when either testing or repeated complaints reveal a problem.”</w:t>
      </w:r>
      <w:r w:rsidR="00502663" w:rsidRPr="00502663">
        <w:rPr>
          <w:vertAlign w:val="superscript"/>
        </w:rPr>
        <w:t xml:space="preserve"> </w:t>
      </w:r>
      <w:r w:rsidR="00502663" w:rsidRPr="00C86691">
        <w:rPr>
          <w:vertAlign w:val="superscript"/>
        </w:rPr>
        <w:footnoteReference w:id="23"/>
      </w:r>
    </w:p>
    <w:p w:rsidR="00323039" w:rsidRPr="00C86691" w:rsidRDefault="00323039" w:rsidP="00D93B6A">
      <w:pPr>
        <w:pStyle w:val="ParaNum"/>
        <w:widowControl/>
      </w:pPr>
      <w:r w:rsidRPr="00C86691">
        <w:t xml:space="preserve">On November 8, 2013, the Commission released the </w:t>
      </w:r>
      <w:r w:rsidRPr="00C86691">
        <w:rPr>
          <w:i/>
        </w:rPr>
        <w:t>Rural Call Completion Order</w:t>
      </w:r>
      <w:r w:rsidRPr="00C86691">
        <w:t>, which adopted rules requiring covered providers to record, retain, and report to the Commission call answer rates for long-distance calls.</w:t>
      </w:r>
      <w:r w:rsidRPr="00C86691">
        <w:rPr>
          <w:rStyle w:val="FootnoteReference"/>
          <w:sz w:val="22"/>
        </w:rPr>
        <w:footnoteReference w:id="24"/>
      </w:r>
      <w:r w:rsidRPr="00C86691">
        <w:t xml:space="preserve">  The Commission found that “rural call completion problems are serious and widespread,”</w:t>
      </w:r>
      <w:r w:rsidRPr="00C86691">
        <w:rPr>
          <w:rStyle w:val="FootnoteReference"/>
          <w:sz w:val="22"/>
        </w:rPr>
        <w:footnoteReference w:id="25"/>
      </w:r>
      <w:r w:rsidRPr="00C86691">
        <w:t xml:space="preserve"> and that “[t]hese failures have significant and immediate public interest ramifications, causing rural businesses to lose customers, cutting families off from their relatives in rural areas, and creating potential for dangerous delays in public safety communications in rural areas.”</w:t>
      </w:r>
      <w:r w:rsidRPr="00C86691">
        <w:rPr>
          <w:rStyle w:val="FootnoteReference"/>
          <w:sz w:val="22"/>
        </w:rPr>
        <w:footnoteReference w:id="26"/>
      </w:r>
    </w:p>
    <w:p w:rsidR="00D1433C" w:rsidRDefault="00323039" w:rsidP="00D93B6A">
      <w:pPr>
        <w:pStyle w:val="ParaNum"/>
        <w:widowControl/>
      </w:pPr>
      <w:r w:rsidRPr="00C86691">
        <w:t xml:space="preserve">In its 2014 </w:t>
      </w:r>
      <w:r w:rsidRPr="00C86691">
        <w:rPr>
          <w:i/>
        </w:rPr>
        <w:t>Rural Call Completion Reconsideration Order</w:t>
      </w:r>
      <w:r w:rsidRPr="00C86691">
        <w:t xml:space="preserve">, the Commission </w:t>
      </w:r>
      <w:r w:rsidR="00B52932" w:rsidRPr="00C86691">
        <w:t xml:space="preserve">stated </w:t>
      </w:r>
      <w:r w:rsidRPr="00C86691">
        <w:t xml:space="preserve">that a failure “to investigate evidence of a rural call delivery problem or to correct a problem of degraded service about which [a carrier] knows or should know </w:t>
      </w:r>
      <w:r w:rsidR="00261648">
        <w:t>. . .</w:t>
      </w:r>
      <w:r w:rsidR="00261648" w:rsidRPr="00C86691">
        <w:t xml:space="preserve"> </w:t>
      </w:r>
      <w:r w:rsidRPr="00C86691">
        <w:t>may lead to enforcement action.”</w:t>
      </w:r>
      <w:r w:rsidRPr="00C86691">
        <w:rPr>
          <w:rStyle w:val="FootnoteReference"/>
          <w:sz w:val="22"/>
        </w:rPr>
        <w:footnoteReference w:id="27"/>
      </w:r>
    </w:p>
    <w:p w:rsidR="00B1162B" w:rsidRPr="00B1162B" w:rsidRDefault="00BA7302" w:rsidP="00D93B6A">
      <w:pPr>
        <w:pStyle w:val="ParaNum"/>
        <w:widowControl/>
      </w:pPr>
      <w:r>
        <w:t>inContact</w:t>
      </w:r>
      <w:r w:rsidR="00D1433C" w:rsidRPr="00D1433C">
        <w:t xml:space="preserve"> provides cloud-based application services for contact center call management and operates a communications network that allows </w:t>
      </w:r>
      <w:r w:rsidR="00D1433C">
        <w:t xml:space="preserve">its </w:t>
      </w:r>
      <w:r w:rsidR="00D1433C" w:rsidRPr="00D1433C">
        <w:t>customers the option of using Company-provisioned communications to route calls to and from the Company's platform</w:t>
      </w:r>
      <w:r w:rsidR="00E66493">
        <w:t xml:space="preserve">.  </w:t>
      </w:r>
      <w:r>
        <w:t>inContact</w:t>
      </w:r>
      <w:r w:rsidR="00D1433C">
        <w:t xml:space="preserve"> c</w:t>
      </w:r>
      <w:r w:rsidR="00D1433C" w:rsidRPr="00D1433C">
        <w:t xml:space="preserve">ustomers may select a private dedicated connection or allow calls to originate and terminate through the public switched telecommunications network using inContact's network and long distance carriers that </w:t>
      </w:r>
      <w:r w:rsidR="00D1433C" w:rsidRPr="00A909BC">
        <w:t>inContact interconnects with at a wholesale level.</w:t>
      </w:r>
      <w:r w:rsidR="00BD1231" w:rsidRPr="00A909BC">
        <w:rPr>
          <w:rStyle w:val="FootnoteReference"/>
          <w:sz w:val="22"/>
        </w:rPr>
        <w:footnoteReference w:id="28"/>
      </w:r>
    </w:p>
    <w:p w:rsidR="006013D1" w:rsidRPr="0047159B" w:rsidRDefault="00506A8E" w:rsidP="00D93B6A">
      <w:pPr>
        <w:pStyle w:val="ParaNum"/>
        <w:widowControl/>
      </w:pPr>
      <w:r w:rsidRPr="00B1162B">
        <w:t xml:space="preserve">In </w:t>
      </w:r>
      <w:r w:rsidR="00266663" w:rsidRPr="00B1162B">
        <w:t>December 2014</w:t>
      </w:r>
      <w:r w:rsidR="009C4A6E" w:rsidRPr="00B1162B">
        <w:t>,</w:t>
      </w:r>
      <w:r w:rsidR="00EA53AE" w:rsidRPr="00B1162B">
        <w:t xml:space="preserve"> </w:t>
      </w:r>
      <w:r w:rsidRPr="00B1162B">
        <w:t>a consumer</w:t>
      </w:r>
      <w:r w:rsidR="00D1433C" w:rsidRPr="00B1162B">
        <w:t xml:space="preserve"> </w:t>
      </w:r>
      <w:r w:rsidRPr="00B1162B">
        <w:t xml:space="preserve">filed an informal complaint with the Commission’s Bureau of Consumer and Governmental Affairs </w:t>
      </w:r>
      <w:r w:rsidR="000B1934" w:rsidRPr="00B1162B">
        <w:t>(CGB)</w:t>
      </w:r>
      <w:r w:rsidR="00D1433C" w:rsidRPr="00B1162B">
        <w:t xml:space="preserve">.  The complaint detailed the consumer’s ongoing problem </w:t>
      </w:r>
      <w:r w:rsidRPr="00B1162B">
        <w:t>receiving work calls</w:t>
      </w:r>
      <w:r w:rsidR="00057F7F" w:rsidRPr="00B1162B">
        <w:t>.  The</w:t>
      </w:r>
      <w:r w:rsidR="006013D1">
        <w:t>se</w:t>
      </w:r>
      <w:r w:rsidR="00057F7F" w:rsidRPr="00B1162B">
        <w:t xml:space="preserve"> calls </w:t>
      </w:r>
      <w:r w:rsidR="00D1433C" w:rsidRPr="00B1162B">
        <w:t xml:space="preserve">were sent over inContact’s </w:t>
      </w:r>
      <w:r w:rsidRPr="00B1162B">
        <w:t>long dista</w:t>
      </w:r>
      <w:r w:rsidR="00D1433C" w:rsidRPr="00B1162B">
        <w:t>nce network</w:t>
      </w:r>
      <w:r w:rsidRPr="00B1162B">
        <w:t xml:space="preserve"> to </w:t>
      </w:r>
      <w:r w:rsidR="00057F7F" w:rsidRPr="00B1162B">
        <w:t xml:space="preserve">the consumer’s </w:t>
      </w:r>
      <w:r w:rsidRPr="00B1162B">
        <w:t>home office</w:t>
      </w:r>
      <w:r w:rsidR="00B35BA3" w:rsidRPr="00B1162B">
        <w:t xml:space="preserve">, which is </w:t>
      </w:r>
      <w:r w:rsidRPr="00B1162B">
        <w:t xml:space="preserve">served by a </w:t>
      </w:r>
      <w:r w:rsidR="007C0CDE" w:rsidRPr="00B1162B">
        <w:t xml:space="preserve">rural </w:t>
      </w:r>
      <w:r w:rsidRPr="00B1162B">
        <w:t>local exchange carrier</w:t>
      </w:r>
      <w:r w:rsidR="009C4A6E" w:rsidRPr="00B1162B">
        <w:t>.</w:t>
      </w:r>
      <w:r w:rsidR="009F087E" w:rsidRPr="00B1162B">
        <w:t xml:space="preserve">  </w:t>
      </w:r>
      <w:r w:rsidR="00BA7302">
        <w:t>inContact</w:t>
      </w:r>
      <w:r w:rsidR="009F087E" w:rsidRPr="00B1162B">
        <w:t xml:space="preserve"> respon</w:t>
      </w:r>
      <w:r w:rsidR="006013D1">
        <w:t xml:space="preserve">ded </w:t>
      </w:r>
      <w:r w:rsidR="009F087E" w:rsidRPr="00B1162B">
        <w:t xml:space="preserve">to the </w:t>
      </w:r>
      <w:r w:rsidR="000B1934" w:rsidRPr="00B1162B">
        <w:t>informal complaint</w:t>
      </w:r>
      <w:r w:rsidR="009F087E" w:rsidRPr="00B1162B">
        <w:t xml:space="preserve"> in January 2015</w:t>
      </w:r>
      <w:r w:rsidR="00BC6A22">
        <w:t xml:space="preserve"> </w:t>
      </w:r>
      <w:r w:rsidR="006013D1">
        <w:t xml:space="preserve">by </w:t>
      </w:r>
      <w:r w:rsidR="000C3AFB" w:rsidRPr="000C3AFB">
        <w:t>append</w:t>
      </w:r>
      <w:r w:rsidR="006013D1">
        <w:t>ing</w:t>
      </w:r>
      <w:r w:rsidR="000C3AFB" w:rsidRPr="000C3AFB">
        <w:t xml:space="preserve"> an email chain showing that </w:t>
      </w:r>
      <w:r w:rsidR="000C3AFB">
        <w:t xml:space="preserve">its customer </w:t>
      </w:r>
      <w:r w:rsidR="000C3AFB" w:rsidRPr="000C3AFB">
        <w:t xml:space="preserve">did not </w:t>
      </w:r>
      <w:r w:rsidR="005E0AB7">
        <w:t>respond to an inContact email</w:t>
      </w:r>
      <w:r w:rsidR="000C3AFB">
        <w:t xml:space="preserve"> about the complaint</w:t>
      </w:r>
      <w:r w:rsidR="006013D1">
        <w:t xml:space="preserve">.  </w:t>
      </w:r>
      <w:r w:rsidR="000C3AFB">
        <w:t xml:space="preserve">inContact </w:t>
      </w:r>
      <w:r w:rsidR="006013D1">
        <w:t xml:space="preserve">also </w:t>
      </w:r>
      <w:r w:rsidR="000C3AFB">
        <w:t>stated that the complain</w:t>
      </w:r>
      <w:r w:rsidR="00376EBA">
        <w:t>an</w:t>
      </w:r>
      <w:r w:rsidR="000C3AFB">
        <w:t xml:space="preserve">t was not its </w:t>
      </w:r>
      <w:r w:rsidR="000C3AFB" w:rsidRPr="000C3AFB">
        <w:t>customer</w:t>
      </w:r>
      <w:r w:rsidR="000C3AFB">
        <w:t xml:space="preserve">.  </w:t>
      </w:r>
    </w:p>
    <w:p w:rsidR="0050055C" w:rsidRDefault="000C3AFB" w:rsidP="00D93B6A">
      <w:pPr>
        <w:pStyle w:val="ParaNum"/>
        <w:widowControl/>
      </w:pPr>
      <w:r>
        <w:t>Because the</w:t>
      </w:r>
      <w:r w:rsidR="00057F7F" w:rsidRPr="00B1162B">
        <w:t xml:space="preserve"> response </w:t>
      </w:r>
      <w:r w:rsidR="000B1934" w:rsidRPr="00B1162B">
        <w:t xml:space="preserve">was deficient under </w:t>
      </w:r>
      <w:r w:rsidR="006013D1">
        <w:t xml:space="preserve">Section 208 of the Act and Section 1.717 of the Rules, as explained in </w:t>
      </w:r>
      <w:r w:rsidR="000B1934" w:rsidRPr="00B1162B">
        <w:t xml:space="preserve">the </w:t>
      </w:r>
      <w:r w:rsidR="000B1934" w:rsidRPr="00B1162B">
        <w:rPr>
          <w:i/>
        </w:rPr>
        <w:t>Rural Call Completion Enforcement Advisory</w:t>
      </w:r>
      <w:r w:rsidRPr="00BB50A2">
        <w:t>,</w:t>
      </w:r>
      <w:r w:rsidRPr="00BB50A2">
        <w:rPr>
          <w:rStyle w:val="FootnoteReference"/>
        </w:rPr>
        <w:footnoteReference w:id="29"/>
      </w:r>
      <w:r w:rsidRPr="00BB50A2">
        <w:t xml:space="preserve"> </w:t>
      </w:r>
      <w:r w:rsidRPr="000C3AFB">
        <w:t xml:space="preserve">CGB referred the response to </w:t>
      </w:r>
      <w:r w:rsidR="00955457">
        <w:t>the Bureau</w:t>
      </w:r>
      <w:r w:rsidR="009F087E" w:rsidRPr="000C3AFB">
        <w:t>.</w:t>
      </w:r>
      <w:r w:rsidR="009F087E" w:rsidRPr="00B1162B">
        <w:t xml:space="preserve">  After </w:t>
      </w:r>
      <w:r w:rsidR="00955457">
        <w:t xml:space="preserve">the Bureau </w:t>
      </w:r>
      <w:r w:rsidR="000B07B0" w:rsidRPr="00B1162B">
        <w:t xml:space="preserve">contacted inContact and reminded it </w:t>
      </w:r>
      <w:r w:rsidR="00B1162B" w:rsidRPr="00B1162B">
        <w:t xml:space="preserve">of its obligation to ensure that </w:t>
      </w:r>
      <w:r w:rsidR="00E26529">
        <w:t xml:space="preserve">the </w:t>
      </w:r>
      <w:r w:rsidR="00B1162B" w:rsidRPr="00B1162B">
        <w:t xml:space="preserve">intermediate providers </w:t>
      </w:r>
      <w:r w:rsidR="00376EBA">
        <w:t>it used to deliver</w:t>
      </w:r>
      <w:r w:rsidR="00E26529">
        <w:t xml:space="preserve"> calls to </w:t>
      </w:r>
      <w:r w:rsidR="00376EBA">
        <w:t xml:space="preserve">rural areas </w:t>
      </w:r>
      <w:r w:rsidR="00A97CCF">
        <w:t xml:space="preserve">were </w:t>
      </w:r>
      <w:r w:rsidR="00B1162B" w:rsidRPr="00B1162B">
        <w:t>perform</w:t>
      </w:r>
      <w:r w:rsidR="00A97CCF">
        <w:t>ing</w:t>
      </w:r>
      <w:r w:rsidR="00B1162B" w:rsidRPr="00B1162B">
        <w:t xml:space="preserve"> adequately</w:t>
      </w:r>
      <w:r w:rsidR="009F087E" w:rsidRPr="00B1162B">
        <w:t xml:space="preserve">, </w:t>
      </w:r>
      <w:r w:rsidR="000B1934" w:rsidRPr="00B1162B">
        <w:t xml:space="preserve">inContact </w:t>
      </w:r>
      <w:r w:rsidR="009C4A6E" w:rsidRPr="00B1162B">
        <w:t xml:space="preserve">took </w:t>
      </w:r>
      <w:r w:rsidR="003D47CA">
        <w:t xml:space="preserve">action </w:t>
      </w:r>
      <w:r w:rsidR="00BD1231" w:rsidRPr="00B1162B">
        <w:t>in March 2015</w:t>
      </w:r>
      <w:r w:rsidR="009C4A6E" w:rsidRPr="00B1162B">
        <w:t xml:space="preserve"> </w:t>
      </w:r>
      <w:r w:rsidR="005F39E3">
        <w:t>but t</w:t>
      </w:r>
      <w:r w:rsidR="00C81ABF" w:rsidRPr="00B1162B">
        <w:t>he problem</w:t>
      </w:r>
      <w:r w:rsidR="005F39E3">
        <w:t xml:space="preserve"> </w:t>
      </w:r>
      <w:r w:rsidR="009F087E" w:rsidRPr="00B1162B">
        <w:t>recurred</w:t>
      </w:r>
      <w:r w:rsidR="00E06974">
        <w:t>.  T</w:t>
      </w:r>
      <w:r w:rsidR="007C0CDE" w:rsidRPr="00B1162B">
        <w:t>he consumer filed additional complain</w:t>
      </w:r>
      <w:r w:rsidR="000B1934" w:rsidRPr="00B1162B">
        <w:t>ts in May and June of 2015</w:t>
      </w:r>
      <w:r w:rsidR="005F39E3">
        <w:t xml:space="preserve">.  </w:t>
      </w:r>
      <w:r w:rsidR="003D47CA">
        <w:t xml:space="preserve">Although these </w:t>
      </w:r>
      <w:r w:rsidR="003D47CA" w:rsidRPr="00CB36AA">
        <w:t xml:space="preserve">repeated complaints </w:t>
      </w:r>
      <w:r w:rsidR="003D47CA">
        <w:t>evidenced a</w:t>
      </w:r>
      <w:r w:rsidR="00E26529">
        <w:t xml:space="preserve"> persistent </w:t>
      </w:r>
      <w:r w:rsidR="003D47CA">
        <w:t xml:space="preserve">rural call completion </w:t>
      </w:r>
      <w:r w:rsidR="003D47CA" w:rsidRPr="00CB36AA">
        <w:t>problem</w:t>
      </w:r>
      <w:r w:rsidR="003D47CA">
        <w:t xml:space="preserve">, inContact </w:t>
      </w:r>
      <w:r w:rsidR="005F39E3">
        <w:t>failed until late July of 2015 to ensure that the intermediate providers it used to deliver traffic to the complainant were performing adequately.  The Bureau issued a Letter of Inquiry to the Company and reviewed its written responses.</w:t>
      </w:r>
    </w:p>
    <w:p w:rsidR="00E02214" w:rsidRPr="00A909BC" w:rsidRDefault="00E02214" w:rsidP="00D93B6A">
      <w:pPr>
        <w:pStyle w:val="Heading1"/>
        <w:widowControl/>
        <w:rPr>
          <w:rFonts w:ascii="Times New Roman" w:hAnsi="Times New Roman"/>
        </w:rPr>
      </w:pPr>
      <w:bookmarkStart w:id="3" w:name="FN[FN18]"/>
      <w:bookmarkEnd w:id="3"/>
      <w:r w:rsidRPr="00A909BC">
        <w:rPr>
          <w:rFonts w:ascii="Times New Roman" w:hAnsi="Times New Roman"/>
        </w:rPr>
        <w:t>TERMS OF AGREEMENT</w:t>
      </w:r>
    </w:p>
    <w:p w:rsidR="00E02214" w:rsidRPr="00C86691" w:rsidRDefault="00E02214" w:rsidP="00D93B6A">
      <w:pPr>
        <w:pStyle w:val="ParaNum"/>
        <w:widowControl/>
      </w:pPr>
      <w:r w:rsidRPr="00C86691">
        <w:rPr>
          <w:b/>
          <w:u w:val="single"/>
        </w:rPr>
        <w:t>Adopting Order</w:t>
      </w:r>
      <w:r w:rsidR="00CE68FE" w:rsidRPr="00C86691">
        <w:t>.  The provisions of this Consent Decree shall be incorporated by the Bureau in an Adopting Order</w:t>
      </w:r>
      <w:r w:rsidRPr="00C86691">
        <w:t>.</w:t>
      </w:r>
    </w:p>
    <w:p w:rsidR="00E02214" w:rsidRPr="00C86691" w:rsidRDefault="00E02214" w:rsidP="00D93B6A">
      <w:pPr>
        <w:pStyle w:val="ParaNum"/>
        <w:widowControl/>
      </w:pPr>
      <w:r w:rsidRPr="00C86691">
        <w:rPr>
          <w:b/>
          <w:u w:val="single"/>
        </w:rPr>
        <w:t>Jurisdiction</w:t>
      </w:r>
      <w:r w:rsidRPr="00C86691">
        <w:t xml:space="preserve">.  </w:t>
      </w:r>
      <w:r w:rsidR="00BA7302">
        <w:t>inContact</w:t>
      </w:r>
      <w:r w:rsidR="0079773F">
        <w:t xml:space="preserve"> </w:t>
      </w:r>
      <w:r w:rsidRPr="00C86691">
        <w:t xml:space="preserve">agrees that the </w:t>
      </w:r>
      <w:r w:rsidR="00C055F7" w:rsidRPr="00C86691">
        <w:t xml:space="preserve">Bureau </w:t>
      </w:r>
      <w:r w:rsidRPr="00C86691">
        <w:t xml:space="preserve">has jurisdiction over </w:t>
      </w:r>
      <w:r w:rsidR="00955457">
        <w:t xml:space="preserve">the Company </w:t>
      </w:r>
      <w:r w:rsidRPr="00C86691">
        <w:t>and the matters contained in this Con</w:t>
      </w:r>
      <w:r w:rsidR="00073450" w:rsidRPr="00C86691">
        <w:t xml:space="preserve">sent Decree and </w:t>
      </w:r>
      <w:r w:rsidRPr="00C86691">
        <w:t>has the authority to enter into and adopt this Consent Decree.</w:t>
      </w:r>
    </w:p>
    <w:p w:rsidR="0013249B" w:rsidRPr="00C86691" w:rsidRDefault="00E02214" w:rsidP="00D93B6A">
      <w:pPr>
        <w:pStyle w:val="ParaNum"/>
        <w:widowControl/>
      </w:pPr>
      <w:r w:rsidRPr="00C86691">
        <w:rPr>
          <w:b/>
          <w:u w:val="single"/>
        </w:rPr>
        <w:t>Effective Date; Violations</w:t>
      </w:r>
      <w:r w:rsidRPr="00C86691">
        <w:t xml:space="preserve">.  The Parties agree that this Consent Decree shall become effective on the Effective Date as defined herein.  As of the Effective Date, the </w:t>
      </w:r>
      <w:r w:rsidR="00CE68FE" w:rsidRPr="00C86691">
        <w:t xml:space="preserve">Parties agree that </w:t>
      </w:r>
      <w:r w:rsidRPr="00C86691">
        <w:t xml:space="preserve">this Consent Decree shall have the same force and effect as any other order of the Commission.  </w:t>
      </w:r>
    </w:p>
    <w:p w:rsidR="00F16CFE" w:rsidRPr="00C86691" w:rsidRDefault="00E02214" w:rsidP="00D93B6A">
      <w:pPr>
        <w:pStyle w:val="ParaNum"/>
        <w:widowControl/>
      </w:pPr>
      <w:r w:rsidRPr="00C86691">
        <w:rPr>
          <w:b/>
          <w:u w:val="single"/>
        </w:rPr>
        <w:t>Termination of Investigation</w:t>
      </w:r>
      <w:r w:rsidRPr="00C86691">
        <w:t xml:space="preserve">.  In express reliance on the covenants and representations in this Consent Decree and to avoid further expenditure of public resources, the Bureau agrees to terminate the Investigation.  In consideration for </w:t>
      </w:r>
      <w:r w:rsidR="007A541A" w:rsidRPr="00C86691">
        <w:t xml:space="preserve">the </w:t>
      </w:r>
      <w:r w:rsidRPr="00C86691">
        <w:t xml:space="preserve">termination of the Investigation, </w:t>
      </w:r>
      <w:r w:rsidR="00EB0C7D">
        <w:t>inContact</w:t>
      </w:r>
      <w:r w:rsidR="00076C13" w:rsidRPr="00C86691">
        <w:t xml:space="preserve"> </w:t>
      </w:r>
      <w:r w:rsidR="006A0CCD" w:rsidRPr="00C86691">
        <w:t>a</w:t>
      </w:r>
      <w:r w:rsidRPr="00C86691">
        <w:t xml:space="preserve">grees to the terms, conditions, and procedures contained herein. </w:t>
      </w:r>
      <w:r w:rsidR="00073450" w:rsidRPr="00C86691">
        <w:t xml:space="preserve"> The Bureau further agrees that,</w:t>
      </w:r>
      <w:r w:rsidRPr="00C86691">
        <w:t xml:space="preserve"> in the absence of n</w:t>
      </w:r>
      <w:r w:rsidR="00076C13" w:rsidRPr="00C86691">
        <w:t>ew material evidence, it</w:t>
      </w:r>
      <w:r w:rsidRPr="00C86691">
        <w:t xml:space="preserve"> will not</w:t>
      </w:r>
      <w:r w:rsidR="00683B2D" w:rsidRPr="00C86691">
        <w:t xml:space="preserve"> use the facts developed in the</w:t>
      </w:r>
      <w:r w:rsidRPr="00C86691">
        <w:t xml:space="preserve"> Investigation through the Effective Date, or the existence of this Consent Decree, to institute</w:t>
      </w:r>
      <w:r w:rsidR="0020097E">
        <w:t>, on its own motion,</w:t>
      </w:r>
      <w:r w:rsidRPr="00C86691">
        <w:t xml:space="preserve"> any new proceeding, formal or informal, or take any action</w:t>
      </w:r>
      <w:r w:rsidR="0020097E">
        <w:t>, on its own motion,</w:t>
      </w:r>
      <w:r w:rsidRPr="00C86691">
        <w:t xml:space="preserve"> against </w:t>
      </w:r>
      <w:r w:rsidR="00EB0C7D">
        <w:t>inContact</w:t>
      </w:r>
      <w:r w:rsidR="000762EF" w:rsidRPr="007C5FAB">
        <w:t xml:space="preserve"> </w:t>
      </w:r>
      <w:r w:rsidRPr="00C86691">
        <w:t>concerning the matters that were the subject of the Investigation.  The Bureau also agrees that</w:t>
      </w:r>
      <w:r w:rsidR="00076C13" w:rsidRPr="00C86691">
        <w:t>,</w:t>
      </w:r>
      <w:r w:rsidRPr="00C86691">
        <w:t xml:space="preserve"> in the absence of new material evidence</w:t>
      </w:r>
      <w:r w:rsidR="00076C13" w:rsidRPr="00C86691">
        <w:t>,</w:t>
      </w:r>
      <w:r w:rsidRPr="00C86691">
        <w:t xml:space="preserve"> it will not</w:t>
      </w:r>
      <w:r w:rsidR="00683B2D" w:rsidRPr="00C86691">
        <w:t xml:space="preserve"> use the facts developed in the</w:t>
      </w:r>
      <w:r w:rsidRPr="00C86691">
        <w:t xml:space="preserve"> Investigation through the Effective Date, or the existence of this Consent Decree, to institute</w:t>
      </w:r>
      <w:r w:rsidR="0020097E">
        <w:t>, on its own motion,</w:t>
      </w:r>
      <w:r w:rsidRPr="00C86691">
        <w:t xml:space="preserve"> any proceeding, formal or informal, or t</w:t>
      </w:r>
      <w:r w:rsidR="0020097E">
        <w:t xml:space="preserve">o set for hearing the question of </w:t>
      </w:r>
      <w:r w:rsidR="00EB0C7D">
        <w:t>inContact</w:t>
      </w:r>
      <w:r w:rsidR="0020097E">
        <w:t>’s</w:t>
      </w:r>
      <w:r w:rsidR="007F1BAD">
        <w:t xml:space="preserve"> </w:t>
      </w:r>
      <w:r w:rsidRPr="00C86691">
        <w:t>basic qualifications</w:t>
      </w:r>
      <w:r w:rsidR="0020097E">
        <w:t xml:space="preserve"> </w:t>
      </w:r>
      <w:r w:rsidRPr="00C86691">
        <w:t>to be a Commission licensee or hold Commission licenses or authorizations</w:t>
      </w:r>
      <w:r w:rsidR="00B1444F" w:rsidRPr="00C86691">
        <w:t>.</w:t>
      </w:r>
    </w:p>
    <w:p w:rsidR="00B75A45" w:rsidRPr="00C86691" w:rsidRDefault="00C055F7" w:rsidP="00D93B6A">
      <w:pPr>
        <w:pStyle w:val="ParaNum"/>
        <w:widowControl/>
        <w:rPr>
          <w:u w:val="single"/>
        </w:rPr>
      </w:pPr>
      <w:r w:rsidRPr="00C86691">
        <w:rPr>
          <w:b/>
          <w:u w:val="single"/>
        </w:rPr>
        <w:t>Admission</w:t>
      </w:r>
      <w:r w:rsidR="003670D7">
        <w:rPr>
          <w:b/>
          <w:u w:val="single"/>
        </w:rPr>
        <w:t xml:space="preserve"> of Liability</w:t>
      </w:r>
      <w:r w:rsidR="00E66493">
        <w:t xml:space="preserve">.  </w:t>
      </w:r>
      <w:r w:rsidR="00BA7302">
        <w:t>inContact</w:t>
      </w:r>
      <w:r w:rsidR="00A27761">
        <w:t xml:space="preserve"> </w:t>
      </w:r>
      <w:r w:rsidRPr="00C86691">
        <w:t xml:space="preserve">admits </w:t>
      </w:r>
      <w:r w:rsidR="00F16CFE" w:rsidRPr="00C86691">
        <w:t xml:space="preserve">for the purpose of this Consent Decree </w:t>
      </w:r>
      <w:r w:rsidR="003670D7">
        <w:t xml:space="preserve">and for civil enforcement purposes, </w:t>
      </w:r>
      <w:r w:rsidR="00F16CFE" w:rsidRPr="00C86691">
        <w:t xml:space="preserve">and in express reliance on the provisions of paragraph </w:t>
      </w:r>
      <w:r w:rsidR="003A2E1D">
        <w:t>16</w:t>
      </w:r>
      <w:r w:rsidR="00F16CFE" w:rsidRPr="00C86691">
        <w:t xml:space="preserve"> herein,</w:t>
      </w:r>
      <w:r w:rsidR="004E0FDF" w:rsidRPr="00C86691">
        <w:t xml:space="preserve"> that</w:t>
      </w:r>
      <w:r w:rsidR="00A27761">
        <w:t xml:space="preserve"> </w:t>
      </w:r>
      <w:r w:rsidR="00383DA1">
        <w:t xml:space="preserve">it violated the Rural Call Completion Rules by </w:t>
      </w:r>
      <w:r w:rsidR="00383DA1" w:rsidRPr="00C86691">
        <w:t>fail</w:t>
      </w:r>
      <w:r w:rsidR="00383DA1">
        <w:t xml:space="preserve">ing to </w:t>
      </w:r>
      <w:r w:rsidR="00383DA1" w:rsidRPr="00C86691">
        <w:t xml:space="preserve">ensure that </w:t>
      </w:r>
      <w:r w:rsidR="00383DA1">
        <w:t xml:space="preserve">its </w:t>
      </w:r>
      <w:r w:rsidR="00FE6CBA">
        <w:t>I</w:t>
      </w:r>
      <w:r w:rsidR="00383DA1" w:rsidRPr="00C86691">
        <w:t xml:space="preserve">ntermediate </w:t>
      </w:r>
      <w:r w:rsidR="00FE6CBA">
        <w:t>P</w:t>
      </w:r>
      <w:r w:rsidR="00383DA1" w:rsidRPr="00C86691">
        <w:t>roviders</w:t>
      </w:r>
      <w:r w:rsidR="00383DA1">
        <w:t xml:space="preserve"> were performing adequately in delivering service to a consumer in a rural </w:t>
      </w:r>
      <w:r w:rsidR="00FE6CBA">
        <w:t>OCN</w:t>
      </w:r>
      <w:r w:rsidR="00973282">
        <w:t xml:space="preserve">, and that it failed to cooperate with </w:t>
      </w:r>
      <w:r w:rsidR="00FE462B">
        <w:t xml:space="preserve">the Commission’s </w:t>
      </w:r>
      <w:r w:rsidR="00FE462B" w:rsidRPr="00FC4CB8">
        <w:t>investigation of the problem</w:t>
      </w:r>
      <w:r w:rsidR="00973282">
        <w:t>.</w:t>
      </w:r>
    </w:p>
    <w:p w:rsidR="00E02214" w:rsidRPr="00C86691" w:rsidRDefault="00E02214" w:rsidP="00D93B6A">
      <w:pPr>
        <w:pStyle w:val="ParaNum"/>
        <w:widowControl/>
      </w:pPr>
      <w:bookmarkStart w:id="4" w:name="_Ref379202869"/>
      <w:r w:rsidRPr="00C86691">
        <w:rPr>
          <w:b/>
          <w:u w:val="single"/>
        </w:rPr>
        <w:t>Compliance Officer</w:t>
      </w:r>
      <w:r w:rsidRPr="00C86691">
        <w:t>.  Within thirty (30) calendar</w:t>
      </w:r>
      <w:r w:rsidR="00A27761">
        <w:t xml:space="preserve"> days after the Effective Date, inContact</w:t>
      </w:r>
      <w:r w:rsidR="00EF30D3" w:rsidRPr="00C86691">
        <w:t xml:space="preserve"> </w:t>
      </w:r>
      <w:r w:rsidRPr="00C86691">
        <w:t xml:space="preserve">shall designate a </w:t>
      </w:r>
      <w:r w:rsidR="003670D7">
        <w:t>senior corporate manager with the requisite corporate and organizational authority</w:t>
      </w:r>
      <w:r w:rsidR="00CD033B" w:rsidRPr="00C86691">
        <w:t xml:space="preserve"> </w:t>
      </w:r>
      <w:r w:rsidRPr="00C86691">
        <w:t xml:space="preserve">to serve as a Compliance Officer and to discharge the duties set forth below.  The </w:t>
      </w:r>
      <w:r w:rsidR="003670D7">
        <w:t xml:space="preserve">person designated as the </w:t>
      </w:r>
      <w:r w:rsidRPr="00C86691">
        <w:t xml:space="preserve">Compliance Officer shall be responsible </w:t>
      </w:r>
      <w:r w:rsidR="00DA1573" w:rsidRPr="00C86691">
        <w:t xml:space="preserve">for </w:t>
      </w:r>
      <w:r w:rsidRPr="00C86691">
        <w:t>developing, implementing, and ad</w:t>
      </w:r>
      <w:r w:rsidR="00DA1573" w:rsidRPr="00C86691">
        <w:t xml:space="preserve">ministering the Compliance Plan </w:t>
      </w:r>
      <w:r w:rsidR="00323039" w:rsidRPr="00C86691">
        <w:t xml:space="preserve">and </w:t>
      </w:r>
      <w:r w:rsidRPr="00C86691">
        <w:t xml:space="preserve">ensuring that </w:t>
      </w:r>
      <w:r w:rsidR="00EB0C7D">
        <w:t>inContact</w:t>
      </w:r>
      <w:r w:rsidR="00302C38" w:rsidRPr="00C86691">
        <w:t xml:space="preserve"> </w:t>
      </w:r>
      <w:r w:rsidRPr="00C86691">
        <w:t>complies with the terms and conditions of the Compliance Plan and this Consent Decree</w:t>
      </w:r>
      <w:r w:rsidR="00DA1573" w:rsidRPr="00C86691">
        <w:t xml:space="preserve">, including the investigation and resolution of </w:t>
      </w:r>
      <w:r w:rsidR="00A75547" w:rsidRPr="00C86691">
        <w:t>r</w:t>
      </w:r>
      <w:r w:rsidR="00DA1573" w:rsidRPr="00C86691">
        <w:t xml:space="preserve">ural </w:t>
      </w:r>
      <w:r w:rsidR="00A75547" w:rsidRPr="00C86691">
        <w:t>c</w:t>
      </w:r>
      <w:r w:rsidR="00DA1573" w:rsidRPr="00C86691">
        <w:t xml:space="preserve">all </w:t>
      </w:r>
      <w:r w:rsidR="00A75547" w:rsidRPr="00C86691">
        <w:t>c</w:t>
      </w:r>
      <w:r w:rsidR="00DA1573" w:rsidRPr="00C86691">
        <w:t xml:space="preserve">ompletion </w:t>
      </w:r>
      <w:r w:rsidR="003670D7">
        <w:t>complaints</w:t>
      </w:r>
      <w:r w:rsidRPr="00C86691">
        <w:t>.</w:t>
      </w:r>
      <w:r w:rsidR="00B0044E" w:rsidRPr="00C86691">
        <w:t xml:space="preserve"> </w:t>
      </w:r>
      <w:r w:rsidRPr="00C86691">
        <w:t xml:space="preserve"> In addition to the general knowledge of the Communications Laws necessary to discharge his</w:t>
      </w:r>
      <w:r w:rsidR="00B0044E" w:rsidRPr="00C86691">
        <w:t xml:space="preserve"> or </w:t>
      </w:r>
      <w:r w:rsidRPr="00C86691">
        <w:t>her duties under this Consent Decree, the Compliance Officer shall have specifi</w:t>
      </w:r>
      <w:r w:rsidR="00302C38" w:rsidRPr="00C86691">
        <w:t xml:space="preserve">c knowledge of </w:t>
      </w:r>
      <w:r w:rsidR="00450FBB" w:rsidRPr="00C86691">
        <w:t xml:space="preserve">the </w:t>
      </w:r>
      <w:r w:rsidR="00450FBB" w:rsidRPr="003670D7">
        <w:t xml:space="preserve">Rural Call Completion </w:t>
      </w:r>
      <w:r w:rsidR="000610FE" w:rsidRPr="003670D7">
        <w:t>Rules</w:t>
      </w:r>
      <w:r w:rsidR="00450FBB" w:rsidRPr="00C86691">
        <w:t xml:space="preserve"> </w:t>
      </w:r>
      <w:r w:rsidRPr="00C86691">
        <w:t>prior to assuming his/her duties.</w:t>
      </w:r>
      <w:bookmarkEnd w:id="4"/>
    </w:p>
    <w:p w:rsidR="00E612E2" w:rsidRDefault="00E02214" w:rsidP="00D93B6A">
      <w:pPr>
        <w:pStyle w:val="ParaNum"/>
        <w:widowControl/>
      </w:pPr>
      <w:bookmarkStart w:id="5" w:name="_Ref357521857"/>
      <w:r w:rsidRPr="00C86691">
        <w:rPr>
          <w:b/>
          <w:u w:val="single"/>
        </w:rPr>
        <w:t>Compliance Plan</w:t>
      </w:r>
      <w:r w:rsidRPr="00C86691">
        <w:t xml:space="preserve">.  For purposes of settling the matters set forth herein, </w:t>
      </w:r>
      <w:r w:rsidR="00172386">
        <w:t>inContact</w:t>
      </w:r>
      <w:r w:rsidR="00EA12C6" w:rsidRPr="00C86691">
        <w:t xml:space="preserve"> </w:t>
      </w:r>
      <w:r w:rsidRPr="00C86691">
        <w:t xml:space="preserve">agrees that it shall, within </w:t>
      </w:r>
      <w:r w:rsidR="004D4F44">
        <w:t>six</w:t>
      </w:r>
      <w:r w:rsidR="00C762B6" w:rsidRPr="00C86691">
        <w:t xml:space="preserve">ty </w:t>
      </w:r>
      <w:r w:rsidRPr="00C86691">
        <w:t>(</w:t>
      </w:r>
      <w:r w:rsidR="004D4F44">
        <w:t>6</w:t>
      </w:r>
      <w:r w:rsidRPr="00C86691">
        <w:t xml:space="preserve">0) calendar days after the Effective Date, develop and implement a Compliance Plan designed to ensure future compliance with the </w:t>
      </w:r>
      <w:r w:rsidR="004D4F44">
        <w:t xml:space="preserve">Communications Laws </w:t>
      </w:r>
      <w:r w:rsidRPr="00C86691">
        <w:t xml:space="preserve">and with the terms and conditions of this Consent Decree.  </w:t>
      </w:r>
    </w:p>
    <w:p w:rsidR="00E02214" w:rsidRPr="004D4F44" w:rsidRDefault="00E612E2" w:rsidP="00D93B6A">
      <w:pPr>
        <w:pStyle w:val="ParaNum"/>
        <w:widowControl/>
        <w:numPr>
          <w:ilvl w:val="0"/>
          <w:numId w:val="0"/>
        </w:numPr>
        <w:ind w:left="720"/>
      </w:pPr>
      <w:r w:rsidRPr="00E612E2">
        <w:t xml:space="preserve">(a) </w:t>
      </w:r>
      <w:r w:rsidR="00E02214" w:rsidRPr="004D4F44">
        <w:t>W</w:t>
      </w:r>
      <w:r w:rsidR="00302C38" w:rsidRPr="004D4F44">
        <w:t xml:space="preserve">ith respect to the </w:t>
      </w:r>
      <w:r w:rsidR="00212F9A" w:rsidRPr="004D4F44">
        <w:t xml:space="preserve">Rural Call Completion </w:t>
      </w:r>
      <w:r w:rsidR="00E02214" w:rsidRPr="004D4F44">
        <w:t xml:space="preserve">Rules, </w:t>
      </w:r>
      <w:r w:rsidR="00172386" w:rsidRPr="004D4F44">
        <w:t>inContact</w:t>
      </w:r>
      <w:r w:rsidR="00302C38" w:rsidRPr="004D4F44">
        <w:t xml:space="preserve"> will</w:t>
      </w:r>
      <w:r w:rsidR="00E02214" w:rsidRPr="004D4F44">
        <w:t xml:space="preserve"> implement</w:t>
      </w:r>
      <w:r w:rsidR="00073450" w:rsidRPr="004D4F44">
        <w:t>, at a minimum,</w:t>
      </w:r>
      <w:r w:rsidR="00E02214" w:rsidRPr="004D4F44">
        <w:t xml:space="preserve"> the following procedures:</w:t>
      </w:r>
      <w:bookmarkEnd w:id="5"/>
    </w:p>
    <w:p w:rsidR="00746EEE" w:rsidRPr="005C6BF8" w:rsidRDefault="00E612E2" w:rsidP="00D93B6A">
      <w:pPr>
        <w:widowControl/>
        <w:spacing w:after="120"/>
        <w:ind w:left="1440"/>
      </w:pPr>
      <w:r>
        <w:rPr>
          <w:b/>
          <w:u w:val="single"/>
        </w:rPr>
        <w:t>(1</w:t>
      </w:r>
      <w:r w:rsidR="004D4F44">
        <w:rPr>
          <w:b/>
          <w:u w:val="single"/>
        </w:rPr>
        <w:t>)</w:t>
      </w:r>
      <w:r w:rsidR="00323039" w:rsidRPr="00D53B56">
        <w:rPr>
          <w:b/>
          <w:u w:val="single"/>
        </w:rPr>
        <w:t xml:space="preserve"> </w:t>
      </w:r>
      <w:r w:rsidR="004D4F44">
        <w:rPr>
          <w:b/>
          <w:u w:val="single"/>
        </w:rPr>
        <w:t xml:space="preserve"> </w:t>
      </w:r>
      <w:r w:rsidR="00E02214" w:rsidRPr="00D53B56">
        <w:rPr>
          <w:b/>
          <w:u w:val="single"/>
        </w:rPr>
        <w:t>Operating Procedures</w:t>
      </w:r>
      <w:r w:rsidR="00E02214" w:rsidRPr="00D53B56">
        <w:t xml:space="preserve">.  </w:t>
      </w:r>
      <w:r w:rsidR="009E2D69" w:rsidRPr="009E2D69">
        <w:t xml:space="preserve">Within </w:t>
      </w:r>
      <w:r w:rsidR="000370C3">
        <w:t xml:space="preserve">sixty </w:t>
      </w:r>
      <w:r w:rsidR="009E2D69" w:rsidRPr="009E2D69">
        <w:t>(</w:t>
      </w:r>
      <w:r w:rsidR="000370C3">
        <w:t>60</w:t>
      </w:r>
      <w:r w:rsidR="009E2D69" w:rsidRPr="009E2D69">
        <w:t xml:space="preserve">) calendar days after the Effective Date, inContact shall establish Operating Procedures that all Covered Employees must follow to help ensure inContact’s compliance with the Rural Call Completion Rules and this Consent Decree.  </w:t>
      </w:r>
      <w:r w:rsidR="00BA7302">
        <w:t>inContact</w:t>
      </w:r>
      <w:r w:rsidR="009E2D69" w:rsidRPr="009E2D69">
        <w:t>’s Operating Procedures shall include internal procedures and policies specifically designed to ensure</w:t>
      </w:r>
      <w:r w:rsidR="000B47A2">
        <w:t xml:space="preserve"> </w:t>
      </w:r>
      <w:r w:rsidR="009E2D69" w:rsidRPr="009E2D69">
        <w:t xml:space="preserve">that inContact will </w:t>
      </w:r>
      <w:r w:rsidR="000B47A2">
        <w:t xml:space="preserve">timely </w:t>
      </w:r>
      <w:r w:rsidR="009E2D69" w:rsidRPr="009E2D69">
        <w:t xml:space="preserve">investigate evidence of potential rural call completion problems </w:t>
      </w:r>
      <w:r w:rsidR="000B47A2">
        <w:t xml:space="preserve">about which it knows or should know, </w:t>
      </w:r>
      <w:r w:rsidR="009E2D69" w:rsidRPr="009E2D69">
        <w:t xml:space="preserve">based upon complaints from the FCC or other regulatory agencies, customers of inContact or their agents, consumers, rural carriers, or other sources and, if inContact’s investigation </w:t>
      </w:r>
      <w:r w:rsidR="000B47A2">
        <w:t xml:space="preserve">reveals a rural </w:t>
      </w:r>
      <w:r w:rsidR="009E2D69" w:rsidRPr="009E2D69">
        <w:t xml:space="preserve">call completion problem, that the Company will </w:t>
      </w:r>
      <w:r w:rsidR="000B47A2">
        <w:t xml:space="preserve">take appropriate steps to attempt to resolve the </w:t>
      </w:r>
      <w:r w:rsidR="009E2D69" w:rsidRPr="009E2D69">
        <w:t xml:space="preserve">problem.  </w:t>
      </w:r>
      <w:r w:rsidR="00BA7302">
        <w:t>inContact</w:t>
      </w:r>
      <w:r w:rsidR="009E2D69" w:rsidRPr="009E2D69">
        <w:t xml:space="preserve"> shall also develop a Compliance Checklist that describes the steps that a Covered Employee must follow to ensure compliance with the Rural Call Completion Rules.  </w:t>
      </w:r>
    </w:p>
    <w:p w:rsidR="0055035F" w:rsidRPr="00C86691" w:rsidRDefault="00E612E2" w:rsidP="00D93B6A">
      <w:pPr>
        <w:widowControl/>
        <w:spacing w:after="120"/>
        <w:ind w:left="1440"/>
      </w:pPr>
      <w:r>
        <w:rPr>
          <w:b/>
          <w:u w:val="single"/>
        </w:rPr>
        <w:t>(2)</w:t>
      </w:r>
      <w:r w:rsidR="00323039" w:rsidRPr="00C86691">
        <w:rPr>
          <w:b/>
          <w:u w:val="single"/>
        </w:rPr>
        <w:t xml:space="preserve"> </w:t>
      </w:r>
      <w:r w:rsidR="00E02214" w:rsidRPr="00C86691">
        <w:rPr>
          <w:b/>
          <w:u w:val="single"/>
        </w:rPr>
        <w:t>Compliance Manual</w:t>
      </w:r>
      <w:r w:rsidR="00F01333">
        <w:t>.  Within six</w:t>
      </w:r>
      <w:r w:rsidR="006C7DEB" w:rsidRPr="00C86691">
        <w:t>ty (</w:t>
      </w:r>
      <w:r w:rsidR="00F01333">
        <w:t>6</w:t>
      </w:r>
      <w:r w:rsidR="00E02214" w:rsidRPr="00C86691">
        <w:t>0) calendar days after the Effective Date, the Compliance Officer shall develop and distribute a Compliance Manual to all Covered Employees.  The Compliance Manual</w:t>
      </w:r>
      <w:r w:rsidR="00302C38" w:rsidRPr="00C86691">
        <w:t xml:space="preserve"> shall explain the </w:t>
      </w:r>
      <w:r w:rsidR="009F1A33" w:rsidRPr="00C86691">
        <w:t>Rural Call Completion</w:t>
      </w:r>
      <w:r w:rsidR="00E02214" w:rsidRPr="00C86691">
        <w:t xml:space="preserve"> Rules and set forth the Operating Procedures that Covered Employees shall follow to help ensure </w:t>
      </w:r>
      <w:r w:rsidR="00172386">
        <w:t>inContact</w:t>
      </w:r>
      <w:r w:rsidR="00EA12C6" w:rsidRPr="00C86691">
        <w:t>’</w:t>
      </w:r>
      <w:r w:rsidR="00E02214" w:rsidRPr="00C86691">
        <w:t>s co</w:t>
      </w:r>
      <w:r w:rsidR="00302C38" w:rsidRPr="00C86691">
        <w:t xml:space="preserve">mpliance with the </w:t>
      </w:r>
      <w:r w:rsidR="009F1A33" w:rsidRPr="00C86691">
        <w:t>Rural Call Completion</w:t>
      </w:r>
      <w:r w:rsidR="00302C38" w:rsidRPr="00C86691">
        <w:t xml:space="preserve"> </w:t>
      </w:r>
      <w:r w:rsidR="00E02214" w:rsidRPr="00C86691">
        <w:t>Rules</w:t>
      </w:r>
      <w:r w:rsidR="0036382D" w:rsidRPr="00C86691">
        <w:t xml:space="preserve"> and this Consent Decree</w:t>
      </w:r>
      <w:r w:rsidR="00E02214" w:rsidRPr="00C86691">
        <w:t xml:space="preserve">.  </w:t>
      </w:r>
      <w:r w:rsidR="00BA7302">
        <w:t>inContact</w:t>
      </w:r>
      <w:r w:rsidR="00EA12C6" w:rsidRPr="00C86691">
        <w:t xml:space="preserve"> </w:t>
      </w:r>
      <w:r w:rsidR="00E02214" w:rsidRPr="00C86691">
        <w:t xml:space="preserve">shall periodically review and revise the Compliance Manual as necessary to ensure that the information set forth therein remains current and accurate.  </w:t>
      </w:r>
      <w:r w:rsidR="00BA7302">
        <w:t>inContact</w:t>
      </w:r>
      <w:r w:rsidR="00EA12C6" w:rsidRPr="00C86691">
        <w:t xml:space="preserve"> </w:t>
      </w:r>
      <w:r w:rsidR="00E02214" w:rsidRPr="00C86691">
        <w:t xml:space="preserve">shall distribute any revisions to the Compliance Manual promptly to </w:t>
      </w:r>
      <w:r w:rsidR="006E4E12" w:rsidRPr="00C86691">
        <w:t xml:space="preserve">all </w:t>
      </w:r>
      <w:r w:rsidR="00E02214" w:rsidRPr="00C86691">
        <w:t>Covered Employees.</w:t>
      </w:r>
    </w:p>
    <w:p w:rsidR="000C739A" w:rsidRPr="00C86691" w:rsidRDefault="00E612E2" w:rsidP="00D93B6A">
      <w:pPr>
        <w:widowControl/>
        <w:spacing w:after="120"/>
        <w:ind w:left="1440"/>
      </w:pPr>
      <w:r>
        <w:rPr>
          <w:b/>
          <w:u w:val="single"/>
        </w:rPr>
        <w:t>(3)</w:t>
      </w:r>
      <w:r w:rsidR="00323039" w:rsidRPr="00C86691">
        <w:rPr>
          <w:b/>
          <w:u w:val="single"/>
        </w:rPr>
        <w:t xml:space="preserve"> </w:t>
      </w:r>
      <w:r w:rsidR="00E02214" w:rsidRPr="00C86691">
        <w:rPr>
          <w:b/>
          <w:u w:val="single"/>
        </w:rPr>
        <w:t>Compliance Training Program</w:t>
      </w:r>
      <w:r w:rsidR="00E02214" w:rsidRPr="00C86691">
        <w:t xml:space="preserve">.  </w:t>
      </w:r>
      <w:r w:rsidR="00BA7302">
        <w:t>inContact</w:t>
      </w:r>
      <w:r w:rsidR="00EA12C6" w:rsidRPr="00C86691">
        <w:t xml:space="preserve"> </w:t>
      </w:r>
      <w:r w:rsidR="00E02214" w:rsidRPr="00C86691">
        <w:t>shall establish and implement a Compliance Training Program on c</w:t>
      </w:r>
      <w:r w:rsidR="00302C38" w:rsidRPr="00C86691">
        <w:t xml:space="preserve">ompliance with the </w:t>
      </w:r>
      <w:r w:rsidR="009F1A33" w:rsidRPr="00C86691">
        <w:t>Rural Call Completion</w:t>
      </w:r>
      <w:r w:rsidR="00E02214" w:rsidRPr="00C86691">
        <w:t xml:space="preserve"> Rules and the Operating Procedures. </w:t>
      </w:r>
      <w:r w:rsidR="00165761" w:rsidRPr="00C86691">
        <w:t xml:space="preserve"> </w:t>
      </w:r>
      <w:r w:rsidR="00E02214" w:rsidRPr="00C86691">
        <w:t xml:space="preserve">As part of the Compliance Training Program, Covered Employees shall be advised of </w:t>
      </w:r>
      <w:r w:rsidR="00172386">
        <w:t>inContact</w:t>
      </w:r>
      <w:r w:rsidR="00EA12C6" w:rsidRPr="00C86691">
        <w:t>’</w:t>
      </w:r>
      <w:r w:rsidR="00E02214" w:rsidRPr="00C86691">
        <w:t>s obligation to report any</w:t>
      </w:r>
      <w:r w:rsidR="00457700" w:rsidRPr="00C86691">
        <w:t xml:space="preserve"> </w:t>
      </w:r>
      <w:r w:rsidR="00E02214" w:rsidRPr="00C86691">
        <w:t>noncomplia</w:t>
      </w:r>
      <w:r w:rsidR="00302C38" w:rsidRPr="00C86691">
        <w:t xml:space="preserve">nce with the </w:t>
      </w:r>
      <w:r w:rsidR="009F1A33" w:rsidRPr="00C86691">
        <w:t>Rural Call Completion</w:t>
      </w:r>
      <w:r w:rsidR="00E02214" w:rsidRPr="00C86691">
        <w:t xml:space="preserve"> Rules under paragraph </w:t>
      </w:r>
      <w:r w:rsidR="005B669A">
        <w:t>20</w:t>
      </w:r>
      <w:r w:rsidR="00E02214" w:rsidRPr="00C86691">
        <w:t xml:space="preserve"> of this Consent Decree and shall be instructed on how to disclose noncompliance to the Compliance Officer.  All Covered Employees shall be trained pursuant to the Compliance Training Program within </w:t>
      </w:r>
      <w:r w:rsidR="00B44F6C">
        <w:t>sixty</w:t>
      </w:r>
      <w:r w:rsidR="00584644" w:rsidRPr="00C86691">
        <w:t xml:space="preserve"> </w:t>
      </w:r>
      <w:r w:rsidR="00E02214" w:rsidRPr="00C86691">
        <w:t>(</w:t>
      </w:r>
      <w:r w:rsidR="00B44F6C">
        <w:t>6</w:t>
      </w:r>
      <w:r w:rsidR="00E02214" w:rsidRPr="00C86691">
        <w:t>0) calendar days after the Effe</w:t>
      </w:r>
      <w:r w:rsidR="00302C38" w:rsidRPr="00C86691">
        <w:t>ctive Date, except</w:t>
      </w:r>
      <w:r w:rsidR="00BD5BEC" w:rsidRPr="00C86691">
        <w:t xml:space="preserve"> that a</w:t>
      </w:r>
      <w:r w:rsidR="00E02214" w:rsidRPr="00C86691">
        <w:t xml:space="preserve">ny person who becomes a Covered </w:t>
      </w:r>
      <w:r w:rsidR="00036B37" w:rsidRPr="00C86691">
        <w:t>Employee at any time after the i</w:t>
      </w:r>
      <w:r w:rsidR="00E02214" w:rsidRPr="00C86691">
        <w:t xml:space="preserve">nitial </w:t>
      </w:r>
      <w:r w:rsidR="006F7147" w:rsidRPr="00C86691">
        <w:t xml:space="preserve">Compliance </w:t>
      </w:r>
      <w:r w:rsidR="00E02214" w:rsidRPr="00C86691">
        <w:t xml:space="preserve">Training Program shall be trained within </w:t>
      </w:r>
      <w:r w:rsidR="00B44F6C">
        <w:t>thirty</w:t>
      </w:r>
      <w:r w:rsidR="003B4158" w:rsidRPr="00C86691">
        <w:t xml:space="preserve"> </w:t>
      </w:r>
      <w:r w:rsidR="00E02214" w:rsidRPr="00C86691">
        <w:t>(</w:t>
      </w:r>
      <w:r w:rsidR="00B44F6C">
        <w:t>3</w:t>
      </w:r>
      <w:r w:rsidR="00E02214" w:rsidRPr="00C86691">
        <w:t xml:space="preserve">0) calendar days after the date such person becomes a Covered Employee.  </w:t>
      </w:r>
      <w:r w:rsidR="00BA7302">
        <w:t>inContact</w:t>
      </w:r>
      <w:r w:rsidR="00EA12C6" w:rsidRPr="00C86691">
        <w:t xml:space="preserve"> </w:t>
      </w:r>
      <w:r w:rsidR="00036B37" w:rsidRPr="00C86691">
        <w:t>shall repeat</w:t>
      </w:r>
      <w:r w:rsidR="00E02214" w:rsidRPr="00C86691">
        <w:t xml:space="preserve"> compliance training on an annual basis, and shall periodically review and revise the Compliance Training Program as necessary to ensure that it remains current and complete and to enhance its effectiveness.</w:t>
      </w:r>
    </w:p>
    <w:p w:rsidR="00EB0C7D" w:rsidRPr="00C86691" w:rsidRDefault="00973282" w:rsidP="00D93B6A">
      <w:pPr>
        <w:pStyle w:val="ParaNum"/>
        <w:widowControl/>
        <w:numPr>
          <w:ilvl w:val="0"/>
          <w:numId w:val="0"/>
        </w:numPr>
        <w:ind w:left="720"/>
      </w:pPr>
      <w:r>
        <w:t xml:space="preserve">(b)  </w:t>
      </w:r>
      <w:r w:rsidR="00323039" w:rsidRPr="00C86691">
        <w:rPr>
          <w:b/>
          <w:u w:val="single"/>
        </w:rPr>
        <w:t>Industry Engagement</w:t>
      </w:r>
      <w:r w:rsidR="00E66493">
        <w:t xml:space="preserve">.  </w:t>
      </w:r>
      <w:r>
        <w:t>T</w:t>
      </w:r>
      <w:r w:rsidR="00E139CA" w:rsidRPr="00C86691">
        <w:t>o advance</w:t>
      </w:r>
      <w:r w:rsidR="00BE1CA3" w:rsidRPr="00C86691">
        <w:t xml:space="preserve"> </w:t>
      </w:r>
      <w:r w:rsidR="00C10327" w:rsidRPr="00C86691">
        <w:t>an industry solution to rural call completion problem</w:t>
      </w:r>
      <w:r w:rsidR="002513FB" w:rsidRPr="00C86691">
        <w:t>s</w:t>
      </w:r>
      <w:r w:rsidR="002F06FC">
        <w:t>,</w:t>
      </w:r>
      <w:r w:rsidR="00B44F6C">
        <w:t xml:space="preserve"> </w:t>
      </w:r>
      <w:r w:rsidR="00172386">
        <w:t xml:space="preserve">inContact </w:t>
      </w:r>
      <w:r w:rsidR="009F0B1F" w:rsidRPr="00C86691">
        <w:t xml:space="preserve">agrees to </w:t>
      </w:r>
      <w:r w:rsidR="00B44F6C">
        <w:t xml:space="preserve">provide information and data regarding call completion to rural areas to </w:t>
      </w:r>
      <w:r w:rsidR="008B1570" w:rsidRPr="00C86691">
        <w:t xml:space="preserve">the grantee </w:t>
      </w:r>
      <w:r w:rsidR="00172386">
        <w:t xml:space="preserve">of the </w:t>
      </w:r>
      <w:r w:rsidR="00EB0C7D">
        <w:t xml:space="preserve">rural call completion academic study in progress under the terms of the </w:t>
      </w:r>
      <w:r w:rsidR="00172386">
        <w:t xml:space="preserve">Consent Decree between the </w:t>
      </w:r>
      <w:r w:rsidR="008B1570" w:rsidRPr="00C86691">
        <w:t xml:space="preserve">Bureau </w:t>
      </w:r>
      <w:r w:rsidR="00172386">
        <w:t>and Verizon</w:t>
      </w:r>
      <w:r w:rsidR="00172386">
        <w:rPr>
          <w:rStyle w:val="FootnoteReference"/>
        </w:rPr>
        <w:footnoteReference w:id="30"/>
      </w:r>
      <w:r w:rsidR="00172386">
        <w:t xml:space="preserve"> and </w:t>
      </w:r>
      <w:r w:rsidR="008B1570" w:rsidRPr="00C86691">
        <w:t>to provide reasonable access</w:t>
      </w:r>
      <w:r w:rsidR="00756428">
        <w:t>, consistent with all legal obligations,</w:t>
      </w:r>
      <w:r w:rsidR="008B1570" w:rsidRPr="00C86691">
        <w:t xml:space="preserve"> to traffic data for the academic study.</w:t>
      </w:r>
    </w:p>
    <w:p w:rsidR="00E02214" w:rsidRPr="00C86691" w:rsidRDefault="00E02214" w:rsidP="00D93B6A">
      <w:pPr>
        <w:pStyle w:val="ParaNum"/>
        <w:widowControl/>
      </w:pPr>
      <w:bookmarkStart w:id="6" w:name="_Ref321323028"/>
      <w:r w:rsidRPr="00C86691">
        <w:rPr>
          <w:b/>
          <w:u w:val="single"/>
        </w:rPr>
        <w:t>Reporting Noncompliance</w:t>
      </w:r>
      <w:r w:rsidRPr="00C86691">
        <w:t xml:space="preserve">.  </w:t>
      </w:r>
      <w:r w:rsidR="00BA7302">
        <w:t>inContact</w:t>
      </w:r>
      <w:r w:rsidR="00EA12C6" w:rsidRPr="00C86691">
        <w:t xml:space="preserve"> </w:t>
      </w:r>
      <w:r w:rsidRPr="00C86691">
        <w:t xml:space="preserve">shall report any noncompliance with the </w:t>
      </w:r>
      <w:r w:rsidR="009F1A33" w:rsidRPr="00C86691">
        <w:t>Rural Call Completion</w:t>
      </w:r>
      <w:r w:rsidRPr="00C86691">
        <w:t xml:space="preserve"> Rules and with the terms and conditions of this Consent Decree within fifteen (15) </w:t>
      </w:r>
      <w:r w:rsidR="001311AF" w:rsidRPr="00C86691">
        <w:t xml:space="preserve">business </w:t>
      </w:r>
      <w:r w:rsidRPr="00C86691">
        <w:t>days after discovery of such noncompliance.  Such reports shall include a detailed explanation of</w:t>
      </w:r>
      <w:r w:rsidR="008A7975" w:rsidRPr="00C86691">
        <w:t>:</w:t>
      </w:r>
      <w:r w:rsidRPr="00C86691">
        <w:t xml:space="preserve"> </w:t>
      </w:r>
      <w:r w:rsidR="008A7975" w:rsidRPr="00C86691">
        <w:t xml:space="preserve"> </w:t>
      </w:r>
      <w:r w:rsidRPr="00C86691">
        <w:t xml:space="preserve">(i) each instance of noncompliance; (ii) the steps that </w:t>
      </w:r>
      <w:r w:rsidR="00EB0C7D">
        <w:t>inContact</w:t>
      </w:r>
      <w:r w:rsidR="003533DC" w:rsidRPr="00C86691">
        <w:t xml:space="preserve"> </w:t>
      </w:r>
      <w:r w:rsidRPr="00C86691">
        <w:t xml:space="preserve">has taken or will take to remedy such noncompliance; (iii) the schedule on which such remedial actions will be taken; and (iv) the steps that </w:t>
      </w:r>
      <w:r w:rsidR="00EB0C7D">
        <w:t>inContact</w:t>
      </w:r>
      <w:r w:rsidR="00EA12C6" w:rsidRPr="00C86691">
        <w:t xml:space="preserve"> </w:t>
      </w:r>
      <w:r w:rsidRPr="00C86691">
        <w:t>has taken or will take to prevent the recurrence of any such noncompliance.  All reports of noncompliance shall be submitted to</w:t>
      </w:r>
      <w:r w:rsidR="00BE103C" w:rsidRPr="00C86691">
        <w:t xml:space="preserve"> </w:t>
      </w:r>
      <w:r w:rsidR="006510C3" w:rsidRPr="004B71AB">
        <w:t>the Chief, Investigations and Hearings Division, Enforcement Bureau, Federal Communications Commission, 445 12</w:t>
      </w:r>
      <w:r w:rsidR="006510C3" w:rsidRPr="000211F7">
        <w:rPr>
          <w:vertAlign w:val="superscript"/>
        </w:rPr>
        <w:t>th</w:t>
      </w:r>
      <w:r w:rsidR="006510C3">
        <w:t xml:space="preserve"> Street, SW, Room 4-C</w:t>
      </w:r>
      <w:r w:rsidR="006510C3" w:rsidRPr="004B71AB">
        <w:t xml:space="preserve">224, Washington, DC 20554, with a copy submitted electronically to </w:t>
      </w:r>
      <w:r w:rsidR="006510C3">
        <w:t xml:space="preserve">Jeffrey </w:t>
      </w:r>
      <w:r w:rsidR="0047159B">
        <w:t xml:space="preserve">J. </w:t>
      </w:r>
      <w:r w:rsidR="006510C3">
        <w:t xml:space="preserve">Gee </w:t>
      </w:r>
      <w:r w:rsidR="006510C3" w:rsidRPr="00C3599E">
        <w:t xml:space="preserve">at </w:t>
      </w:r>
      <w:hyperlink r:id="rId14" w:history="1">
        <w:r w:rsidR="000E435D" w:rsidRPr="00502663">
          <w:rPr>
            <w:rStyle w:val="Hyperlink"/>
          </w:rPr>
          <w:t>Jeffrey.Gee@fcc.gov</w:t>
        </w:r>
      </w:hyperlink>
      <w:r w:rsidR="006510C3" w:rsidRPr="00D162E2">
        <w:t xml:space="preserve"> and </w:t>
      </w:r>
      <w:r w:rsidR="006510C3">
        <w:t xml:space="preserve">Margaret Dailey at </w:t>
      </w:r>
      <w:hyperlink r:id="rId15" w:history="1">
        <w:r w:rsidR="000E435D" w:rsidRPr="00D73618">
          <w:rPr>
            <w:rStyle w:val="Hyperlink"/>
          </w:rPr>
          <w:t>Margaret.Dailey@fcc.gov</w:t>
        </w:r>
      </w:hyperlink>
      <w:r w:rsidR="006510C3" w:rsidRPr="00D162E2">
        <w:t>.</w:t>
      </w:r>
      <w:r w:rsidR="006510C3">
        <w:t xml:space="preserve"> </w:t>
      </w:r>
      <w:bookmarkEnd w:id="6"/>
    </w:p>
    <w:p w:rsidR="00E02214" w:rsidRPr="00C86691" w:rsidRDefault="00E02214" w:rsidP="00D93B6A">
      <w:pPr>
        <w:pStyle w:val="ParaNum"/>
        <w:widowControl/>
        <w:rPr>
          <w:caps/>
        </w:rPr>
      </w:pPr>
      <w:bookmarkStart w:id="7" w:name="_Ref379202892"/>
      <w:r w:rsidRPr="00C86691">
        <w:rPr>
          <w:b/>
          <w:u w:val="single"/>
        </w:rPr>
        <w:t>Compliance Reports</w:t>
      </w:r>
      <w:r w:rsidRPr="00C86691">
        <w:t xml:space="preserve">.  </w:t>
      </w:r>
      <w:r w:rsidR="00BA7302">
        <w:t>inContact</w:t>
      </w:r>
      <w:r w:rsidR="003533DC" w:rsidRPr="00C86691">
        <w:t xml:space="preserve"> </w:t>
      </w:r>
      <w:r w:rsidRPr="00C86691">
        <w:t xml:space="preserve">shall file </w:t>
      </w:r>
      <w:r w:rsidR="00014484" w:rsidRPr="00C86691">
        <w:t>c</w:t>
      </w:r>
      <w:r w:rsidRPr="00C86691">
        <w:t xml:space="preserve">ompliance </w:t>
      </w:r>
      <w:r w:rsidR="00014484" w:rsidRPr="00C86691">
        <w:t>r</w:t>
      </w:r>
      <w:r w:rsidRPr="00C86691">
        <w:t xml:space="preserve">eports with the Commission </w:t>
      </w:r>
      <w:r w:rsidR="00B44F6C">
        <w:t xml:space="preserve">ninety (90) </w:t>
      </w:r>
      <w:r w:rsidRPr="00C86691">
        <w:t>calendar days after the Effective Date, twelve (12) months after the Effective Date, twenty-four (24) months after the Effective Date, and thirty-six (36) months after the Effective Date.</w:t>
      </w:r>
      <w:bookmarkEnd w:id="7"/>
      <w:r w:rsidR="003533DC" w:rsidRPr="00C86691">
        <w:t xml:space="preserve">  </w:t>
      </w:r>
    </w:p>
    <w:p w:rsidR="00E02214" w:rsidRPr="00C86691" w:rsidRDefault="00E02214" w:rsidP="00D93B6A">
      <w:pPr>
        <w:widowControl/>
        <w:numPr>
          <w:ilvl w:val="0"/>
          <w:numId w:val="7"/>
        </w:numPr>
        <w:tabs>
          <w:tab w:val="clear" w:pos="1782"/>
        </w:tabs>
        <w:spacing w:after="120"/>
        <w:ind w:left="1886"/>
      </w:pPr>
      <w:r w:rsidRPr="00C86691">
        <w:t xml:space="preserve">Each Compliance Report shall include a detailed description of </w:t>
      </w:r>
      <w:r w:rsidR="00EB0C7D">
        <w:t>inContact</w:t>
      </w:r>
      <w:r w:rsidR="00EA12C6" w:rsidRPr="00C86691">
        <w:t>’</w:t>
      </w:r>
      <w:r w:rsidRPr="00C86691">
        <w:t xml:space="preserve">s efforts during the relevant period to comply with the terms and conditions of this Consent Decree and the </w:t>
      </w:r>
      <w:r w:rsidR="009F1A33" w:rsidRPr="00C86691">
        <w:t>Rural Call Completion</w:t>
      </w:r>
      <w:r w:rsidRPr="00C86691">
        <w:t xml:space="preserve"> Rules.  In addition, each Compliance Report shall include a certification by the Compliance Officer, as an agent of and on behalf of </w:t>
      </w:r>
      <w:r w:rsidR="00EB0C7D">
        <w:t>inContact</w:t>
      </w:r>
      <w:r w:rsidR="008D2180" w:rsidRPr="00C86691">
        <w:t>,</w:t>
      </w:r>
      <w:r w:rsidRPr="00C86691">
        <w:t xml:space="preserve"> stating that the Compliance Officer has personal knowledge that </w:t>
      </w:r>
      <w:r w:rsidR="00EB0C7D">
        <w:t>inContact</w:t>
      </w:r>
      <w:r w:rsidR="003533DC" w:rsidRPr="00C86691">
        <w:t>:</w:t>
      </w:r>
      <w:r w:rsidR="00EA12C6" w:rsidRPr="00C86691">
        <w:t xml:space="preserve"> </w:t>
      </w:r>
      <w:r w:rsidR="003533DC" w:rsidRPr="00C86691">
        <w:t xml:space="preserve"> </w:t>
      </w:r>
      <w:r w:rsidRPr="00C86691">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5B669A" w:rsidRPr="00B7430B">
        <w:rPr>
          <w:caps/>
        </w:rPr>
        <w:t xml:space="preserve">20 </w:t>
      </w:r>
      <w:r w:rsidRPr="00C86691">
        <w:t>of this Consent Decree.</w:t>
      </w:r>
    </w:p>
    <w:p w:rsidR="00E02214" w:rsidRPr="00C86691" w:rsidRDefault="00E02214" w:rsidP="00D93B6A">
      <w:pPr>
        <w:widowControl/>
        <w:numPr>
          <w:ilvl w:val="0"/>
          <w:numId w:val="7"/>
        </w:numPr>
        <w:tabs>
          <w:tab w:val="clear" w:pos="1782"/>
        </w:tabs>
        <w:spacing w:after="120"/>
        <w:ind w:left="1886"/>
      </w:pPr>
      <w:r w:rsidRPr="00C86691">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C86691">
        <w:rPr>
          <w:rStyle w:val="FootnoteReference"/>
          <w:sz w:val="22"/>
        </w:rPr>
        <w:footnoteReference w:id="31"/>
      </w:r>
    </w:p>
    <w:p w:rsidR="006510C3" w:rsidRDefault="00E02214" w:rsidP="00D93B6A">
      <w:pPr>
        <w:widowControl/>
        <w:numPr>
          <w:ilvl w:val="0"/>
          <w:numId w:val="7"/>
        </w:numPr>
        <w:tabs>
          <w:tab w:val="clear" w:pos="1782"/>
        </w:tabs>
        <w:spacing w:after="120"/>
        <w:ind w:left="1886"/>
      </w:pPr>
      <w:r w:rsidRPr="006510C3">
        <w:t xml:space="preserve">If the Compliance Officer cannot provide the requisite certification, the Compliance Officer, as an agent of and on behalf of </w:t>
      </w:r>
      <w:r w:rsidR="00EB0C7D">
        <w:t>inContact</w:t>
      </w:r>
      <w:r w:rsidR="00593AD8" w:rsidRPr="006510C3">
        <w:t>,</w:t>
      </w:r>
      <w:r w:rsidRPr="006510C3">
        <w:t xml:space="preserve"> shall provide the Commission with a detailed explanation of the reason(s) why and describe fully</w:t>
      </w:r>
      <w:r w:rsidR="003533DC" w:rsidRPr="006510C3">
        <w:t>:</w:t>
      </w:r>
      <w:r w:rsidRPr="006510C3">
        <w:t xml:space="preserve"> </w:t>
      </w:r>
      <w:r w:rsidR="003533DC" w:rsidRPr="006510C3">
        <w:t xml:space="preserve"> </w:t>
      </w:r>
      <w:r w:rsidRPr="006510C3">
        <w:t xml:space="preserve">(i) each instance of noncompliance; (ii) the steps that </w:t>
      </w:r>
      <w:r w:rsidR="00EB0C7D">
        <w:t>inContact</w:t>
      </w:r>
      <w:r w:rsidRPr="006510C3">
        <w:t xml:space="preserve"> has taken or will take to remedy such noncompliance, including the schedule on which proposed remedial actions will be taken; and (iii) the steps that </w:t>
      </w:r>
      <w:r w:rsidR="00EB0C7D">
        <w:t>inContact</w:t>
      </w:r>
      <w:r w:rsidRPr="006510C3">
        <w:t xml:space="preserve"> has taken or will take to prevent the recurrence of any such noncompliance, including the schedule on which such preventive action will be taken.</w:t>
      </w:r>
    </w:p>
    <w:p w:rsidR="006510C3" w:rsidRPr="006510C3" w:rsidRDefault="00E02214" w:rsidP="00D93B6A">
      <w:pPr>
        <w:widowControl/>
        <w:numPr>
          <w:ilvl w:val="0"/>
          <w:numId w:val="7"/>
        </w:numPr>
        <w:tabs>
          <w:tab w:val="clear" w:pos="1782"/>
        </w:tabs>
        <w:spacing w:after="120"/>
        <w:ind w:left="1886"/>
      </w:pPr>
      <w:r w:rsidRPr="006510C3">
        <w:t xml:space="preserve">All Compliance Reports shall be submitted </w:t>
      </w:r>
      <w:r w:rsidR="006510C3" w:rsidRPr="006510C3">
        <w:t xml:space="preserve"> to </w:t>
      </w:r>
      <w:r w:rsidR="006510C3" w:rsidRPr="004B71AB">
        <w:t>the Chief, Investigations and Hearings Division, Enforcement Bureau, Federal Communications Commission, 445 12</w:t>
      </w:r>
      <w:r w:rsidR="006510C3" w:rsidRPr="006510C3">
        <w:rPr>
          <w:vertAlign w:val="superscript"/>
        </w:rPr>
        <w:t>th</w:t>
      </w:r>
      <w:r w:rsidR="006510C3">
        <w:t xml:space="preserve"> Street, SW, Room 4-C</w:t>
      </w:r>
      <w:r w:rsidR="006510C3" w:rsidRPr="004B71AB">
        <w:t xml:space="preserve">224, Washington, DC 20554, with a copy submitted electronically to </w:t>
      </w:r>
      <w:r w:rsidR="006510C3">
        <w:t xml:space="preserve">Jeffrey </w:t>
      </w:r>
      <w:r w:rsidR="0047159B">
        <w:t xml:space="preserve">J. </w:t>
      </w:r>
      <w:r w:rsidR="006510C3">
        <w:t xml:space="preserve">Gee </w:t>
      </w:r>
      <w:r w:rsidR="006510C3" w:rsidRPr="00C3599E">
        <w:t xml:space="preserve">at </w:t>
      </w:r>
      <w:hyperlink r:id="rId16" w:history="1">
        <w:r w:rsidR="000E435D" w:rsidRPr="002F06FC">
          <w:rPr>
            <w:rStyle w:val="Hyperlink"/>
          </w:rPr>
          <w:t>Jeffrey.Gee@fcc.gov</w:t>
        </w:r>
      </w:hyperlink>
      <w:r w:rsidR="006510C3" w:rsidRPr="00D162E2">
        <w:t xml:space="preserve"> and </w:t>
      </w:r>
      <w:r w:rsidR="006510C3">
        <w:t xml:space="preserve">Margaret Dailey at </w:t>
      </w:r>
      <w:hyperlink r:id="rId17" w:history="1">
        <w:r w:rsidR="000E435D" w:rsidRPr="00D73618">
          <w:rPr>
            <w:rStyle w:val="Hyperlink"/>
          </w:rPr>
          <w:t>Margaret.Dailey@fcc.gov</w:t>
        </w:r>
      </w:hyperlink>
      <w:r w:rsidR="006510C3" w:rsidRPr="00D162E2">
        <w:t>.</w:t>
      </w:r>
      <w:r w:rsidR="006510C3">
        <w:t xml:space="preserve"> </w:t>
      </w:r>
    </w:p>
    <w:p w:rsidR="008A2AD9" w:rsidRPr="005B572D" w:rsidRDefault="00E02214" w:rsidP="00D93B6A">
      <w:pPr>
        <w:pStyle w:val="ParaNum"/>
        <w:widowControl/>
      </w:pPr>
      <w:r w:rsidRPr="005B572D">
        <w:rPr>
          <w:b/>
          <w:u w:val="single"/>
        </w:rPr>
        <w:t>Termination Date</w:t>
      </w:r>
      <w:r w:rsidRPr="005B572D">
        <w:t xml:space="preserve">. </w:t>
      </w:r>
      <w:r w:rsidRPr="005B572D">
        <w:rPr>
          <w:b/>
        </w:rPr>
        <w:t xml:space="preserve"> </w:t>
      </w:r>
      <w:r w:rsidRPr="005B572D">
        <w:t xml:space="preserve">Unless stated otherwise, the </w:t>
      </w:r>
      <w:r w:rsidR="00C3652C" w:rsidRPr="005B572D">
        <w:t>requirement</w:t>
      </w:r>
      <w:r w:rsidRPr="005B572D">
        <w:t xml:space="preserve">s set forth in paragraphs </w:t>
      </w:r>
      <w:r w:rsidR="005B669A" w:rsidRPr="00B7430B">
        <w:t>18</w:t>
      </w:r>
      <w:r w:rsidR="005B572D" w:rsidRPr="003A2E1D">
        <w:t xml:space="preserve"> </w:t>
      </w:r>
      <w:r w:rsidRPr="005B572D">
        <w:t>through</w:t>
      </w:r>
      <w:r w:rsidR="005B669A">
        <w:t xml:space="preserve"> 21</w:t>
      </w:r>
      <w:r w:rsidRPr="005B572D">
        <w:t xml:space="preserve"> of this Consent Decree shall expire thirty-six (36) months after the Effective Date.</w:t>
      </w:r>
      <w:r w:rsidR="0070112A" w:rsidRPr="005B572D">
        <w:t xml:space="preserve">  </w:t>
      </w:r>
    </w:p>
    <w:p w:rsidR="00E02214" w:rsidRPr="005B572D" w:rsidRDefault="00E02214" w:rsidP="00D93B6A">
      <w:pPr>
        <w:pStyle w:val="ParaNum"/>
        <w:widowControl/>
      </w:pPr>
      <w:r w:rsidRPr="005B572D">
        <w:rPr>
          <w:b/>
          <w:u w:val="single"/>
        </w:rPr>
        <w:t>Section 208 Complaints; Subsequent Investigations</w:t>
      </w:r>
      <w:r w:rsidRPr="005B572D">
        <w:t>.  Nothing in this Consent Decree shall prevent the Commission or its delegated authority from adjudicating complaints filed pursuant to Section 208 of the Act</w:t>
      </w:r>
      <w:r w:rsidRPr="005B572D">
        <w:rPr>
          <w:rStyle w:val="FootnoteReference"/>
          <w:sz w:val="22"/>
        </w:rPr>
        <w:footnoteReference w:id="32"/>
      </w:r>
      <w:r w:rsidRPr="005B572D">
        <w:t xml:space="preserve"> against </w:t>
      </w:r>
      <w:r w:rsidR="00EB0C7D" w:rsidRPr="005B572D">
        <w:t>inContact</w:t>
      </w:r>
      <w:r w:rsidR="00EA12C6" w:rsidRPr="005B572D">
        <w:t xml:space="preserve"> </w:t>
      </w:r>
      <w:r w:rsidRPr="005B572D">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EB0C7D" w:rsidRPr="005B572D">
        <w:t>inContact</w:t>
      </w:r>
      <w:r w:rsidR="00EA12C6" w:rsidRPr="005B572D">
        <w:t xml:space="preserve"> </w:t>
      </w:r>
      <w:r w:rsidRPr="005B572D">
        <w:t>with the Communications Laws.</w:t>
      </w:r>
      <w:r w:rsidR="007B0D37" w:rsidRPr="005B572D">
        <w:rPr>
          <w:b/>
        </w:rPr>
        <w:t xml:space="preserve"> </w:t>
      </w:r>
    </w:p>
    <w:p w:rsidR="00E02214" w:rsidRPr="00A73ECB" w:rsidRDefault="00CA400B" w:rsidP="00D93B6A">
      <w:pPr>
        <w:pStyle w:val="ParaNum"/>
        <w:widowControl/>
      </w:pPr>
      <w:bookmarkStart w:id="8" w:name="_Ref357521957"/>
      <w:r w:rsidRPr="005B572D">
        <w:rPr>
          <w:b/>
          <w:u w:val="single"/>
        </w:rPr>
        <w:t>Civil Pe</w:t>
      </w:r>
      <w:r>
        <w:rPr>
          <w:b/>
          <w:u w:val="single"/>
        </w:rPr>
        <w:t>nalty</w:t>
      </w:r>
      <w:r w:rsidR="00E66493">
        <w:t xml:space="preserve">.  </w:t>
      </w:r>
      <w:r w:rsidR="00BA7302">
        <w:t>inContact</w:t>
      </w:r>
      <w:r w:rsidR="000418B0" w:rsidRPr="00C86691">
        <w:t xml:space="preserve"> will pay</w:t>
      </w:r>
      <w:r w:rsidR="00593AD8" w:rsidRPr="00C86691">
        <w:t xml:space="preserve"> a</w:t>
      </w:r>
      <w:r w:rsidR="000418B0" w:rsidRPr="00C86691">
        <w:t xml:space="preserve"> </w:t>
      </w:r>
      <w:r>
        <w:t xml:space="preserve">civil penalty </w:t>
      </w:r>
      <w:r w:rsidR="000418B0" w:rsidRPr="00C86691">
        <w:t xml:space="preserve">to the United States Treasury in the amount of </w:t>
      </w:r>
      <w:r w:rsidR="00EB0C7D">
        <w:t xml:space="preserve">One Hundred Thousand </w:t>
      </w:r>
      <w:r w:rsidR="000418B0" w:rsidRPr="00C86691">
        <w:t>Dollars ($</w:t>
      </w:r>
      <w:r w:rsidR="00EB0C7D">
        <w:t>1</w:t>
      </w:r>
      <w:r w:rsidR="000418B0" w:rsidRPr="00C86691">
        <w:t>00,000) within thirty (30) calendar days of the Effective Date.</w:t>
      </w:r>
      <w:r w:rsidR="000418B0" w:rsidRPr="00C86691">
        <w:rPr>
          <w:i/>
        </w:rPr>
        <w:t xml:space="preserve">  </w:t>
      </w:r>
      <w:r w:rsidR="00BA7302">
        <w:t>inContact</w:t>
      </w:r>
      <w:r w:rsidR="00806024" w:rsidRPr="00C86691">
        <w:t xml:space="preserve"> </w:t>
      </w:r>
      <w:r w:rsidR="00E02214" w:rsidRPr="00C86691">
        <w:t xml:space="preserve">shall send electronic notification of payment to </w:t>
      </w:r>
      <w:r w:rsidR="0004420C">
        <w:t xml:space="preserve">Jeffrey </w:t>
      </w:r>
      <w:r w:rsidR="0047159B">
        <w:t xml:space="preserve">J. </w:t>
      </w:r>
      <w:r w:rsidR="0004420C">
        <w:t xml:space="preserve">Gee </w:t>
      </w:r>
      <w:r w:rsidR="0004420C" w:rsidRPr="00C3599E">
        <w:t xml:space="preserve">at </w:t>
      </w:r>
      <w:hyperlink r:id="rId18" w:history="1">
        <w:r w:rsidR="000E435D" w:rsidRPr="00F571A8">
          <w:rPr>
            <w:rStyle w:val="Hyperlink"/>
          </w:rPr>
          <w:t>Jeffrey.Gee@fcc.gov</w:t>
        </w:r>
      </w:hyperlink>
      <w:r w:rsidR="000E435D">
        <w:t xml:space="preserve"> </w:t>
      </w:r>
      <w:r w:rsidR="0004420C" w:rsidRPr="00D162E2">
        <w:t xml:space="preserve">and </w:t>
      </w:r>
      <w:r w:rsidR="0004420C">
        <w:t xml:space="preserve">Margaret Dailey at </w:t>
      </w:r>
      <w:hyperlink r:id="rId19" w:history="1">
        <w:r w:rsidR="000E435D" w:rsidRPr="00D73618">
          <w:rPr>
            <w:rStyle w:val="Hyperlink"/>
          </w:rPr>
          <w:t>Margaret.Dailey@fcc.gov</w:t>
        </w:r>
      </w:hyperlink>
      <w:r w:rsidR="000E435D">
        <w:t xml:space="preserve"> </w:t>
      </w:r>
      <w:r w:rsidR="006C3459" w:rsidRPr="00C86691">
        <w:t xml:space="preserve">on the date said payment </w:t>
      </w:r>
      <w:r w:rsidR="00806024" w:rsidRPr="00C86691">
        <w:t>is made</w:t>
      </w:r>
      <w:r w:rsidR="00302AC4" w:rsidRPr="00C86691">
        <w:t>.</w:t>
      </w:r>
      <w:bookmarkEnd w:id="8"/>
      <w:r w:rsidR="003533DC" w:rsidRPr="00C86691">
        <w:t xml:space="preserve">  </w:t>
      </w:r>
      <w:r w:rsidR="00806024" w:rsidRPr="00C86691">
        <w:t xml:space="preserve">The </w:t>
      </w:r>
      <w:r w:rsidR="00562DFF" w:rsidRPr="00C86691">
        <w:t xml:space="preserve">payment </w:t>
      </w:r>
      <w:r w:rsidR="00E02214" w:rsidRPr="00C86691">
        <w:t xml:space="preserve">must be made by check or similar instrument, wire transfer, or credit card, and must include the </w:t>
      </w:r>
      <w:r w:rsidR="008A2AD9" w:rsidRPr="00C86691">
        <w:t xml:space="preserve">Account Number </w:t>
      </w:r>
      <w:r w:rsidR="003533DC" w:rsidRPr="00C86691">
        <w:t xml:space="preserve">and FRN referenced </w:t>
      </w:r>
      <w:r w:rsidR="00E02214" w:rsidRPr="00C86691">
        <w:t>above</w:t>
      </w:r>
      <w:r w:rsidR="00850299" w:rsidRPr="00C86691">
        <w:rPr>
          <w:b/>
        </w:rPr>
        <w:t>.</w:t>
      </w:r>
      <w:r w:rsidR="00E02214" w:rsidRPr="00C86691">
        <w:t xml:space="preserve"> </w:t>
      </w:r>
      <w:r w:rsidR="003533DC" w:rsidRPr="00C86691">
        <w:t xml:space="preserve"> </w:t>
      </w:r>
      <w:r w:rsidR="00E02214" w:rsidRPr="00C86691">
        <w:t>Regardless of the form of payment, a completed FCC Form 159 (Remittance Advice) must be submitted.</w:t>
      </w:r>
      <w:r w:rsidR="00E02214" w:rsidRPr="00C86691">
        <w:rPr>
          <w:rStyle w:val="FootnoteReference"/>
          <w:sz w:val="22"/>
        </w:rPr>
        <w:footnoteReference w:id="33"/>
      </w:r>
      <w:r w:rsidR="00E02214" w:rsidRPr="00C86691">
        <w:t xml:space="preserve">  When completing the FCC Form 159, enter the Account Number in block number 23A (call sign/other ID) and enter the letters “FORF” in block number 24A (payment type code).  Below are additional instructions </w:t>
      </w:r>
      <w:r w:rsidR="0004267E" w:rsidRPr="00C86691">
        <w:t>that should be followed based on the form of payment selected</w:t>
      </w:r>
      <w:r w:rsidR="00E02214" w:rsidRPr="00A73ECB">
        <w:t>:</w:t>
      </w:r>
    </w:p>
    <w:p w:rsidR="00E02214" w:rsidRPr="00C86691" w:rsidRDefault="00E02214" w:rsidP="00D93B6A">
      <w:pPr>
        <w:pStyle w:val="ParaNum"/>
        <w:widowControl/>
        <w:numPr>
          <w:ilvl w:val="0"/>
          <w:numId w:val="9"/>
        </w:numPr>
        <w:rPr>
          <w:rFonts w:eastAsia="MS Mincho"/>
        </w:rPr>
      </w:pPr>
      <w:r w:rsidRPr="00C86691">
        <w:rPr>
          <w:rFonts w:eastAsia="MS Mincho"/>
        </w:rPr>
        <w:t xml:space="preserve">Payment by check or money order must be made payable to the order of the Federal Communications Commission.  Such payments (along with the completed Form 159) must be mailed to Federal Communications </w:t>
      </w:r>
      <w:r w:rsidR="001278CC" w:rsidRPr="00C86691">
        <w:rPr>
          <w:rFonts w:eastAsia="MS Mincho"/>
        </w:rPr>
        <w:t>Commission, P.O. Box 979088, St.</w:t>
      </w:r>
      <w:r w:rsidRPr="00C86691">
        <w:rPr>
          <w:rFonts w:eastAsia="MS Mincho"/>
        </w:rPr>
        <w:t> Louis, MO 63197-9000, or sent via overnight mail to U.S. Bank – Government Lockbox #979088, SL</w:t>
      </w:r>
      <w:r w:rsidRPr="00C86691">
        <w:rPr>
          <w:rFonts w:eastAsia="MS Mincho"/>
        </w:rPr>
        <w:noBreakHyphen/>
        <w:t>MO</w:t>
      </w:r>
      <w:r w:rsidRPr="00C86691">
        <w:rPr>
          <w:rFonts w:eastAsia="MS Mincho"/>
        </w:rPr>
        <w:noBreakHyphen/>
        <w:t>C2</w:t>
      </w:r>
      <w:r w:rsidRPr="00C86691">
        <w:rPr>
          <w:rFonts w:eastAsia="MS Mincho"/>
        </w:rPr>
        <w:noBreakHyphen/>
        <w:t>GL, 1005 Convention Plaza, St. Louis, MO 63101.</w:t>
      </w:r>
    </w:p>
    <w:p w:rsidR="00E02214" w:rsidRPr="00C86691" w:rsidRDefault="00E02214" w:rsidP="00D93B6A">
      <w:pPr>
        <w:pStyle w:val="ParaNum"/>
        <w:widowControl/>
        <w:numPr>
          <w:ilvl w:val="0"/>
          <w:numId w:val="9"/>
        </w:numPr>
        <w:rPr>
          <w:rFonts w:eastAsia="MS Mincho"/>
        </w:rPr>
      </w:pPr>
      <w:r w:rsidRPr="00C86691">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E02214" w:rsidRPr="00C86691" w:rsidRDefault="00E02214" w:rsidP="00D93B6A">
      <w:pPr>
        <w:pStyle w:val="ParaNum"/>
        <w:widowControl/>
        <w:numPr>
          <w:ilvl w:val="0"/>
          <w:numId w:val="9"/>
        </w:numPr>
        <w:rPr>
          <w:rFonts w:eastAsia="MS Mincho"/>
        </w:rPr>
      </w:pPr>
      <w:r w:rsidRPr="00C86691">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9279FD" w:rsidRPr="00C86691" w:rsidRDefault="00E02214" w:rsidP="00D93B6A">
      <w:pPr>
        <w:widowControl/>
        <w:spacing w:after="120"/>
        <w:rPr>
          <w:rFonts w:eastAsia="MS Mincho"/>
        </w:rPr>
      </w:pPr>
      <w:r w:rsidRPr="00C86691">
        <w:rPr>
          <w:rFonts w:eastAsia="MS Mincho"/>
        </w:rPr>
        <w:t>Questions regarding payment procedure</w:t>
      </w:r>
      <w:r w:rsidR="001278CC" w:rsidRPr="00C86691">
        <w:rPr>
          <w:rFonts w:eastAsia="MS Mincho"/>
        </w:rPr>
        <w:t>s</w:t>
      </w:r>
      <w:r w:rsidRPr="00C86691">
        <w:rPr>
          <w:rFonts w:eastAsia="MS Mincho"/>
        </w:rPr>
        <w:t xml:space="preserve"> should be addressed to the Financial Operations Group Help Desk by phone, 1-877-480-3201, or by e-mail, </w:t>
      </w:r>
      <w:hyperlink r:id="rId20" w:history="1">
        <w:r w:rsidR="000E435D" w:rsidRPr="00D73618">
          <w:rPr>
            <w:rStyle w:val="Hyperlink"/>
            <w:rFonts w:eastAsia="MS Mincho"/>
          </w:rPr>
          <w:t>ARINQUIRIES@fcc.gov</w:t>
        </w:r>
      </w:hyperlink>
      <w:r w:rsidRPr="00C86691">
        <w:rPr>
          <w:rFonts w:eastAsia="MS Mincho"/>
        </w:rPr>
        <w:t>.</w:t>
      </w:r>
    </w:p>
    <w:p w:rsidR="00E02214" w:rsidRPr="00C86691" w:rsidRDefault="00E02214" w:rsidP="00D93B6A">
      <w:pPr>
        <w:pStyle w:val="ParaNum"/>
        <w:widowControl/>
      </w:pPr>
      <w:r w:rsidRPr="00C86691">
        <w:rPr>
          <w:b/>
          <w:u w:val="single"/>
        </w:rPr>
        <w:t>Waivers</w:t>
      </w:r>
      <w:r w:rsidRPr="00C86691">
        <w:t xml:space="preserve">.  </w:t>
      </w:r>
      <w:r w:rsidR="00CE68FE" w:rsidRPr="00C86691">
        <w:t xml:space="preserve">As of the Effective Date, </w:t>
      </w:r>
      <w:r w:rsidR="00EB0C7D">
        <w:t>inContact</w:t>
      </w:r>
      <w:r w:rsidRPr="00C86691">
        <w:t xml:space="preserve"> waives any and all rights it may have to seek administrative or judicial reconsideration, review, appeal or stay, or to otherwise challenge or contest the validity of this Consent Decree and the Adoptin</w:t>
      </w:r>
      <w:r w:rsidR="00CE68FE" w:rsidRPr="00C86691">
        <w:t>g Order</w:t>
      </w:r>
      <w:r w:rsidRPr="00C86691">
        <w:t xml:space="preserve">.  </w:t>
      </w:r>
      <w:r w:rsidR="00BA7302">
        <w:t>inContact</w:t>
      </w:r>
      <w:r w:rsidR="00F26C20" w:rsidRPr="00C86691">
        <w:t xml:space="preserve"> </w:t>
      </w:r>
      <w:r w:rsidRPr="00C86691">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C86691">
        <w:t xml:space="preserve">Consent Decree or </w:t>
      </w:r>
      <w:r w:rsidR="00582BA0" w:rsidRPr="00C86691">
        <w:t xml:space="preserve">the </w:t>
      </w:r>
      <w:r w:rsidRPr="00C86691">
        <w:t xml:space="preserve">Adopting Order, neither </w:t>
      </w:r>
      <w:r w:rsidR="00EB0C7D">
        <w:t>inContact</w:t>
      </w:r>
      <w:r w:rsidR="00E03587" w:rsidRPr="00C86691">
        <w:t xml:space="preserve"> </w:t>
      </w:r>
      <w:r w:rsidRPr="00C86691">
        <w:t xml:space="preserve">nor the Commission shall contest the validity of the Consent Decree or the Adopting Order, and </w:t>
      </w:r>
      <w:r w:rsidR="00EB0C7D">
        <w:t>inContact</w:t>
      </w:r>
      <w:r w:rsidR="00E03587" w:rsidRPr="00C86691">
        <w:t xml:space="preserve"> </w:t>
      </w:r>
      <w:r w:rsidRPr="00C86691">
        <w:t xml:space="preserve">shall waive any statutory right to a trial </w:t>
      </w:r>
      <w:r w:rsidRPr="00C86691">
        <w:rPr>
          <w:i/>
        </w:rPr>
        <w:t>de novo</w:t>
      </w:r>
      <w:r w:rsidRPr="00C86691">
        <w:t xml:space="preserve">.  </w:t>
      </w:r>
      <w:r w:rsidR="00BA7302">
        <w:t>inContact</w:t>
      </w:r>
      <w:r w:rsidR="00E03587" w:rsidRPr="00C86691">
        <w:t xml:space="preserve"> </w:t>
      </w:r>
      <w:r w:rsidRPr="00C86691">
        <w:t>hereby agrees to waive any claims it may otherwise have under the Equal Access to Justice Act</w:t>
      </w:r>
      <w:r w:rsidRPr="00C86691">
        <w:rPr>
          <w:rStyle w:val="FootnoteReference"/>
          <w:sz w:val="22"/>
        </w:rPr>
        <w:footnoteReference w:id="34"/>
      </w:r>
      <w:r w:rsidRPr="00C86691">
        <w:t xml:space="preserve"> relating to the matters addressed in this Consent Decree.</w:t>
      </w:r>
    </w:p>
    <w:p w:rsidR="003F5CF7" w:rsidRPr="00C86691" w:rsidRDefault="003F5CF7" w:rsidP="00D93B6A">
      <w:pPr>
        <w:pStyle w:val="ParaNum"/>
        <w:widowControl/>
      </w:pPr>
      <w:r w:rsidRPr="00C86691">
        <w:rPr>
          <w:b/>
          <w:u w:val="single"/>
        </w:rPr>
        <w:t>Severability</w:t>
      </w:r>
      <w:r w:rsidRPr="00C86691">
        <w:t>.  The Parties agree that if any of the provisio</w:t>
      </w:r>
      <w:r w:rsidR="00E3009C" w:rsidRPr="00C86691">
        <w:t xml:space="preserve">ns of the </w:t>
      </w:r>
      <w:r w:rsidRPr="00C86691">
        <w:t xml:space="preserve">Consent Decree shall be </w:t>
      </w:r>
      <w:r w:rsidR="00926FC4" w:rsidRPr="00C86691">
        <w:t xml:space="preserve">held </w:t>
      </w:r>
      <w:r w:rsidRPr="00C86691">
        <w:t>unenforceable</w:t>
      </w:r>
      <w:r w:rsidR="00926FC4" w:rsidRPr="00C86691">
        <w:t xml:space="preserve"> by any court of competent jurisdiction</w:t>
      </w:r>
      <w:r w:rsidRPr="00C86691">
        <w:t>, such unenforceability shall not render unenforceab</w:t>
      </w:r>
      <w:r w:rsidR="00E3009C" w:rsidRPr="00C86691">
        <w:t xml:space="preserve">le the entire </w:t>
      </w:r>
      <w:r w:rsidRPr="00C86691">
        <w:t>Consent Decree, but rath</w:t>
      </w:r>
      <w:r w:rsidR="00E3009C" w:rsidRPr="00C86691">
        <w:t xml:space="preserve">er the entire </w:t>
      </w:r>
      <w:r w:rsidRPr="00C86691">
        <w:t>Consent Decree shall be construed as if not containing the particular unenforceable provision or provisions, and the rights and obligations of the Parties shall be construed and enforced accordingly.</w:t>
      </w:r>
    </w:p>
    <w:p w:rsidR="00E02214" w:rsidRPr="00C86691" w:rsidRDefault="00E02214" w:rsidP="00D93B6A">
      <w:pPr>
        <w:pStyle w:val="ParaNum"/>
        <w:widowControl/>
      </w:pPr>
      <w:r w:rsidRPr="00C86691">
        <w:rPr>
          <w:b/>
          <w:u w:val="single"/>
        </w:rPr>
        <w:t>Invalidity</w:t>
      </w:r>
      <w:r w:rsidRPr="00C86691">
        <w:t>.  In the event that this Consent Decree in its entirety is rendered invalid by any court of competent jurisdiction, it shall become null and void and may not be used in any manner in any legal proceeding.</w:t>
      </w:r>
    </w:p>
    <w:p w:rsidR="00E02214" w:rsidRPr="00C86691" w:rsidRDefault="00E02214" w:rsidP="00D93B6A">
      <w:pPr>
        <w:pStyle w:val="ParaNum"/>
        <w:widowControl/>
      </w:pPr>
      <w:r w:rsidRPr="00C86691">
        <w:rPr>
          <w:b/>
          <w:u w:val="single"/>
        </w:rPr>
        <w:t>Subsequent Rule or Order</w:t>
      </w:r>
      <w:r w:rsidRPr="00C86691">
        <w:t>.  The Parties agree that if any provision of the Consent Decree</w:t>
      </w:r>
      <w:r w:rsidR="00F26C20" w:rsidRPr="00C86691">
        <w:t xml:space="preserve"> conflicts with any subsequent Rule or O</w:t>
      </w:r>
      <w:r w:rsidRPr="00C86691">
        <w:t>rder adopted by the Commission (e</w:t>
      </w:r>
      <w:r w:rsidR="00F26C20" w:rsidRPr="00C86691">
        <w:t>xcept an O</w:t>
      </w:r>
      <w:r w:rsidRPr="00C86691">
        <w:t xml:space="preserve">rder specifically intended to revise the terms of this Consent Decree to which </w:t>
      </w:r>
      <w:r w:rsidR="00EB0C7D">
        <w:t>inContact</w:t>
      </w:r>
      <w:r w:rsidR="00E03587" w:rsidRPr="00C86691">
        <w:t xml:space="preserve"> </w:t>
      </w:r>
      <w:r w:rsidRPr="00C86691">
        <w:t xml:space="preserve">does not expressly consent) that provision will be superseded by such </w:t>
      </w:r>
      <w:r w:rsidR="00F26C20" w:rsidRPr="00C86691">
        <w:t>R</w:t>
      </w:r>
      <w:r w:rsidR="0096758E" w:rsidRPr="00C86691">
        <w:t xml:space="preserve">ule or </w:t>
      </w:r>
      <w:r w:rsidR="00F26C20" w:rsidRPr="00C86691">
        <w:t>O</w:t>
      </w:r>
      <w:r w:rsidRPr="00C86691">
        <w:t>rder.</w:t>
      </w:r>
    </w:p>
    <w:p w:rsidR="00E02214" w:rsidRPr="00C86691" w:rsidRDefault="00E02214" w:rsidP="00D93B6A">
      <w:pPr>
        <w:pStyle w:val="ParaNum"/>
        <w:widowControl/>
      </w:pPr>
      <w:r w:rsidRPr="00C86691">
        <w:rPr>
          <w:b/>
          <w:u w:val="single"/>
        </w:rPr>
        <w:t>Successors and Assigns</w:t>
      </w:r>
      <w:r w:rsidRPr="00C86691">
        <w:t xml:space="preserve">.  </w:t>
      </w:r>
      <w:r w:rsidR="00BA7302">
        <w:t>inContact</w:t>
      </w:r>
      <w:r w:rsidR="00E03587" w:rsidRPr="00C86691">
        <w:t xml:space="preserve"> </w:t>
      </w:r>
      <w:r w:rsidRPr="00C86691">
        <w:t>agrees that the provisions of this Consent Decree shall be binding on its successors, assigns, and transferees.</w:t>
      </w:r>
    </w:p>
    <w:p w:rsidR="00E02214" w:rsidRPr="00C86691" w:rsidRDefault="00E02214" w:rsidP="00D93B6A">
      <w:pPr>
        <w:pStyle w:val="ParaNum"/>
        <w:widowControl/>
      </w:pPr>
      <w:r w:rsidRPr="00C86691">
        <w:rPr>
          <w:b/>
          <w:u w:val="single"/>
        </w:rPr>
        <w:t>Final Settlement</w:t>
      </w:r>
      <w:r w:rsidRPr="00C86691">
        <w:t xml:space="preserve">.  The Parties agree and acknowledge that this Consent Decree shall constitute a final settlement between the Parties with respect to the Investigation.  </w:t>
      </w:r>
      <w:r w:rsidR="004620CB" w:rsidRPr="00C86691">
        <w:t> </w:t>
      </w:r>
    </w:p>
    <w:p w:rsidR="00E02214" w:rsidRPr="00C86691" w:rsidRDefault="00E02214" w:rsidP="00D93B6A">
      <w:pPr>
        <w:pStyle w:val="ParaNum"/>
        <w:widowControl/>
      </w:pPr>
      <w:r w:rsidRPr="00C86691">
        <w:rPr>
          <w:b/>
          <w:u w:val="single"/>
        </w:rPr>
        <w:t>Modifications</w:t>
      </w:r>
      <w:r w:rsidRPr="00C86691">
        <w:t>.  This Consent Decree cannot be modified without the advance written consent of both Parties.</w:t>
      </w:r>
    </w:p>
    <w:p w:rsidR="00E02214" w:rsidRPr="00C86691" w:rsidRDefault="00E02214" w:rsidP="00D93B6A">
      <w:pPr>
        <w:pStyle w:val="ParaNum"/>
        <w:widowControl/>
      </w:pPr>
      <w:r w:rsidRPr="00C86691">
        <w:rPr>
          <w:b/>
          <w:u w:val="single"/>
        </w:rPr>
        <w:t>Paragraph Headings</w:t>
      </w:r>
      <w:r w:rsidRPr="00C86691">
        <w:t>.  The headings of the paragraphs in this Consent Decree are inserted for convenience only and are not intended to affect the meaning or interpretation of this Consent Decree.</w:t>
      </w:r>
    </w:p>
    <w:p w:rsidR="003329C5" w:rsidRPr="00C86691" w:rsidRDefault="00E02214" w:rsidP="00D93B6A">
      <w:pPr>
        <w:pStyle w:val="ParaNum"/>
        <w:widowControl/>
      </w:pPr>
      <w:r w:rsidRPr="00C86691">
        <w:rPr>
          <w:b/>
          <w:u w:val="single"/>
        </w:rPr>
        <w:t>Authorized Representative</w:t>
      </w:r>
      <w:r w:rsidRPr="00C86691">
        <w:t xml:space="preserve">. </w:t>
      </w:r>
      <w:r w:rsidR="00B73A30" w:rsidRPr="00C86691">
        <w:t xml:space="preserve"> </w:t>
      </w:r>
      <w:r w:rsidR="005D5341" w:rsidRPr="00C86691">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02214" w:rsidRPr="00C86691" w:rsidRDefault="00E02214" w:rsidP="00D93B6A">
      <w:pPr>
        <w:pStyle w:val="ParaNum"/>
        <w:widowControl/>
      </w:pPr>
      <w:r w:rsidRPr="00C86691">
        <w:rPr>
          <w:b/>
          <w:u w:val="single"/>
        </w:rPr>
        <w:t>Counterparts</w:t>
      </w:r>
      <w:r w:rsidRPr="00C86691">
        <w:t xml:space="preserve">.  </w:t>
      </w:r>
      <w:r w:rsidR="00BB440F" w:rsidRPr="00C86691">
        <w:t xml:space="preserve">This Consent Decree may be signed in counterpart (including </w:t>
      </w:r>
      <w:r w:rsidR="008A2AD9" w:rsidRPr="00C86691">
        <w:t xml:space="preserve">electronically or </w:t>
      </w:r>
      <w:r w:rsidR="00BB440F" w:rsidRPr="00C86691">
        <w:t>by facsimile).  Each counterpart, when executed and delivered, shall be an original, and all of the counterparts together shall constitute one and the same fully executed instrument.</w:t>
      </w:r>
    </w:p>
    <w:p w:rsidR="00E24E9F" w:rsidRPr="00C86691" w:rsidRDefault="00E24E9F" w:rsidP="009A17A5">
      <w:pPr>
        <w:keepNext/>
        <w:keepLines/>
      </w:pPr>
    </w:p>
    <w:p w:rsidR="00E24E9F" w:rsidRPr="00C86691" w:rsidRDefault="00E24E9F" w:rsidP="009A17A5">
      <w:pPr>
        <w:keepNext/>
        <w:keepLines/>
      </w:pPr>
    </w:p>
    <w:p w:rsidR="00E24E9F" w:rsidRPr="00C86691" w:rsidRDefault="00E24E9F" w:rsidP="009A17A5">
      <w:pPr>
        <w:keepNext/>
        <w:keepLines/>
      </w:pPr>
      <w:r w:rsidRPr="00C86691">
        <w:t>________________________________</w:t>
      </w:r>
    </w:p>
    <w:p w:rsidR="00EE1291" w:rsidRPr="00C86691" w:rsidRDefault="0091483A" w:rsidP="009A17A5">
      <w:pPr>
        <w:keepNext/>
        <w:keepLines/>
      </w:pPr>
      <w:r w:rsidRPr="00C86691">
        <w:t>Travis LeBlanc</w:t>
      </w:r>
    </w:p>
    <w:p w:rsidR="00E24E9F" w:rsidRPr="00C86691" w:rsidRDefault="0091483A" w:rsidP="009A17A5">
      <w:pPr>
        <w:keepNext/>
        <w:keepLines/>
      </w:pPr>
      <w:r w:rsidRPr="00C86691">
        <w:t>Chief</w:t>
      </w:r>
    </w:p>
    <w:p w:rsidR="00E24E9F" w:rsidRPr="00C86691" w:rsidRDefault="00E24E9F" w:rsidP="009A17A5">
      <w:pPr>
        <w:keepNext/>
        <w:keepLines/>
      </w:pPr>
      <w:r w:rsidRPr="00C86691">
        <w:t>Enforcement Bureau</w:t>
      </w:r>
    </w:p>
    <w:p w:rsidR="00E24E9F" w:rsidRPr="00C86691" w:rsidRDefault="00E24E9F" w:rsidP="009A17A5">
      <w:pPr>
        <w:keepNext/>
        <w:keepLines/>
      </w:pPr>
    </w:p>
    <w:p w:rsidR="00E24E9F" w:rsidRPr="00C86691" w:rsidRDefault="00E24E9F" w:rsidP="009A17A5">
      <w:pPr>
        <w:keepNext/>
        <w:keepLines/>
      </w:pPr>
    </w:p>
    <w:p w:rsidR="00E24E9F" w:rsidRPr="00C86691" w:rsidRDefault="00E24E9F" w:rsidP="009A17A5">
      <w:pPr>
        <w:keepNext/>
        <w:keepLines/>
      </w:pPr>
      <w:r w:rsidRPr="00C86691">
        <w:t>________________________________</w:t>
      </w:r>
    </w:p>
    <w:p w:rsidR="00E24E9F" w:rsidRPr="00C86691" w:rsidRDefault="00E24E9F" w:rsidP="009A17A5">
      <w:pPr>
        <w:keepNext/>
        <w:keepLines/>
      </w:pPr>
      <w:r w:rsidRPr="00C86691">
        <w:t>Date</w:t>
      </w:r>
    </w:p>
    <w:p w:rsidR="00E24E9F" w:rsidRPr="00C86691" w:rsidRDefault="00E24E9F" w:rsidP="009A17A5">
      <w:pPr>
        <w:keepNext/>
        <w:keepLines/>
      </w:pPr>
    </w:p>
    <w:p w:rsidR="00E24E9F" w:rsidRPr="00C86691" w:rsidRDefault="00E24E9F" w:rsidP="00710CC1">
      <w:pPr>
        <w:keepLines/>
      </w:pPr>
    </w:p>
    <w:p w:rsidR="00E24E9F" w:rsidRPr="00C86691" w:rsidRDefault="00E24E9F" w:rsidP="00710CC1">
      <w:pPr>
        <w:keepLines/>
      </w:pPr>
    </w:p>
    <w:p w:rsidR="00E24E9F" w:rsidRPr="00C86691" w:rsidRDefault="00E24E9F" w:rsidP="00710CC1">
      <w:pPr>
        <w:keepLines/>
      </w:pPr>
      <w:r w:rsidRPr="00C86691">
        <w:t>________________________________</w:t>
      </w:r>
    </w:p>
    <w:p w:rsidR="00EE1291" w:rsidRPr="00C86691" w:rsidRDefault="00270133" w:rsidP="00710CC1">
      <w:pPr>
        <w:keepLines/>
      </w:pPr>
      <w:r>
        <w:t>Daniel G. Lloyd</w:t>
      </w:r>
    </w:p>
    <w:p w:rsidR="00EE1291" w:rsidRPr="00C86691" w:rsidRDefault="00CC6D34" w:rsidP="00710CC1">
      <w:pPr>
        <w:keepLines/>
      </w:pPr>
      <w:r>
        <w:t>General Counsel</w:t>
      </w:r>
    </w:p>
    <w:p w:rsidR="00E24E9F" w:rsidRPr="00C86691" w:rsidRDefault="00EB0C7D" w:rsidP="00710CC1">
      <w:pPr>
        <w:keepLines/>
      </w:pPr>
      <w:r>
        <w:t>inContact</w:t>
      </w:r>
      <w:r w:rsidR="00287687">
        <w:t>, Inc.</w:t>
      </w:r>
    </w:p>
    <w:p w:rsidR="00E24E9F" w:rsidRPr="00C86691" w:rsidRDefault="00E24E9F" w:rsidP="00710CC1">
      <w:pPr>
        <w:keepLines/>
      </w:pPr>
    </w:p>
    <w:p w:rsidR="00E24E9F" w:rsidRPr="00C86691" w:rsidRDefault="00E24E9F" w:rsidP="00710CC1">
      <w:pPr>
        <w:keepLines/>
      </w:pPr>
      <w:r w:rsidRPr="00C86691">
        <w:t>________________________________</w:t>
      </w:r>
    </w:p>
    <w:p w:rsidR="00E24E9F" w:rsidRPr="002E1D57" w:rsidRDefault="00E24E9F" w:rsidP="002755D1">
      <w:pPr>
        <w:keepLines/>
      </w:pPr>
      <w:r w:rsidRPr="00C86691">
        <w:t>Date</w:t>
      </w:r>
    </w:p>
    <w:sectPr w:rsidR="00E24E9F" w:rsidRPr="002E1D57" w:rsidSect="00DF51F3">
      <w:footnotePr>
        <w:numRestart w:val="eachSect"/>
      </w:footnotePr>
      <w:endnotePr>
        <w:numFmt w:val="decimal"/>
      </w:endnotePr>
      <w:pgSz w:w="12240" w:h="15840" w:code="1"/>
      <w:pgMar w:top="1267"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9F" w:rsidRDefault="004D1D9F">
      <w:pPr>
        <w:spacing w:line="20" w:lineRule="exact"/>
      </w:pPr>
    </w:p>
  </w:endnote>
  <w:endnote w:type="continuationSeparator" w:id="0">
    <w:p w:rsidR="004D1D9F" w:rsidRDefault="004D1D9F">
      <w:r>
        <w:t xml:space="preserve"> </w:t>
      </w:r>
    </w:p>
  </w:endnote>
  <w:endnote w:type="continuationNotice" w:id="1">
    <w:p w:rsidR="004D1D9F" w:rsidRDefault="004D1D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B" w:rsidRDefault="00DF7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64795"/>
      <w:docPartObj>
        <w:docPartGallery w:val="Page Numbers (Bottom of Page)"/>
        <w:docPartUnique/>
      </w:docPartObj>
    </w:sdtPr>
    <w:sdtEndPr>
      <w:rPr>
        <w:noProof/>
      </w:rPr>
    </w:sdtEndPr>
    <w:sdtContent>
      <w:p w:rsidR="009728A4" w:rsidRDefault="009B474D" w:rsidP="00453A9E">
        <w:pPr>
          <w:pStyle w:val="Footer"/>
          <w:jc w:val="center"/>
        </w:pPr>
        <w:r>
          <w:fldChar w:fldCharType="begin"/>
        </w:r>
        <w:r w:rsidR="009728A4">
          <w:instrText xml:space="preserve"> PAGE   \* MERGEFORMAT </w:instrText>
        </w:r>
        <w:r>
          <w:fldChar w:fldCharType="separate"/>
        </w:r>
        <w:r w:rsidR="00A31D4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A4" w:rsidRDefault="009728A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9F" w:rsidRDefault="004D1D9F">
      <w:r>
        <w:separator/>
      </w:r>
    </w:p>
  </w:footnote>
  <w:footnote w:type="continuationSeparator" w:id="0">
    <w:p w:rsidR="004D1D9F" w:rsidRDefault="004D1D9F" w:rsidP="00C721AC">
      <w:pPr>
        <w:spacing w:before="120"/>
        <w:rPr>
          <w:sz w:val="20"/>
        </w:rPr>
      </w:pPr>
      <w:r>
        <w:rPr>
          <w:sz w:val="20"/>
        </w:rPr>
        <w:t xml:space="preserve">(Continued from previous page)  </w:t>
      </w:r>
      <w:r>
        <w:rPr>
          <w:sz w:val="20"/>
        </w:rPr>
        <w:separator/>
      </w:r>
    </w:p>
  </w:footnote>
  <w:footnote w:type="continuationNotice" w:id="1">
    <w:p w:rsidR="004D1D9F" w:rsidRDefault="004D1D9F" w:rsidP="00C721AC">
      <w:pPr>
        <w:jc w:val="right"/>
        <w:rPr>
          <w:sz w:val="20"/>
        </w:rPr>
      </w:pPr>
      <w:r>
        <w:rPr>
          <w:sz w:val="20"/>
        </w:rPr>
        <w:t>(continued….)</w:t>
      </w:r>
    </w:p>
  </w:footnote>
  <w:footnote w:id="2">
    <w:p w:rsidR="00DF51F3" w:rsidRDefault="00DF51F3" w:rsidP="00DF51F3">
      <w:pPr>
        <w:pStyle w:val="FootnoteText"/>
        <w:tabs>
          <w:tab w:val="left" w:pos="2207"/>
        </w:tabs>
      </w:pPr>
      <w:r>
        <w:rPr>
          <w:rStyle w:val="FootnoteReference"/>
        </w:rPr>
        <w:footnoteRef/>
      </w:r>
      <w:r>
        <w:t xml:space="preserve"> 47 U.S.C. §§ 201(b), 202(a); </w:t>
      </w:r>
      <w:r>
        <w:rPr>
          <w:i/>
        </w:rPr>
        <w:t>see Developing an Unified Intercarrier Compensation Regime</w:t>
      </w:r>
      <w:r>
        <w:t>, Declaratory Ruling, 27 FCC Rcd 1351 (Wireline Comp. Bur. 2012);</w:t>
      </w:r>
      <w:r w:rsidRPr="002C30BD">
        <w:rPr>
          <w:i/>
        </w:rPr>
        <w:t xml:space="preserve"> </w:t>
      </w:r>
      <w:r>
        <w:rPr>
          <w:i/>
        </w:rPr>
        <w:t>s</w:t>
      </w:r>
      <w:r w:rsidRPr="00B04170">
        <w:rPr>
          <w:i/>
        </w:rPr>
        <w:t>ee</w:t>
      </w:r>
      <w:r>
        <w:t xml:space="preserve"> </w:t>
      </w:r>
      <w:r w:rsidRPr="001D2260">
        <w:rPr>
          <w:i/>
          <w:szCs w:val="22"/>
        </w:rPr>
        <w:t>also</w:t>
      </w:r>
      <w:r>
        <w:rPr>
          <w:szCs w:val="22"/>
        </w:rPr>
        <w:t xml:space="preserve"> </w:t>
      </w:r>
      <w:r w:rsidRPr="00D978A2">
        <w:rPr>
          <w:i/>
        </w:rPr>
        <w:t>FCC Enforcement Advisory:</w:t>
      </w:r>
      <w:r>
        <w:t xml:space="preserve"> </w:t>
      </w:r>
      <w:r w:rsidRPr="00591704">
        <w:rPr>
          <w:i/>
        </w:rPr>
        <w:t>Rural Call Completion, Long Distance Providers Must Take Consumer Complaints about Rural Call Completion Problems Seriously</w:t>
      </w:r>
      <w:r>
        <w:t>, Public Notice, 28 FCC Rcd 10347 (Enf. Bur. 2013).</w:t>
      </w:r>
    </w:p>
  </w:footnote>
  <w:footnote w:id="3">
    <w:p w:rsidR="00DF51F3" w:rsidRDefault="00DF51F3" w:rsidP="00DF51F3">
      <w:pPr>
        <w:pStyle w:val="FootnoteText"/>
      </w:pPr>
      <w:r>
        <w:rPr>
          <w:rStyle w:val="FootnoteReference"/>
        </w:rPr>
        <w:footnoteRef/>
      </w:r>
      <w:r>
        <w:t xml:space="preserve"> </w:t>
      </w:r>
      <w:r w:rsidRPr="00B04170">
        <w:rPr>
          <w:i/>
        </w:rPr>
        <w:t>See</w:t>
      </w:r>
      <w:r>
        <w:t xml:space="preserve"> 47 U.S.C. §§ 154(i), (j), 218, 403.</w:t>
      </w:r>
    </w:p>
  </w:footnote>
  <w:footnote w:id="4">
    <w:p w:rsidR="00DF51F3" w:rsidRPr="00F74D07" w:rsidRDefault="00DF51F3" w:rsidP="00DF51F3">
      <w:pPr>
        <w:pStyle w:val="FootnoteText"/>
      </w:pPr>
      <w:r>
        <w:rPr>
          <w:rStyle w:val="FootnoteReference"/>
        </w:rPr>
        <w:footnoteRef/>
      </w:r>
      <w:r>
        <w:t xml:space="preserve"> </w:t>
      </w:r>
      <w:r>
        <w:rPr>
          <w:i/>
        </w:rPr>
        <w:t xml:space="preserve">See </w:t>
      </w:r>
      <w:r>
        <w:t>47 CFR § 1.93(b).</w:t>
      </w:r>
    </w:p>
  </w:footnote>
  <w:footnote w:id="5">
    <w:p w:rsidR="00DF51F3" w:rsidRPr="00D84548" w:rsidRDefault="00DF51F3" w:rsidP="00DF51F3">
      <w:pPr>
        <w:pStyle w:val="FootnoteText"/>
      </w:pPr>
      <w:r w:rsidRPr="00D84548">
        <w:rPr>
          <w:rStyle w:val="FootnoteReference"/>
        </w:rPr>
        <w:footnoteRef/>
      </w:r>
      <w:r w:rsidRPr="00D84548">
        <w:t xml:space="preserve"> </w:t>
      </w:r>
      <w:r w:rsidRPr="00D84548">
        <w:rPr>
          <w:szCs w:val="22"/>
        </w:rPr>
        <w:t>47 U.S.C. § 154(i).</w:t>
      </w:r>
    </w:p>
  </w:footnote>
  <w:footnote w:id="6">
    <w:p w:rsidR="00DF51F3" w:rsidRDefault="00DF51F3" w:rsidP="00DF51F3">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7">
    <w:p w:rsidR="009728A4" w:rsidRPr="00E457F3" w:rsidRDefault="009728A4">
      <w:pPr>
        <w:pStyle w:val="FootnoteText"/>
      </w:pPr>
      <w:r>
        <w:rPr>
          <w:rStyle w:val="FootnoteReference"/>
        </w:rPr>
        <w:footnoteRef/>
      </w:r>
      <w:r>
        <w:t xml:space="preserve"> </w:t>
      </w:r>
      <w:r w:rsidRPr="00D95583">
        <w:rPr>
          <w:i/>
        </w:rPr>
        <w:t>See</w:t>
      </w:r>
      <w:r>
        <w:t xml:space="preserve"> 47 U.S.C. </w:t>
      </w:r>
      <w:r w:rsidRPr="001B63BB">
        <w:rPr>
          <w:szCs w:val="22"/>
        </w:rPr>
        <w:t>§§</w:t>
      </w:r>
      <w:r>
        <w:rPr>
          <w:szCs w:val="22"/>
        </w:rPr>
        <w:t xml:space="preserve"> 201(b), 202(a); </w:t>
      </w:r>
      <w:r w:rsidRPr="007C5FAB">
        <w:rPr>
          <w:i/>
        </w:rPr>
        <w:t>see also</w:t>
      </w:r>
      <w:r>
        <w:rPr>
          <w:szCs w:val="22"/>
        </w:rPr>
        <w:t xml:space="preserve"> </w:t>
      </w:r>
      <w:r w:rsidRPr="00E457F3">
        <w:rPr>
          <w:i/>
          <w:szCs w:val="22"/>
        </w:rPr>
        <w:t>Developing an Unified Intercarrier Compensation Regime</w:t>
      </w:r>
      <w:r>
        <w:rPr>
          <w:szCs w:val="22"/>
        </w:rPr>
        <w:t>, Declaratory Ruling, 27 FCC Rcd 1351 (Wireline Comp. Bur. 2012) (</w:t>
      </w:r>
      <w:r w:rsidRPr="00E457F3">
        <w:rPr>
          <w:i/>
          <w:szCs w:val="22"/>
        </w:rPr>
        <w:t>Rural Call Completion Declaratory Ruling</w:t>
      </w:r>
      <w:r>
        <w:rPr>
          <w:szCs w:val="22"/>
        </w:rPr>
        <w:t>).</w:t>
      </w:r>
    </w:p>
  </w:footnote>
  <w:footnote w:id="8">
    <w:p w:rsidR="00E066C3" w:rsidRDefault="00E066C3">
      <w:pPr>
        <w:pStyle w:val="FootnoteText"/>
      </w:pPr>
      <w:r>
        <w:rPr>
          <w:rStyle w:val="FootnoteReference"/>
        </w:rPr>
        <w:footnoteRef/>
      </w:r>
      <w:r w:rsidR="00F746B9">
        <w:t xml:space="preserve"> </w:t>
      </w:r>
      <w:r w:rsidR="00F746B9" w:rsidRPr="00D95583">
        <w:rPr>
          <w:i/>
        </w:rPr>
        <w:t>See</w:t>
      </w:r>
      <w:r w:rsidR="00F746B9">
        <w:t xml:space="preserve"> 47 U.S.C. </w:t>
      </w:r>
      <w:r w:rsidR="00F746B9" w:rsidRPr="001B63BB">
        <w:rPr>
          <w:szCs w:val="22"/>
        </w:rPr>
        <w:t>§§</w:t>
      </w:r>
      <w:r w:rsidR="00F746B9">
        <w:rPr>
          <w:szCs w:val="22"/>
        </w:rPr>
        <w:t xml:space="preserve"> 154(i), 154(j), 218, 403</w:t>
      </w:r>
      <w:r w:rsidR="00FE6CBA" w:rsidRPr="00BB50A2">
        <w:t>.</w:t>
      </w:r>
    </w:p>
  </w:footnote>
  <w:footnote w:id="9">
    <w:p w:rsidR="009728A4" w:rsidRDefault="009728A4">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0">
    <w:p w:rsidR="00006830" w:rsidRDefault="00006830" w:rsidP="00006830">
      <w:pPr>
        <w:pStyle w:val="FootnoteText"/>
      </w:pPr>
      <w:r>
        <w:rPr>
          <w:rStyle w:val="FootnoteReference"/>
        </w:rPr>
        <w:footnoteRef/>
      </w:r>
      <w:r>
        <w:t xml:space="preserve"> 47 </w:t>
      </w:r>
      <w:r w:rsidR="0047159B">
        <w:t>CFR</w:t>
      </w:r>
      <w:r>
        <w:t xml:space="preserve"> </w:t>
      </w:r>
      <w:r w:rsidRPr="001B63BB">
        <w:rPr>
          <w:szCs w:val="22"/>
        </w:rPr>
        <w:t>§</w:t>
      </w:r>
      <w:r>
        <w:rPr>
          <w:szCs w:val="22"/>
        </w:rPr>
        <w:t xml:space="preserve"> 64.1600(f).</w:t>
      </w:r>
    </w:p>
  </w:footnote>
  <w:footnote w:id="11">
    <w:p w:rsidR="009728A4" w:rsidRDefault="009728A4">
      <w:pPr>
        <w:pStyle w:val="FootnoteText"/>
      </w:pPr>
      <w:r>
        <w:rPr>
          <w:rStyle w:val="FootnoteReference"/>
        </w:rPr>
        <w:footnoteRef/>
      </w:r>
      <w:r>
        <w:t xml:space="preserve"> </w:t>
      </w:r>
      <w:r w:rsidRPr="003B5426">
        <w:rPr>
          <w:i/>
          <w:szCs w:val="22"/>
        </w:rPr>
        <w:t xml:space="preserve">See </w:t>
      </w:r>
      <w:r w:rsidRPr="003B5426">
        <w:rPr>
          <w:szCs w:val="22"/>
        </w:rPr>
        <w:t>Alliance for Telecommunications Industry Solutions,</w:t>
      </w:r>
      <w:r w:rsidRPr="003B5426">
        <w:rPr>
          <w:i/>
          <w:szCs w:val="22"/>
        </w:rPr>
        <w:t xml:space="preserve"> ATIS Telecom Glossary</w:t>
      </w:r>
      <w:r w:rsidRPr="003B5426">
        <w:rPr>
          <w:szCs w:val="22"/>
        </w:rPr>
        <w:t xml:space="preserve">, </w:t>
      </w:r>
      <w:hyperlink r:id="rId1" w:history="1">
        <w:r w:rsidR="005E5573" w:rsidRPr="00D73618">
          <w:rPr>
            <w:rStyle w:val="Hyperlink"/>
            <w:szCs w:val="22"/>
          </w:rPr>
          <w:t>http://www.atis.org/glossary/definition.aspx?id=8448</w:t>
        </w:r>
      </w:hyperlink>
      <w:r w:rsidR="005E5573">
        <w:rPr>
          <w:szCs w:val="22"/>
        </w:rPr>
        <w:t xml:space="preserve"> </w:t>
      </w:r>
      <w:r>
        <w:rPr>
          <w:szCs w:val="22"/>
        </w:rPr>
        <w:t xml:space="preserve">(last </w:t>
      </w:r>
      <w:r w:rsidR="00261648">
        <w:rPr>
          <w:szCs w:val="22"/>
        </w:rPr>
        <w:t xml:space="preserve">visited </w:t>
      </w:r>
      <w:r w:rsidR="006B4007">
        <w:rPr>
          <w:szCs w:val="22"/>
        </w:rPr>
        <w:t>Apr.</w:t>
      </w:r>
      <w:r w:rsidR="00261648">
        <w:rPr>
          <w:szCs w:val="22"/>
        </w:rPr>
        <w:t xml:space="preserve"> </w:t>
      </w:r>
      <w:r w:rsidR="003A2E1D">
        <w:rPr>
          <w:szCs w:val="22"/>
        </w:rPr>
        <w:t>27</w:t>
      </w:r>
      <w:r w:rsidR="001B53C1">
        <w:rPr>
          <w:szCs w:val="22"/>
        </w:rPr>
        <w:t>, 2016</w:t>
      </w:r>
      <w:r>
        <w:rPr>
          <w:szCs w:val="22"/>
        </w:rPr>
        <w:t>)</w:t>
      </w:r>
      <w:r w:rsidRPr="002E1D57">
        <w:rPr>
          <w:szCs w:val="22"/>
        </w:rPr>
        <w:t>.</w:t>
      </w:r>
    </w:p>
  </w:footnote>
  <w:footnote w:id="12">
    <w:p w:rsidR="009728A4" w:rsidRPr="00CE6631" w:rsidRDefault="009728A4" w:rsidP="007760CA">
      <w:pPr>
        <w:pStyle w:val="FootnoteText"/>
      </w:pPr>
      <w:r>
        <w:rPr>
          <w:rStyle w:val="FootnoteReference"/>
        </w:rPr>
        <w:footnoteRef/>
      </w:r>
      <w:r>
        <w:t xml:space="preserve"> 47 U.S.C. </w:t>
      </w:r>
      <w:r w:rsidRPr="001F6EE7">
        <w:t>§ 20</w:t>
      </w:r>
      <w:r>
        <w:t>1</w:t>
      </w:r>
      <w:r w:rsidRPr="001F6EE7">
        <w:t>(</w:t>
      </w:r>
      <w:r>
        <w:t>b</w:t>
      </w:r>
      <w:r w:rsidRPr="001F6EE7">
        <w:t>).</w:t>
      </w:r>
      <w:r>
        <w:t xml:space="preserve">  </w:t>
      </w:r>
    </w:p>
  </w:footnote>
  <w:footnote w:id="13">
    <w:p w:rsidR="009728A4" w:rsidRPr="00B75651" w:rsidRDefault="009728A4" w:rsidP="007760CA">
      <w:pPr>
        <w:pStyle w:val="FootnoteText"/>
      </w:pPr>
      <w:r>
        <w:rPr>
          <w:rStyle w:val="FootnoteReference"/>
        </w:rPr>
        <w:footnoteRef/>
      </w:r>
      <w:r>
        <w:t xml:space="preserve"> </w:t>
      </w:r>
      <w:r>
        <w:rPr>
          <w:i/>
        </w:rPr>
        <w:t>Id.</w:t>
      </w:r>
      <w:r>
        <w:t xml:space="preserve"> § 202(a).</w:t>
      </w:r>
    </w:p>
  </w:footnote>
  <w:footnote w:id="14">
    <w:p w:rsidR="009728A4" w:rsidRPr="00C629F0" w:rsidRDefault="009728A4" w:rsidP="007760CA">
      <w:pPr>
        <w:pStyle w:val="FootnoteText"/>
      </w:pPr>
      <w:r>
        <w:rPr>
          <w:rStyle w:val="FootnoteReference"/>
        </w:rPr>
        <w:footnoteRef/>
      </w:r>
      <w:r>
        <w:t xml:space="preserve"> </w:t>
      </w:r>
      <w:r>
        <w:rPr>
          <w:i/>
        </w:rPr>
        <w:t>Reliability and Continuity of Communications Networks</w:t>
      </w:r>
      <w:r>
        <w:t xml:space="preserve">, </w:t>
      </w:r>
      <w:r>
        <w:rPr>
          <w:i/>
        </w:rPr>
        <w:t>Including Broadband Technologies</w:t>
      </w:r>
      <w:r>
        <w:t xml:space="preserve">, Notice of Inquiry, 26 FCC Rcd 5614, 5616, para. 5 (2011); </w:t>
      </w:r>
      <w:r>
        <w:rPr>
          <w:i/>
        </w:rPr>
        <w:t>see also</w:t>
      </w:r>
      <w:r w:rsidRPr="00183BC9">
        <w:rPr>
          <w:i/>
        </w:rPr>
        <w:t xml:space="preserve"> </w:t>
      </w:r>
      <w:r>
        <w:rPr>
          <w:i/>
        </w:rPr>
        <w:t>Establishing Just and Reasonable Rates for Local Exchange Carriers</w:t>
      </w:r>
      <w:r>
        <w:t>, Declaratory Ruling and Order, 22 FCC Rcd 11629, para. 1 (Wireline Comp. Bur. 2007) (explaining that “the ubiquity and reliability of the nation’s telecommunications network is of paramount importance to the explicit goals of the Communications Act”)</w:t>
      </w:r>
      <w:r w:rsidRPr="00301F5E">
        <w:t xml:space="preserve"> </w:t>
      </w:r>
      <w:r>
        <w:t>(</w:t>
      </w:r>
      <w:r>
        <w:rPr>
          <w:i/>
        </w:rPr>
        <w:t>Call Blocking Declaratory Ruling</w:t>
      </w:r>
      <w:r>
        <w:t xml:space="preserve">).  </w:t>
      </w:r>
    </w:p>
  </w:footnote>
  <w:footnote w:id="15">
    <w:p w:rsidR="009728A4" w:rsidRPr="00A817C9" w:rsidRDefault="009728A4" w:rsidP="007760CA">
      <w:pPr>
        <w:pStyle w:val="FootnoteText"/>
      </w:pPr>
      <w:r>
        <w:rPr>
          <w:rStyle w:val="FootnoteReference"/>
        </w:rPr>
        <w:footnoteRef/>
      </w:r>
      <w:r>
        <w:t xml:space="preserve"> </w:t>
      </w:r>
      <w:r>
        <w:rPr>
          <w:i/>
        </w:rPr>
        <w:t>Connect America Fund</w:t>
      </w:r>
      <w:r>
        <w:t>, Report and Order and Further Notice of Proposed Rulemaking, 26 FCC Rcd 17663, 18029, para. 973 (2011)</w:t>
      </w:r>
      <w:r w:rsidR="0012533D" w:rsidRPr="0012533D">
        <w:t xml:space="preserve"> </w:t>
      </w:r>
      <w:r w:rsidR="0012533D">
        <w:t>(footnotes omitted)</w:t>
      </w:r>
      <w:r w:rsidR="003130C8">
        <w:t xml:space="preserve"> (quoting </w:t>
      </w:r>
      <w:r w:rsidR="003130C8">
        <w:rPr>
          <w:i/>
        </w:rPr>
        <w:t>Access Charge Reform</w:t>
      </w:r>
      <w:r w:rsidR="003130C8">
        <w:t>,</w:t>
      </w:r>
      <w:r w:rsidR="003130C8">
        <w:rPr>
          <w:i/>
        </w:rPr>
        <w:t xml:space="preserve"> </w:t>
      </w:r>
      <w:r w:rsidR="003130C8" w:rsidRPr="00A817C9">
        <w:t>Seventh</w:t>
      </w:r>
      <w:r w:rsidR="003130C8">
        <w:rPr>
          <w:i/>
        </w:rPr>
        <w:t xml:space="preserve"> </w:t>
      </w:r>
      <w:r w:rsidR="003130C8">
        <w:t>Report and Order and Further Notice of Proposed Rulemaking, 16 FCC Rcd 9923, 9933, para. 24 (2001))</w:t>
      </w:r>
      <w:r>
        <w:t xml:space="preserve">, </w:t>
      </w:r>
      <w:r w:rsidR="000C27BB">
        <w:rPr>
          <w:i/>
        </w:rPr>
        <w:t xml:space="preserve">aff’d </w:t>
      </w:r>
      <w:r>
        <w:rPr>
          <w:i/>
        </w:rPr>
        <w:t>sub nom. In re: FCC 11-161</w:t>
      </w:r>
      <w:r w:rsidR="000C27BB">
        <w:rPr>
          <w:i/>
        </w:rPr>
        <w:t xml:space="preserve">, </w:t>
      </w:r>
      <w:r w:rsidR="000C27BB">
        <w:t>753 F.3d 1015</w:t>
      </w:r>
      <w:r w:rsidR="000C27BB">
        <w:rPr>
          <w:i/>
        </w:rPr>
        <w:t xml:space="preserve"> </w:t>
      </w:r>
      <w:r>
        <w:t xml:space="preserve">(10th Cir. </w:t>
      </w:r>
      <w:r w:rsidR="000C27BB">
        <w:t>2014</w:t>
      </w:r>
      <w:r>
        <w:t xml:space="preserve">).  </w:t>
      </w:r>
    </w:p>
  </w:footnote>
  <w:footnote w:id="16">
    <w:p w:rsidR="009728A4" w:rsidRPr="00663E7B" w:rsidRDefault="009728A4" w:rsidP="007760CA">
      <w:pPr>
        <w:pStyle w:val="FootnoteText"/>
        <w:rPr>
          <w:i/>
        </w:rPr>
      </w:pPr>
      <w:r>
        <w:rPr>
          <w:rStyle w:val="FootnoteReference"/>
        </w:rPr>
        <w:footnoteRef/>
      </w:r>
      <w:r>
        <w:t xml:space="preserve"> </w:t>
      </w:r>
      <w:r>
        <w:rPr>
          <w:i/>
        </w:rPr>
        <w:t>Id.</w:t>
      </w:r>
      <w:r>
        <w:t xml:space="preserve"> at 17903, para. 734 (quoting </w:t>
      </w:r>
      <w:r>
        <w:rPr>
          <w:i/>
        </w:rPr>
        <w:t>Call Blocking Declaratory Ruling</w:t>
      </w:r>
      <w:r>
        <w:t xml:space="preserve">, 22 FCC Rcd at 11631, para. 6).  The Commission has permitted call blocking “only under rare and limited circumstances.”  </w:t>
      </w:r>
      <w:r>
        <w:rPr>
          <w:i/>
        </w:rPr>
        <w:t>See Call Blocking Declaratory Ruling</w:t>
      </w:r>
      <w:r>
        <w:t xml:space="preserve">, 22 FCC Rcd at 11631, para. 6 n.20.  </w:t>
      </w:r>
    </w:p>
  </w:footnote>
  <w:footnote w:id="17">
    <w:p w:rsidR="009728A4" w:rsidRPr="001F6EE7" w:rsidRDefault="009728A4" w:rsidP="007760CA">
      <w:pPr>
        <w:pStyle w:val="FootnoteText"/>
      </w:pPr>
      <w:r w:rsidRPr="001F6EE7">
        <w:rPr>
          <w:rStyle w:val="FootnoteReference"/>
        </w:rPr>
        <w:footnoteRef/>
      </w:r>
      <w:r w:rsidRPr="001F6EE7">
        <w:t xml:space="preserve"> Letter from Michael Romano, National Telecommunications Cooperative Association, </w:t>
      </w:r>
      <w:r w:rsidRPr="001F6EE7">
        <w:rPr>
          <w:i/>
        </w:rPr>
        <w:t>et al.</w:t>
      </w:r>
      <w:r w:rsidRPr="001F6EE7">
        <w:t>, to Theresa Z. Cavanaugh, Acting Chief</w:t>
      </w:r>
      <w:r>
        <w:t>, Investigations &amp; Hearings Division, FCC Enforcement Bureau,</w:t>
      </w:r>
      <w:r w:rsidRPr="001F6EE7">
        <w:t xml:space="preserve"> and Margaret Dailey, Attorney Advisor, Investigations &amp;</w:t>
      </w:r>
      <w:r>
        <w:t xml:space="preserve"> </w:t>
      </w:r>
      <w:r w:rsidRPr="001F6EE7">
        <w:t>Hearings Division, FCC Enforcement Bureau at 3 (Jun</w:t>
      </w:r>
      <w:r w:rsidR="00261648">
        <w:t>.</w:t>
      </w:r>
      <w:r w:rsidRPr="001F6EE7">
        <w:t xml:space="preserve"> 13, 2011</w:t>
      </w:r>
      <w:r>
        <w:t>)</w:t>
      </w:r>
      <w:r w:rsidRPr="001F6EE7">
        <w:t xml:space="preserve">.  </w:t>
      </w:r>
    </w:p>
  </w:footnote>
  <w:footnote w:id="18">
    <w:p w:rsidR="009728A4" w:rsidRPr="001F6EE7" w:rsidRDefault="009728A4" w:rsidP="007760CA">
      <w:pPr>
        <w:pStyle w:val="FootnoteText"/>
      </w:pPr>
      <w:r w:rsidRPr="001F6EE7">
        <w:rPr>
          <w:rStyle w:val="FootnoteReference"/>
        </w:rPr>
        <w:footnoteRef/>
      </w:r>
      <w:r w:rsidRPr="001F6EE7">
        <w:t xml:space="preserve"> </w:t>
      </w:r>
      <w:r w:rsidRPr="001F6EE7">
        <w:rPr>
          <w:i/>
        </w:rPr>
        <w:t>FCC Launches Rural Call Completion Task Force to Address Call Routing and Termination Problems in Rural America</w:t>
      </w:r>
      <w:r w:rsidRPr="001F6EE7">
        <w:t xml:space="preserve">, News Release, 2011 WL 4454097 (Sept. 26, 2011), </w:t>
      </w:r>
      <w:hyperlink r:id="rId2" w:history="1">
        <w:r w:rsidR="005E5573" w:rsidRPr="00D73618">
          <w:rPr>
            <w:rStyle w:val="Hyperlink"/>
          </w:rPr>
          <w:t>http://www.fcc.gov/document/fcc-launches-rural-call-completion-task-force-sets-oct-18-workshop</w:t>
        </w:r>
      </w:hyperlink>
      <w:r w:rsidRPr="001F6EE7">
        <w:t xml:space="preserve">.  The Task Force conducted a workshop on rural call completion issues on October 18, 2011.  </w:t>
      </w:r>
      <w:r w:rsidRPr="001F6EE7">
        <w:rPr>
          <w:i/>
        </w:rPr>
        <w:t>See</w:t>
      </w:r>
      <w:r w:rsidRPr="001F6EE7">
        <w:t xml:space="preserve"> </w:t>
      </w:r>
      <w:hyperlink r:id="rId3" w:history="1">
        <w:r w:rsidR="008F3053" w:rsidRPr="005560A3">
          <w:rPr>
            <w:rStyle w:val="Hyperlink"/>
          </w:rPr>
          <w:t>http://www.fcc.gov/events/rural-call-completion-workshop</w:t>
        </w:r>
      </w:hyperlink>
      <w:r w:rsidR="008F3053">
        <w:t xml:space="preserve"> (lasted visited </w:t>
      </w:r>
      <w:r w:rsidR="006B4007">
        <w:t xml:space="preserve">Apr. </w:t>
      </w:r>
      <w:r w:rsidR="003A2E1D">
        <w:t>27</w:t>
      </w:r>
      <w:r w:rsidR="008F3053">
        <w:t>, 2016)</w:t>
      </w:r>
      <w:r w:rsidRPr="001F6EE7">
        <w:t xml:space="preserve">.  </w:t>
      </w:r>
    </w:p>
  </w:footnote>
  <w:footnote w:id="19">
    <w:p w:rsidR="009728A4" w:rsidRDefault="009728A4">
      <w:pPr>
        <w:pStyle w:val="FootnoteText"/>
      </w:pPr>
      <w:r>
        <w:rPr>
          <w:rStyle w:val="FootnoteReference"/>
        </w:rPr>
        <w:footnoteRef/>
      </w:r>
      <w:r>
        <w:t xml:space="preserve"> </w:t>
      </w:r>
      <w:r>
        <w:rPr>
          <w:i/>
        </w:rPr>
        <w:t>Rural Call Completion Declaratory Ruling</w:t>
      </w:r>
      <w:r>
        <w:t>,</w:t>
      </w:r>
      <w:r>
        <w:rPr>
          <w:i/>
        </w:rPr>
        <w:t xml:space="preserve"> </w:t>
      </w:r>
      <w:r w:rsidRPr="001F6EE7">
        <w:t xml:space="preserve">27 FCC Rcd </w:t>
      </w:r>
      <w:r>
        <w:t>at 1355, para. 11.</w:t>
      </w:r>
    </w:p>
  </w:footnote>
  <w:footnote w:id="20">
    <w:p w:rsidR="009728A4" w:rsidRPr="001F6EE7" w:rsidRDefault="009728A4" w:rsidP="007760CA">
      <w:pPr>
        <w:pStyle w:val="FootnoteText"/>
      </w:pPr>
      <w:r w:rsidRPr="001F6EE7">
        <w:rPr>
          <w:rStyle w:val="FootnoteReference"/>
        </w:rPr>
        <w:footnoteRef/>
      </w:r>
      <w:r w:rsidRPr="001F6EE7">
        <w:t xml:space="preserve"> </w:t>
      </w:r>
      <w:r w:rsidRPr="00346637">
        <w:rPr>
          <w:i/>
        </w:rPr>
        <w:t>Id</w:t>
      </w:r>
      <w:r>
        <w:t>. at</w:t>
      </w:r>
      <w:r w:rsidRPr="001F6EE7">
        <w:t xml:space="preserve"> 1355–56, para. 12 (footnote omitted).  </w:t>
      </w:r>
    </w:p>
  </w:footnote>
  <w:footnote w:id="21">
    <w:p w:rsidR="009728A4" w:rsidRPr="00B75651" w:rsidRDefault="009728A4" w:rsidP="007760CA">
      <w:pPr>
        <w:pStyle w:val="FootnoteText"/>
      </w:pPr>
      <w:r>
        <w:rPr>
          <w:rStyle w:val="FootnoteReference"/>
        </w:rPr>
        <w:footnoteRef/>
      </w:r>
      <w:r>
        <w:t xml:space="preserve"> </w:t>
      </w:r>
      <w:r>
        <w:rPr>
          <w:i/>
        </w:rPr>
        <w:t>Id.</w:t>
      </w:r>
      <w:r>
        <w:t xml:space="preserve"> at 1357–58, para. 14. </w:t>
      </w:r>
    </w:p>
  </w:footnote>
  <w:footnote w:id="22">
    <w:p w:rsidR="00CB36AA" w:rsidRPr="00DD7E50" w:rsidRDefault="00CB36AA" w:rsidP="00CB36AA">
      <w:pPr>
        <w:pStyle w:val="FootnoteText"/>
      </w:pPr>
      <w:r>
        <w:rPr>
          <w:rStyle w:val="FootnoteReference"/>
        </w:rPr>
        <w:footnoteRef/>
      </w:r>
      <w:r>
        <w:t xml:space="preserve"> </w:t>
      </w:r>
      <w:r w:rsidRPr="00D978A2">
        <w:rPr>
          <w:i/>
        </w:rPr>
        <w:t>FCC Enforcement Advisory:</w:t>
      </w:r>
      <w:r>
        <w:t xml:space="preserve"> </w:t>
      </w:r>
      <w:r w:rsidRPr="00591704">
        <w:rPr>
          <w:i/>
        </w:rPr>
        <w:t>Rural Call Completion, Long Distance Providers Must Take Consumer Complaints about Rural Call Completion Problems Seriously</w:t>
      </w:r>
      <w:r>
        <w:t>, Public Notice, 28 FCC Rcd 10347 (Enf. Bur. 2013) (</w:t>
      </w:r>
      <w:r w:rsidRPr="00765AA1">
        <w:rPr>
          <w:i/>
        </w:rPr>
        <w:t>Rural Call Completion Enforcement Advisory</w:t>
      </w:r>
      <w:r>
        <w:t>).</w:t>
      </w:r>
    </w:p>
  </w:footnote>
  <w:footnote w:id="23">
    <w:p w:rsidR="00502663" w:rsidRPr="00B75651" w:rsidRDefault="00502663" w:rsidP="00502663">
      <w:pPr>
        <w:pStyle w:val="FootnoteText"/>
      </w:pPr>
      <w:r>
        <w:rPr>
          <w:rStyle w:val="FootnoteReference"/>
        </w:rPr>
        <w:footnoteRef/>
      </w:r>
      <w:r>
        <w:t xml:space="preserve"> </w:t>
      </w:r>
      <w:r>
        <w:rPr>
          <w:i/>
        </w:rPr>
        <w:t>Id.</w:t>
      </w:r>
      <w:r>
        <w:t xml:space="preserve"> at 1034</w:t>
      </w:r>
      <w:r w:rsidR="006B4007">
        <w:t>8-4</w:t>
      </w:r>
      <w:r>
        <w:t xml:space="preserve">9. </w:t>
      </w:r>
    </w:p>
  </w:footnote>
  <w:footnote w:id="24">
    <w:p w:rsidR="009728A4" w:rsidRPr="00807483" w:rsidRDefault="009728A4" w:rsidP="00323039">
      <w:pPr>
        <w:pStyle w:val="FootnoteText"/>
      </w:pPr>
      <w:r>
        <w:rPr>
          <w:rStyle w:val="FootnoteReference"/>
        </w:rPr>
        <w:footnoteRef/>
      </w:r>
      <w:r>
        <w:t xml:space="preserve"> </w:t>
      </w:r>
      <w:r w:rsidRPr="006E286C">
        <w:rPr>
          <w:i/>
        </w:rPr>
        <w:t>See</w:t>
      </w:r>
      <w:r>
        <w:t xml:space="preserve"> </w:t>
      </w:r>
      <w:r>
        <w:rPr>
          <w:i/>
        </w:rPr>
        <w:t>Rural Call Completion</w:t>
      </w:r>
      <w:r w:rsidR="006B4007">
        <w:rPr>
          <w:i/>
        </w:rPr>
        <w:t xml:space="preserve">, </w:t>
      </w:r>
      <w:r w:rsidR="006B4007" w:rsidRPr="00053A5F">
        <w:t>Report and Order and Further Notice of Proposed Rulemaking</w:t>
      </w:r>
      <w:r>
        <w:t>,</w:t>
      </w:r>
      <w:r>
        <w:rPr>
          <w:i/>
        </w:rPr>
        <w:t xml:space="preserve"> </w:t>
      </w:r>
      <w:r>
        <w:t xml:space="preserve">28 FCC Rcd </w:t>
      </w:r>
      <w:r w:rsidR="006B4007">
        <w:t xml:space="preserve">16154, </w:t>
      </w:r>
      <w:r>
        <w:t>16211–14, Appendix A</w:t>
      </w:r>
      <w:r w:rsidR="006B4007">
        <w:t xml:space="preserve"> </w:t>
      </w:r>
      <w:r w:rsidR="003E21A4">
        <w:t xml:space="preserve">(2013) </w:t>
      </w:r>
      <w:r w:rsidR="006B4007">
        <w:t>(</w:t>
      </w:r>
      <w:r w:rsidR="006B4007" w:rsidRPr="00053A5F">
        <w:rPr>
          <w:i/>
        </w:rPr>
        <w:t>Rural Call Completion Order</w:t>
      </w:r>
      <w:r w:rsidR="006B4007">
        <w:t xml:space="preserve">), </w:t>
      </w:r>
      <w:r w:rsidR="006B4007" w:rsidRPr="00053A5F">
        <w:rPr>
          <w:i/>
        </w:rPr>
        <w:t>modified in part on recon.</w:t>
      </w:r>
      <w:r w:rsidR="006B4007">
        <w:t>, 29 FCC Rcd 14026 (2014).</w:t>
      </w:r>
      <w:r>
        <w:t xml:space="preserve">  </w:t>
      </w:r>
    </w:p>
  </w:footnote>
  <w:footnote w:id="25">
    <w:p w:rsidR="009728A4" w:rsidRPr="00E73A73" w:rsidRDefault="009728A4" w:rsidP="00323039">
      <w:pPr>
        <w:pStyle w:val="FootnoteText"/>
      </w:pPr>
      <w:r>
        <w:rPr>
          <w:rStyle w:val="FootnoteReference"/>
        </w:rPr>
        <w:footnoteRef/>
      </w:r>
      <w:r>
        <w:t xml:space="preserve"> </w:t>
      </w:r>
      <w:r>
        <w:rPr>
          <w:i/>
        </w:rPr>
        <w:t>Id.</w:t>
      </w:r>
      <w:r>
        <w:t xml:space="preserve"> at 16161, para. 14.  </w:t>
      </w:r>
    </w:p>
  </w:footnote>
  <w:footnote w:id="26">
    <w:p w:rsidR="009728A4" w:rsidRPr="00E73A73" w:rsidRDefault="009728A4" w:rsidP="00323039">
      <w:pPr>
        <w:pStyle w:val="FootnoteText"/>
      </w:pPr>
      <w:r>
        <w:rPr>
          <w:rStyle w:val="FootnoteReference"/>
        </w:rPr>
        <w:footnoteRef/>
      </w:r>
      <w:r>
        <w:t xml:space="preserve"> </w:t>
      </w:r>
      <w:r>
        <w:rPr>
          <w:i/>
        </w:rPr>
        <w:t>Id.</w:t>
      </w:r>
      <w:r>
        <w:t xml:space="preserve"> at 16155, para. 1</w:t>
      </w:r>
      <w:r w:rsidR="006B4007">
        <w:t xml:space="preserve"> (footnote omitted)</w:t>
      </w:r>
      <w:r>
        <w:t xml:space="preserve">.  </w:t>
      </w:r>
      <w:r w:rsidR="003C1F96">
        <w:t xml:space="preserve">The new rules, which took effect April 1, 2015 require </w:t>
      </w:r>
      <w:r w:rsidR="003C1F96" w:rsidRPr="00C86691">
        <w:t>covered providers</w:t>
      </w:r>
      <w:r w:rsidR="003C1F96">
        <w:t xml:space="preserve"> to record, retain, and report to the Commission </w:t>
      </w:r>
      <w:r w:rsidR="003C1F96" w:rsidRPr="00C86691">
        <w:t>detailed information about long-distance calls to customers of incumbent rural LECs, identified by OCN.</w:t>
      </w:r>
      <w:r w:rsidR="003C1F96">
        <w:t xml:space="preserve">  </w:t>
      </w:r>
      <w:r w:rsidR="006B4007" w:rsidRPr="00053A5F">
        <w:rPr>
          <w:i/>
        </w:rPr>
        <w:t>See i</w:t>
      </w:r>
      <w:r w:rsidR="003C1F96" w:rsidRPr="003C1F96">
        <w:rPr>
          <w:i/>
        </w:rPr>
        <w:t>d</w:t>
      </w:r>
      <w:r w:rsidR="003C1F96">
        <w:t>. at 16</w:t>
      </w:r>
      <w:r w:rsidR="006B4007">
        <w:t>211-14 Appendix A</w:t>
      </w:r>
      <w:r w:rsidR="003C1F96">
        <w:t>.</w:t>
      </w:r>
    </w:p>
  </w:footnote>
  <w:footnote w:id="27">
    <w:p w:rsidR="009728A4" w:rsidRPr="006164BA" w:rsidRDefault="009728A4" w:rsidP="00323039">
      <w:pPr>
        <w:pStyle w:val="FootnoteText"/>
      </w:pPr>
      <w:r>
        <w:rPr>
          <w:rStyle w:val="FootnoteReference"/>
        </w:rPr>
        <w:footnoteRef/>
      </w:r>
      <w:r>
        <w:t xml:space="preserve"> </w:t>
      </w:r>
      <w:r w:rsidRPr="00046876">
        <w:rPr>
          <w:i/>
        </w:rPr>
        <w:t>Rural Call Completion</w:t>
      </w:r>
      <w:r w:rsidR="006B4007">
        <w:rPr>
          <w:i/>
        </w:rPr>
        <w:t xml:space="preserve">, </w:t>
      </w:r>
      <w:r w:rsidRPr="00053A5F">
        <w:t>Order</w:t>
      </w:r>
      <w:r w:rsidR="006B4007" w:rsidRPr="00053A5F">
        <w:t xml:space="preserve"> on Reconsideration</w:t>
      </w:r>
      <w:r>
        <w:t xml:space="preserve">, </w:t>
      </w:r>
      <w:r w:rsidR="00232A74">
        <w:t xml:space="preserve">29 FCC Rcd </w:t>
      </w:r>
      <w:r w:rsidR="006B4007">
        <w:t xml:space="preserve">14026, </w:t>
      </w:r>
      <w:r w:rsidR="00232A74">
        <w:t>14040-41</w:t>
      </w:r>
      <w:r>
        <w:t xml:space="preserve">, para. 38 </w:t>
      </w:r>
      <w:r w:rsidR="007C1420">
        <w:t xml:space="preserve">(2014) </w:t>
      </w:r>
      <w:r w:rsidR="006B4007">
        <w:t>(</w:t>
      </w:r>
      <w:r w:rsidR="006B4007" w:rsidRPr="00053A5F">
        <w:rPr>
          <w:i/>
        </w:rPr>
        <w:t>Rural Call Completion Reconsideration Order</w:t>
      </w:r>
      <w:r w:rsidR="006B4007">
        <w:t xml:space="preserve">) </w:t>
      </w:r>
      <w:r w:rsidR="007C1420">
        <w:t xml:space="preserve">(citing </w:t>
      </w:r>
      <w:r w:rsidR="007C1420">
        <w:rPr>
          <w:i/>
        </w:rPr>
        <w:t xml:space="preserve">Rural Call Completion </w:t>
      </w:r>
      <w:r w:rsidR="007C1420" w:rsidRPr="00046876">
        <w:rPr>
          <w:i/>
        </w:rPr>
        <w:t>Declaratory Ruling</w:t>
      </w:r>
      <w:r w:rsidR="007C1420">
        <w:t xml:space="preserve">, 27 FCC Rcd at 1355-56, 1358-59, paras. 12, 16; </w:t>
      </w:r>
      <w:r w:rsidR="006B4007" w:rsidRPr="00053A5F">
        <w:rPr>
          <w:i/>
        </w:rPr>
        <w:t>Rural Call Completion Enforcement Advisory</w:t>
      </w:r>
      <w:r w:rsidR="006B4007">
        <w:t>, 28 FCC Rcd 10347).</w:t>
      </w:r>
    </w:p>
  </w:footnote>
  <w:footnote w:id="28">
    <w:p w:rsidR="00BD1231" w:rsidRPr="004A09E2" w:rsidRDefault="00BD1231">
      <w:pPr>
        <w:pStyle w:val="FootnoteText"/>
      </w:pPr>
      <w:r>
        <w:rPr>
          <w:rStyle w:val="FootnoteReference"/>
        </w:rPr>
        <w:footnoteRef/>
      </w:r>
      <w:r>
        <w:t xml:space="preserve"> </w:t>
      </w:r>
      <w:r w:rsidR="004A09E2" w:rsidRPr="004A09E2">
        <w:rPr>
          <w:i/>
        </w:rPr>
        <w:t>See</w:t>
      </w:r>
      <w:r w:rsidR="004A09E2">
        <w:rPr>
          <w:i/>
        </w:rPr>
        <w:t xml:space="preserve"> </w:t>
      </w:r>
      <w:r w:rsidR="004A09E2">
        <w:t xml:space="preserve">Letter from Allison D. Rule, Marashlian &amp; Donohue, PLLC, to Marlene Dortch, Secretary, FCC (Jan. 13, 2016) at 3 (Supplemental Response to Inquiry </w:t>
      </w:r>
      <w:r w:rsidR="006B4007">
        <w:t>8</w:t>
      </w:r>
      <w:r w:rsidR="00943889">
        <w:t xml:space="preserve"> of the Letter of Inquiry</w:t>
      </w:r>
      <w:r w:rsidR="004A09E2">
        <w:t xml:space="preserve">) (on file in </w:t>
      </w:r>
      <w:r w:rsidR="004A09E2">
        <w:rPr>
          <w:spacing w:val="-2"/>
          <w:szCs w:val="22"/>
        </w:rPr>
        <w:t>EB-IHD-15-00020237).</w:t>
      </w:r>
    </w:p>
  </w:footnote>
  <w:footnote w:id="29">
    <w:p w:rsidR="000C3AFB" w:rsidRPr="000C3AFB" w:rsidRDefault="000C3AFB">
      <w:pPr>
        <w:pStyle w:val="FootnoteText"/>
      </w:pPr>
      <w:r>
        <w:rPr>
          <w:rStyle w:val="FootnoteReference"/>
        </w:rPr>
        <w:footnoteRef/>
      </w:r>
      <w:r>
        <w:t xml:space="preserve"> </w:t>
      </w:r>
      <w:r w:rsidRPr="000C3AFB">
        <w:rPr>
          <w:i/>
        </w:rPr>
        <w:t>See</w:t>
      </w:r>
      <w:r>
        <w:rPr>
          <w:i/>
        </w:rPr>
        <w:t xml:space="preserve"> Rural Call Completion Enforcement Advisory</w:t>
      </w:r>
      <w:r>
        <w:t>, 28 FCC Rcd at 1034</w:t>
      </w:r>
      <w:r w:rsidR="008E3F80">
        <w:t>8 (</w:t>
      </w:r>
      <w:r w:rsidR="005F39E3">
        <w:t xml:space="preserve">Under Section 208, </w:t>
      </w:r>
      <w:r>
        <w:t>“‘</w:t>
      </w:r>
      <w:r w:rsidR="005E0AB7">
        <w:t>a</w:t>
      </w:r>
      <w:r>
        <w:t>ny’ consumer may file an informal complaint against a carrier even if he is</w:t>
      </w:r>
      <w:r w:rsidR="005E0AB7">
        <w:t xml:space="preserve"> not a customer of that carrier”</w:t>
      </w:r>
      <w:r w:rsidR="005F39E3">
        <w:t xml:space="preserve"> (citing 47 U.S.C. §</w:t>
      </w:r>
      <w:r w:rsidR="00C67A58">
        <w:t xml:space="preserve"> </w:t>
      </w:r>
      <w:r w:rsidR="005F39E3">
        <w:t>208)</w:t>
      </w:r>
      <w:r w:rsidR="005E0AB7">
        <w:t xml:space="preserve">); </w:t>
      </w:r>
      <w:r w:rsidR="005E0AB7" w:rsidRPr="005E0AB7">
        <w:rPr>
          <w:i/>
        </w:rPr>
        <w:t>id</w:t>
      </w:r>
      <w:r w:rsidR="005E0AB7">
        <w:t>. at 10349 (“</w:t>
      </w:r>
      <w:r w:rsidR="005F39E3">
        <w:t>Providers that fail to respond properly to informal rural call completion complaints by satisfying such complaints, adequately explaining why they cannot satisfy such complaints, or explicitly refusing to satisfy such complaints, may be subject to enforcement action for failure to comply with</w:t>
      </w:r>
      <w:r w:rsidR="005E1D68">
        <w:t xml:space="preserve"> </w:t>
      </w:r>
      <w:r w:rsidR="005F39E3">
        <w:t>se</w:t>
      </w:r>
      <w:r w:rsidR="005E1D68">
        <w:t>c</w:t>
      </w:r>
      <w:r w:rsidR="005F39E3">
        <w:t>tion 208 and Rule 1.717”</w:t>
      </w:r>
      <w:r w:rsidR="0047159B">
        <w:t xml:space="preserve"> (citing 47 U.S.C. §</w:t>
      </w:r>
      <w:r w:rsidR="00C67A58">
        <w:t xml:space="preserve"> 208; 47 CFR § 1.717))</w:t>
      </w:r>
      <w:r w:rsidR="005F39E3">
        <w:t xml:space="preserve"> .</w:t>
      </w:r>
    </w:p>
  </w:footnote>
  <w:footnote w:id="30">
    <w:p w:rsidR="00172386" w:rsidRDefault="00172386">
      <w:pPr>
        <w:pStyle w:val="FootnoteText"/>
      </w:pPr>
      <w:r>
        <w:rPr>
          <w:rStyle w:val="FootnoteReference"/>
        </w:rPr>
        <w:footnoteRef/>
      </w:r>
      <w:r>
        <w:t xml:space="preserve"> </w:t>
      </w:r>
      <w:r w:rsidR="001D636A" w:rsidRPr="001D636A">
        <w:rPr>
          <w:i/>
        </w:rPr>
        <w:t>See Verizon</w:t>
      </w:r>
      <w:r w:rsidR="001D636A">
        <w:t xml:space="preserve">, </w:t>
      </w:r>
      <w:r w:rsidR="001D636A" w:rsidRPr="001D636A">
        <w:t>Adopting Order and Consent Decree</w:t>
      </w:r>
      <w:r w:rsidR="001D636A">
        <w:t>, 30 FCC Rcd 245, 25</w:t>
      </w:r>
      <w:r w:rsidR="0047159B">
        <w:t>6</w:t>
      </w:r>
      <w:r w:rsidR="001D636A">
        <w:t xml:space="preserve"> at para. 18.(b)[2] (2015).</w:t>
      </w:r>
    </w:p>
  </w:footnote>
  <w:footnote w:id="31">
    <w:p w:rsidR="009728A4" w:rsidRDefault="009728A4" w:rsidP="00E02214">
      <w:pPr>
        <w:pStyle w:val="FootnoteText"/>
      </w:pPr>
      <w:r w:rsidRPr="00A07FCB">
        <w:rPr>
          <w:rStyle w:val="FootnoteReference"/>
        </w:rPr>
        <w:footnoteRef/>
      </w:r>
      <w:r w:rsidRPr="00A07FCB">
        <w:t xml:space="preserve"> 47 </w:t>
      </w:r>
      <w:r w:rsidR="0047159B">
        <w:t>CFR</w:t>
      </w:r>
      <w:r w:rsidRPr="00A07FCB">
        <w:t xml:space="preserve"> § 1.16.</w:t>
      </w:r>
    </w:p>
  </w:footnote>
  <w:footnote w:id="32">
    <w:p w:rsidR="009728A4" w:rsidRDefault="009728A4" w:rsidP="00E02214">
      <w:pPr>
        <w:pStyle w:val="FootnoteText"/>
        <w:tabs>
          <w:tab w:val="left" w:pos="810"/>
        </w:tabs>
      </w:pPr>
      <w:r w:rsidRPr="00A07FCB">
        <w:rPr>
          <w:rStyle w:val="FootnoteReference"/>
        </w:rPr>
        <w:footnoteRef/>
      </w:r>
      <w:r w:rsidRPr="003F6349">
        <w:t xml:space="preserve"> </w:t>
      </w:r>
      <w:r w:rsidRPr="00A07FCB">
        <w:t>47 U.S.C. § 208.</w:t>
      </w:r>
    </w:p>
  </w:footnote>
  <w:footnote w:id="33">
    <w:p w:rsidR="009728A4" w:rsidRPr="00042447" w:rsidRDefault="009728A4" w:rsidP="00E02214">
      <w:pPr>
        <w:pStyle w:val="FootnoteText"/>
      </w:pPr>
      <w:r w:rsidRPr="00A07FCB">
        <w:rPr>
          <w:rStyle w:val="FootnoteReference"/>
        </w:rPr>
        <w:footnoteRef/>
      </w:r>
      <w:r w:rsidRPr="003F6349">
        <w:t xml:space="preserve"> </w:t>
      </w:r>
      <w:r w:rsidRPr="00A07FCB">
        <w:rPr>
          <w:rFonts w:eastAsia="MS Mincho" w:cs="Arial"/>
        </w:rPr>
        <w:t xml:space="preserve">An FCC Form 159 and detailed instructions for completing the form may be obtained at </w:t>
      </w:r>
      <w:hyperlink r:id="rId4" w:anchor="159.pdf" w:history="1">
        <w:r w:rsidR="005E5573" w:rsidRPr="00D73618">
          <w:rPr>
            <w:rStyle w:val="Hyperlink"/>
            <w:rFonts w:eastAsia="MS Mincho" w:cs="Arial"/>
          </w:rPr>
          <w:t>http://www.fcc.gov/forms#159.pdf</w:t>
        </w:r>
      </w:hyperlink>
      <w:r w:rsidRPr="00A07FCB">
        <w:rPr>
          <w:rFonts w:eastAsia="MS Mincho" w:cs="Arial"/>
        </w:rPr>
        <w:t>.</w:t>
      </w:r>
    </w:p>
  </w:footnote>
  <w:footnote w:id="34">
    <w:p w:rsidR="009728A4" w:rsidRDefault="009728A4" w:rsidP="00E02214">
      <w:pPr>
        <w:pStyle w:val="FootnoteText"/>
        <w:tabs>
          <w:tab w:val="left" w:pos="810"/>
        </w:tabs>
      </w:pPr>
      <w:r w:rsidRPr="003F6349">
        <w:rPr>
          <w:rStyle w:val="FootnoteReference"/>
        </w:rPr>
        <w:footnoteRef/>
      </w:r>
      <w:r w:rsidRPr="003F6349">
        <w:t xml:space="preserve"> </w:t>
      </w:r>
      <w:r>
        <w:rPr>
          <w:i/>
        </w:rPr>
        <w:t xml:space="preserve">See </w:t>
      </w:r>
      <w:r w:rsidRPr="003F6349">
        <w:t xml:space="preserve">5 U.S.C. § 504; 47 </w:t>
      </w:r>
      <w:r w:rsidR="0047159B">
        <w:t>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B" w:rsidRDefault="00DF7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A4" w:rsidRDefault="00D03F3A" w:rsidP="00153AAA">
    <w:pPr>
      <w:pStyle w:val="Header"/>
      <w:rPr>
        <w:b w:val="0"/>
      </w:rPr>
    </w:pPr>
    <w:r>
      <w:rPr>
        <w:noProof/>
      </w:rPr>
      <mc:AlternateContent>
        <mc:Choice Requires="wps">
          <w:drawing>
            <wp:anchor distT="0" distB="0" distL="114300" distR="114300" simplePos="0" relativeHeight="251657728" behindDoc="1" locked="0" layoutInCell="0" allowOverlap="1" wp14:anchorId="584B533F" wp14:editId="5CC580C9">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77F7FF"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9728A4" w:rsidRPr="00843A5F">
      <w:tab/>
      <w:t>Federal Communications Commission</w:t>
    </w:r>
    <w:r w:rsidR="009728A4" w:rsidRPr="00843A5F">
      <w:tab/>
    </w:r>
    <w:r w:rsidR="009728A4" w:rsidRPr="002755D1">
      <w:rPr>
        <w:spacing w:val="-2"/>
      </w:rPr>
      <w:t xml:space="preserve">DA </w:t>
    </w:r>
    <w:r w:rsidR="00AB764B">
      <w:rPr>
        <w:spacing w:val="-2"/>
      </w:rPr>
      <w:t>1</w:t>
    </w:r>
    <w:r w:rsidR="00D877BD">
      <w:rPr>
        <w:spacing w:val="-2"/>
      </w:rPr>
      <w:t>6</w:t>
    </w:r>
    <w:r w:rsidR="009728A4" w:rsidRPr="002755D1">
      <w:rPr>
        <w:spacing w:val="-2"/>
      </w:rPr>
      <w:t>-</w:t>
    </w:r>
    <w:r w:rsidR="00B7430B">
      <w:rPr>
        <w:spacing w:val="-2"/>
      </w:rPr>
      <w:t>466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A4" w:rsidRDefault="00D03F3A" w:rsidP="00153AAA">
    <w:pPr>
      <w:pStyle w:val="Header"/>
      <w:rPr>
        <w:b w:val="0"/>
      </w:rPr>
    </w:pPr>
    <w:r>
      <w:rPr>
        <w:noProof/>
      </w:rPr>
      <mc:AlternateContent>
        <mc:Choice Requires="wps">
          <w:drawing>
            <wp:anchor distT="0" distB="0" distL="114300" distR="114300" simplePos="0" relativeHeight="251656704" behindDoc="1" locked="0" layoutInCell="0" allowOverlap="1" wp14:anchorId="01B9751A" wp14:editId="42CE14D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324714" id="Rectangle 3" o:spid="_x0000_s1026" style="position:absolute;margin-left:.6pt;margin-top:12.65pt;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728A4" w:rsidRPr="00843A5F">
      <w:tab/>
      <w:t>Federal Communications Commission</w:t>
    </w:r>
    <w:r w:rsidR="009728A4" w:rsidRPr="00843A5F">
      <w:tab/>
    </w:r>
    <w:r w:rsidR="009728A4" w:rsidRPr="002755D1">
      <w:rPr>
        <w:spacing w:val="-2"/>
      </w:rPr>
      <w:t xml:space="preserve">DA </w:t>
    </w:r>
    <w:r w:rsidR="00D877BD">
      <w:rPr>
        <w:spacing w:val="-2"/>
      </w:rPr>
      <w:t>16</w:t>
    </w:r>
    <w:r w:rsidR="009728A4" w:rsidRPr="002755D1">
      <w:rPr>
        <w:spacing w:val="-2"/>
      </w:rPr>
      <w:t>-</w:t>
    </w:r>
    <w:r w:rsidR="00B7430B">
      <w:rPr>
        <w:spacing w:val="-2"/>
      </w:rPr>
      <w:t>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AB6486A8"/>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F93963"/>
    <w:multiLevelType w:val="hybridMultilevel"/>
    <w:tmpl w:val="398AF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42F45"/>
    <w:multiLevelType w:val="hybridMultilevel"/>
    <w:tmpl w:val="43B85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72E2BBE"/>
    <w:multiLevelType w:val="hybridMultilevel"/>
    <w:tmpl w:val="3E8C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AC2625"/>
    <w:multiLevelType w:val="hybridMultilevel"/>
    <w:tmpl w:val="7CC29DDA"/>
    <w:lvl w:ilvl="0" w:tplc="04090001">
      <w:start w:val="1"/>
      <w:numFmt w:val="bullet"/>
      <w:lvlText w:val=""/>
      <w:lvlJc w:val="left"/>
      <w:pPr>
        <w:tabs>
          <w:tab w:val="num" w:pos="1872"/>
        </w:tabs>
        <w:ind w:left="1872" w:hanging="432"/>
      </w:pPr>
      <w:rPr>
        <w:rFonts w:ascii="Symbol" w:hAnsi="Symbol" w:hint="default"/>
        <w:b w:val="0"/>
        <w:i w:val="0"/>
        <w:sz w:val="22"/>
        <w:szCs w:val="22"/>
      </w:rPr>
    </w:lvl>
    <w:lvl w:ilvl="1" w:tplc="04090001">
      <w:start w:val="1"/>
      <w:numFmt w:val="bullet"/>
      <w:lvlText w:val=""/>
      <w:lvlJc w:val="left"/>
      <w:pPr>
        <w:tabs>
          <w:tab w:val="num" w:pos="2088"/>
        </w:tabs>
        <w:ind w:left="2088" w:hanging="360"/>
      </w:pPr>
      <w:rPr>
        <w:rFonts w:ascii="Symbol" w:hAnsi="Symbol" w:hint="default"/>
      </w:rPr>
    </w:lvl>
    <w:lvl w:ilvl="2" w:tplc="04090015">
      <w:start w:val="1"/>
      <w:numFmt w:val="upperLetter"/>
      <w:lvlText w:val="%3."/>
      <w:lvlJc w:val="left"/>
      <w:pPr>
        <w:tabs>
          <w:tab w:val="num" w:pos="2808"/>
        </w:tabs>
        <w:ind w:left="2808" w:hanging="180"/>
      </w:pPr>
      <w:rPr>
        <w:rFonts w:hint="default"/>
      </w:rPr>
    </w:lvl>
    <w:lvl w:ilvl="3" w:tplc="04090001">
      <w:start w:val="1"/>
      <w:numFmt w:val="bullet"/>
      <w:lvlText w:val=""/>
      <w:lvlJc w:val="left"/>
      <w:pPr>
        <w:tabs>
          <w:tab w:val="num" w:pos="3528"/>
        </w:tabs>
        <w:ind w:left="3528" w:hanging="360"/>
      </w:pPr>
      <w:rPr>
        <w:rFonts w:ascii="Symbol" w:hAnsi="Symbol"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7">
    <w:nsid w:val="76253019"/>
    <w:multiLevelType w:val="hybridMultilevel"/>
    <w:tmpl w:val="7FB4A90A"/>
    <w:lvl w:ilvl="0" w:tplc="04090001">
      <w:start w:val="1"/>
      <w:numFmt w:val="bullet"/>
      <w:lvlText w:val=""/>
      <w:lvlJc w:val="left"/>
      <w:pPr>
        <w:tabs>
          <w:tab w:val="num" w:pos="1872"/>
        </w:tabs>
        <w:ind w:left="1872" w:hanging="432"/>
      </w:pPr>
      <w:rPr>
        <w:rFonts w:ascii="Symbol" w:hAnsi="Symbol" w:hint="default"/>
        <w:b w:val="0"/>
        <w:i w:val="0"/>
        <w:sz w:val="22"/>
        <w:szCs w:val="22"/>
      </w:rPr>
    </w:lvl>
    <w:lvl w:ilvl="1" w:tplc="04090001">
      <w:start w:val="1"/>
      <w:numFmt w:val="bullet"/>
      <w:lvlText w:val=""/>
      <w:lvlJc w:val="left"/>
      <w:pPr>
        <w:tabs>
          <w:tab w:val="num" w:pos="2088"/>
        </w:tabs>
        <w:ind w:left="2088" w:hanging="360"/>
      </w:pPr>
      <w:rPr>
        <w:rFonts w:ascii="Symbol" w:hAnsi="Symbol" w:hint="default"/>
      </w:rPr>
    </w:lvl>
    <w:lvl w:ilvl="2" w:tplc="04090015">
      <w:start w:val="1"/>
      <w:numFmt w:val="upperLetter"/>
      <w:lvlText w:val="%3."/>
      <w:lvlJc w:val="left"/>
      <w:pPr>
        <w:tabs>
          <w:tab w:val="num" w:pos="2808"/>
        </w:tabs>
        <w:ind w:left="2808" w:hanging="180"/>
      </w:pPr>
      <w:rPr>
        <w:rFonts w:hint="default"/>
      </w:rPr>
    </w:lvl>
    <w:lvl w:ilvl="3" w:tplc="04090001">
      <w:start w:val="1"/>
      <w:numFmt w:val="bullet"/>
      <w:lvlText w:val=""/>
      <w:lvlJc w:val="left"/>
      <w:pPr>
        <w:tabs>
          <w:tab w:val="num" w:pos="3528"/>
        </w:tabs>
        <w:ind w:left="3528" w:hanging="360"/>
      </w:pPr>
      <w:rPr>
        <w:rFonts w:ascii="Symbol" w:hAnsi="Symbol"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8">
    <w:nsid w:val="767D5950"/>
    <w:multiLevelType w:val="hybridMultilevel"/>
    <w:tmpl w:val="7820DC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3"/>
  </w:num>
  <w:num w:numId="5">
    <w:abstractNumId w:val="2"/>
  </w:num>
  <w:num w:numId="6">
    <w:abstractNumId w:val="17"/>
  </w:num>
  <w:num w:numId="7">
    <w:abstractNumId w:val="1"/>
  </w:num>
  <w:num w:numId="8">
    <w:abstractNumId w:val="12"/>
    <w:lvlOverride w:ilvl="0">
      <w:startOverride w:val="1"/>
    </w:lvlOverride>
  </w:num>
  <w:num w:numId="9">
    <w:abstractNumId w:val="8"/>
  </w:num>
  <w:num w:numId="10">
    <w:abstractNumId w:val="4"/>
  </w:num>
  <w:num w:numId="11">
    <w:abstractNumId w:val="11"/>
  </w:num>
  <w:num w:numId="12">
    <w:abstractNumId w:val="5"/>
  </w:num>
  <w:num w:numId="13">
    <w:abstractNumId w:val="0"/>
  </w:num>
  <w:num w:numId="14">
    <w:abstractNumId w:val="3"/>
  </w:num>
  <w:num w:numId="15">
    <w:abstractNumId w:val="12"/>
    <w:lvlOverride w:ilvl="0">
      <w:startOverride w:val="4"/>
    </w:lvlOverride>
  </w:num>
  <w:num w:numId="16">
    <w:abstractNumId w:val="12"/>
    <w:lvlOverride w:ilvl="0">
      <w:startOverride w:val="22"/>
    </w:lvlOverride>
  </w:num>
  <w:num w:numId="17">
    <w:abstractNumId w:val="18"/>
  </w:num>
  <w:num w:numId="18">
    <w:abstractNumId w:val="9"/>
  </w:num>
  <w:num w:numId="19">
    <w:abstractNumId w:val="15"/>
  </w:num>
  <w:num w:numId="20">
    <w:abstractNumId w:val="14"/>
  </w:num>
  <w:num w:numId="21">
    <w:abstractNumId w:val="7"/>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02931"/>
    <w:rsid w:val="00006830"/>
    <w:rsid w:val="00013507"/>
    <w:rsid w:val="00014484"/>
    <w:rsid w:val="0001478C"/>
    <w:rsid w:val="00016941"/>
    <w:rsid w:val="00020C87"/>
    <w:rsid w:val="00021FF1"/>
    <w:rsid w:val="0002271C"/>
    <w:rsid w:val="00023DBF"/>
    <w:rsid w:val="00024902"/>
    <w:rsid w:val="00024A5A"/>
    <w:rsid w:val="000251D3"/>
    <w:rsid w:val="0002520D"/>
    <w:rsid w:val="00025225"/>
    <w:rsid w:val="000262C0"/>
    <w:rsid w:val="00026D97"/>
    <w:rsid w:val="00036039"/>
    <w:rsid w:val="00036B37"/>
    <w:rsid w:val="000370C3"/>
    <w:rsid w:val="00037F90"/>
    <w:rsid w:val="00040BB5"/>
    <w:rsid w:val="0004154A"/>
    <w:rsid w:val="000418B0"/>
    <w:rsid w:val="0004267E"/>
    <w:rsid w:val="00043F49"/>
    <w:rsid w:val="0004420C"/>
    <w:rsid w:val="00047C0D"/>
    <w:rsid w:val="000514F1"/>
    <w:rsid w:val="00051558"/>
    <w:rsid w:val="00052391"/>
    <w:rsid w:val="0005396F"/>
    <w:rsid w:val="00053A5F"/>
    <w:rsid w:val="00053BCF"/>
    <w:rsid w:val="000541F3"/>
    <w:rsid w:val="00056276"/>
    <w:rsid w:val="00056788"/>
    <w:rsid w:val="00057348"/>
    <w:rsid w:val="00057F7F"/>
    <w:rsid w:val="000610FE"/>
    <w:rsid w:val="00061A57"/>
    <w:rsid w:val="00063A24"/>
    <w:rsid w:val="00064ADC"/>
    <w:rsid w:val="000661D0"/>
    <w:rsid w:val="000668DA"/>
    <w:rsid w:val="00066CD1"/>
    <w:rsid w:val="0007059D"/>
    <w:rsid w:val="000728FF"/>
    <w:rsid w:val="00073450"/>
    <w:rsid w:val="00073561"/>
    <w:rsid w:val="00074B44"/>
    <w:rsid w:val="00075906"/>
    <w:rsid w:val="000762EF"/>
    <w:rsid w:val="00076C13"/>
    <w:rsid w:val="00077CF1"/>
    <w:rsid w:val="00077F73"/>
    <w:rsid w:val="00082CA0"/>
    <w:rsid w:val="00084C6F"/>
    <w:rsid w:val="0008718F"/>
    <w:rsid w:val="000875BF"/>
    <w:rsid w:val="00090E63"/>
    <w:rsid w:val="00093622"/>
    <w:rsid w:val="00094385"/>
    <w:rsid w:val="00096D8C"/>
    <w:rsid w:val="000971AC"/>
    <w:rsid w:val="000A0B25"/>
    <w:rsid w:val="000A5F07"/>
    <w:rsid w:val="000A7F8A"/>
    <w:rsid w:val="000B00E8"/>
    <w:rsid w:val="000B07B0"/>
    <w:rsid w:val="000B17A6"/>
    <w:rsid w:val="000B1934"/>
    <w:rsid w:val="000B2188"/>
    <w:rsid w:val="000B47A2"/>
    <w:rsid w:val="000B622D"/>
    <w:rsid w:val="000B7571"/>
    <w:rsid w:val="000C0495"/>
    <w:rsid w:val="000C0B65"/>
    <w:rsid w:val="000C1133"/>
    <w:rsid w:val="000C27BB"/>
    <w:rsid w:val="000C38E0"/>
    <w:rsid w:val="000C3AFB"/>
    <w:rsid w:val="000C739A"/>
    <w:rsid w:val="000D053A"/>
    <w:rsid w:val="000D104F"/>
    <w:rsid w:val="000D2787"/>
    <w:rsid w:val="000D32DF"/>
    <w:rsid w:val="000D5798"/>
    <w:rsid w:val="000D5CC3"/>
    <w:rsid w:val="000E05FE"/>
    <w:rsid w:val="000E34BD"/>
    <w:rsid w:val="000E3D42"/>
    <w:rsid w:val="000E435D"/>
    <w:rsid w:val="000E4983"/>
    <w:rsid w:val="000E655A"/>
    <w:rsid w:val="000E6874"/>
    <w:rsid w:val="000F5194"/>
    <w:rsid w:val="001007D7"/>
    <w:rsid w:val="001011FD"/>
    <w:rsid w:val="0011427B"/>
    <w:rsid w:val="0012109C"/>
    <w:rsid w:val="00122296"/>
    <w:rsid w:val="0012234C"/>
    <w:rsid w:val="00122BD5"/>
    <w:rsid w:val="0012356D"/>
    <w:rsid w:val="0012533D"/>
    <w:rsid w:val="00126CA2"/>
    <w:rsid w:val="0012724E"/>
    <w:rsid w:val="001278CC"/>
    <w:rsid w:val="001311AF"/>
    <w:rsid w:val="001314FC"/>
    <w:rsid w:val="0013249B"/>
    <w:rsid w:val="00133F79"/>
    <w:rsid w:val="00135FC0"/>
    <w:rsid w:val="00141C84"/>
    <w:rsid w:val="001438DA"/>
    <w:rsid w:val="00143D5E"/>
    <w:rsid w:val="00146154"/>
    <w:rsid w:val="00147622"/>
    <w:rsid w:val="0015122B"/>
    <w:rsid w:val="0015224A"/>
    <w:rsid w:val="00152EBE"/>
    <w:rsid w:val="00153AAA"/>
    <w:rsid w:val="00154477"/>
    <w:rsid w:val="0015587A"/>
    <w:rsid w:val="00155C0B"/>
    <w:rsid w:val="001607BC"/>
    <w:rsid w:val="00161D7D"/>
    <w:rsid w:val="00161D89"/>
    <w:rsid w:val="001643A2"/>
    <w:rsid w:val="00165761"/>
    <w:rsid w:val="00166BCC"/>
    <w:rsid w:val="00171C94"/>
    <w:rsid w:val="00172073"/>
    <w:rsid w:val="00172386"/>
    <w:rsid w:val="00173D38"/>
    <w:rsid w:val="001741BD"/>
    <w:rsid w:val="00175B33"/>
    <w:rsid w:val="00176594"/>
    <w:rsid w:val="001815BC"/>
    <w:rsid w:val="00182304"/>
    <w:rsid w:val="001830F7"/>
    <w:rsid w:val="001843FA"/>
    <w:rsid w:val="00186182"/>
    <w:rsid w:val="001905B9"/>
    <w:rsid w:val="00190C82"/>
    <w:rsid w:val="00190ED7"/>
    <w:rsid w:val="0019214A"/>
    <w:rsid w:val="001933D7"/>
    <w:rsid w:val="001938E8"/>
    <w:rsid w:val="00194A66"/>
    <w:rsid w:val="00194A83"/>
    <w:rsid w:val="00195E39"/>
    <w:rsid w:val="001A0C19"/>
    <w:rsid w:val="001A5288"/>
    <w:rsid w:val="001A7134"/>
    <w:rsid w:val="001B2424"/>
    <w:rsid w:val="001B53C1"/>
    <w:rsid w:val="001B7217"/>
    <w:rsid w:val="001B74D4"/>
    <w:rsid w:val="001C1346"/>
    <w:rsid w:val="001C4926"/>
    <w:rsid w:val="001C71E0"/>
    <w:rsid w:val="001D37A4"/>
    <w:rsid w:val="001D41E6"/>
    <w:rsid w:val="001D45AE"/>
    <w:rsid w:val="001D4CD4"/>
    <w:rsid w:val="001D4FDC"/>
    <w:rsid w:val="001D636A"/>
    <w:rsid w:val="001D6BCF"/>
    <w:rsid w:val="001D70DC"/>
    <w:rsid w:val="001E01CA"/>
    <w:rsid w:val="001E590E"/>
    <w:rsid w:val="001E7427"/>
    <w:rsid w:val="001F700A"/>
    <w:rsid w:val="0020097E"/>
    <w:rsid w:val="00202C85"/>
    <w:rsid w:val="002032AF"/>
    <w:rsid w:val="00205FD4"/>
    <w:rsid w:val="00207E47"/>
    <w:rsid w:val="002110DD"/>
    <w:rsid w:val="002128EE"/>
    <w:rsid w:val="00212F9A"/>
    <w:rsid w:val="00214FDD"/>
    <w:rsid w:val="00215DD6"/>
    <w:rsid w:val="00217EEC"/>
    <w:rsid w:val="00217F43"/>
    <w:rsid w:val="00220A10"/>
    <w:rsid w:val="0022166D"/>
    <w:rsid w:val="00232A74"/>
    <w:rsid w:val="00233B97"/>
    <w:rsid w:val="002353F4"/>
    <w:rsid w:val="00235BBD"/>
    <w:rsid w:val="00237EC2"/>
    <w:rsid w:val="002436B5"/>
    <w:rsid w:val="00243CAC"/>
    <w:rsid w:val="00244180"/>
    <w:rsid w:val="00246786"/>
    <w:rsid w:val="00247A6C"/>
    <w:rsid w:val="002513FB"/>
    <w:rsid w:val="00252AEB"/>
    <w:rsid w:val="002557F6"/>
    <w:rsid w:val="00261648"/>
    <w:rsid w:val="002629E6"/>
    <w:rsid w:val="00262C95"/>
    <w:rsid w:val="00263706"/>
    <w:rsid w:val="00265011"/>
    <w:rsid w:val="00266663"/>
    <w:rsid w:val="00270133"/>
    <w:rsid w:val="002732B5"/>
    <w:rsid w:val="002746E1"/>
    <w:rsid w:val="002755D1"/>
    <w:rsid w:val="00275CF5"/>
    <w:rsid w:val="00276774"/>
    <w:rsid w:val="00276A71"/>
    <w:rsid w:val="002803B1"/>
    <w:rsid w:val="002809BD"/>
    <w:rsid w:val="00282FD0"/>
    <w:rsid w:val="0028301F"/>
    <w:rsid w:val="00285017"/>
    <w:rsid w:val="00286347"/>
    <w:rsid w:val="00287687"/>
    <w:rsid w:val="00291A92"/>
    <w:rsid w:val="00291C83"/>
    <w:rsid w:val="00291D68"/>
    <w:rsid w:val="00293E2B"/>
    <w:rsid w:val="00295954"/>
    <w:rsid w:val="002A2D2E"/>
    <w:rsid w:val="002A4B38"/>
    <w:rsid w:val="002B1765"/>
    <w:rsid w:val="002B19D2"/>
    <w:rsid w:val="002B1AD4"/>
    <w:rsid w:val="002B1C1F"/>
    <w:rsid w:val="002B2C29"/>
    <w:rsid w:val="002B32C7"/>
    <w:rsid w:val="002B5AA5"/>
    <w:rsid w:val="002C00E8"/>
    <w:rsid w:val="002C14B4"/>
    <w:rsid w:val="002C1AC5"/>
    <w:rsid w:val="002C1DDB"/>
    <w:rsid w:val="002C4E2A"/>
    <w:rsid w:val="002D3A88"/>
    <w:rsid w:val="002E1D57"/>
    <w:rsid w:val="002E25B2"/>
    <w:rsid w:val="002E34A1"/>
    <w:rsid w:val="002E46B8"/>
    <w:rsid w:val="002E4E09"/>
    <w:rsid w:val="002E7E71"/>
    <w:rsid w:val="002F06FC"/>
    <w:rsid w:val="002F0A22"/>
    <w:rsid w:val="002F0DBC"/>
    <w:rsid w:val="002F1E83"/>
    <w:rsid w:val="002F7012"/>
    <w:rsid w:val="003010FA"/>
    <w:rsid w:val="00301368"/>
    <w:rsid w:val="00301AC9"/>
    <w:rsid w:val="003027C5"/>
    <w:rsid w:val="00302835"/>
    <w:rsid w:val="00302AC4"/>
    <w:rsid w:val="00302C38"/>
    <w:rsid w:val="003058A7"/>
    <w:rsid w:val="0030632B"/>
    <w:rsid w:val="003068AB"/>
    <w:rsid w:val="003128F5"/>
    <w:rsid w:val="00312AD8"/>
    <w:rsid w:val="003130C8"/>
    <w:rsid w:val="00313B11"/>
    <w:rsid w:val="00313EB2"/>
    <w:rsid w:val="00315822"/>
    <w:rsid w:val="0032073D"/>
    <w:rsid w:val="00320826"/>
    <w:rsid w:val="00323039"/>
    <w:rsid w:val="003256E8"/>
    <w:rsid w:val="00327FAD"/>
    <w:rsid w:val="003329C5"/>
    <w:rsid w:val="00334405"/>
    <w:rsid w:val="003350CD"/>
    <w:rsid w:val="00335481"/>
    <w:rsid w:val="00335DFF"/>
    <w:rsid w:val="00340066"/>
    <w:rsid w:val="00341EB5"/>
    <w:rsid w:val="00343749"/>
    <w:rsid w:val="003445EC"/>
    <w:rsid w:val="00344C16"/>
    <w:rsid w:val="0034569C"/>
    <w:rsid w:val="00346637"/>
    <w:rsid w:val="003533DC"/>
    <w:rsid w:val="003568EA"/>
    <w:rsid w:val="00360540"/>
    <w:rsid w:val="00361ECF"/>
    <w:rsid w:val="0036382D"/>
    <w:rsid w:val="003649A3"/>
    <w:rsid w:val="003660ED"/>
    <w:rsid w:val="003670D7"/>
    <w:rsid w:val="00375E8E"/>
    <w:rsid w:val="00376EBA"/>
    <w:rsid w:val="00377418"/>
    <w:rsid w:val="003828EA"/>
    <w:rsid w:val="00383DA1"/>
    <w:rsid w:val="00386561"/>
    <w:rsid w:val="00393CA4"/>
    <w:rsid w:val="00394651"/>
    <w:rsid w:val="00394828"/>
    <w:rsid w:val="003A171D"/>
    <w:rsid w:val="003A2E1D"/>
    <w:rsid w:val="003A2EBE"/>
    <w:rsid w:val="003A442E"/>
    <w:rsid w:val="003A6503"/>
    <w:rsid w:val="003A683B"/>
    <w:rsid w:val="003B0550"/>
    <w:rsid w:val="003B36E3"/>
    <w:rsid w:val="003B4047"/>
    <w:rsid w:val="003B4158"/>
    <w:rsid w:val="003B5426"/>
    <w:rsid w:val="003B59AC"/>
    <w:rsid w:val="003B5E3A"/>
    <w:rsid w:val="003B694F"/>
    <w:rsid w:val="003C1414"/>
    <w:rsid w:val="003C1F96"/>
    <w:rsid w:val="003C4A20"/>
    <w:rsid w:val="003C4BCC"/>
    <w:rsid w:val="003D1E81"/>
    <w:rsid w:val="003D2D04"/>
    <w:rsid w:val="003D47CA"/>
    <w:rsid w:val="003D7A7D"/>
    <w:rsid w:val="003E0060"/>
    <w:rsid w:val="003E21A4"/>
    <w:rsid w:val="003E26CC"/>
    <w:rsid w:val="003E3777"/>
    <w:rsid w:val="003E575A"/>
    <w:rsid w:val="003E7B77"/>
    <w:rsid w:val="003F171C"/>
    <w:rsid w:val="003F20BF"/>
    <w:rsid w:val="003F5CF7"/>
    <w:rsid w:val="003F7213"/>
    <w:rsid w:val="0040231B"/>
    <w:rsid w:val="00403E5B"/>
    <w:rsid w:val="0040570B"/>
    <w:rsid w:val="004066D3"/>
    <w:rsid w:val="00412D14"/>
    <w:rsid w:val="00412FC5"/>
    <w:rsid w:val="004142B0"/>
    <w:rsid w:val="00416232"/>
    <w:rsid w:val="00422276"/>
    <w:rsid w:val="0042335E"/>
    <w:rsid w:val="00424121"/>
    <w:rsid w:val="004242F1"/>
    <w:rsid w:val="00426242"/>
    <w:rsid w:val="00426D94"/>
    <w:rsid w:val="00427EC7"/>
    <w:rsid w:val="004305E9"/>
    <w:rsid w:val="00440A39"/>
    <w:rsid w:val="0044203A"/>
    <w:rsid w:val="0044480C"/>
    <w:rsid w:val="00445A00"/>
    <w:rsid w:val="00447A1A"/>
    <w:rsid w:val="00450FBB"/>
    <w:rsid w:val="00451B0F"/>
    <w:rsid w:val="00453A9E"/>
    <w:rsid w:val="00457700"/>
    <w:rsid w:val="004620CB"/>
    <w:rsid w:val="00462749"/>
    <w:rsid w:val="0046549C"/>
    <w:rsid w:val="00467340"/>
    <w:rsid w:val="004676BE"/>
    <w:rsid w:val="00467CC0"/>
    <w:rsid w:val="0047159B"/>
    <w:rsid w:val="004722F2"/>
    <w:rsid w:val="0047286C"/>
    <w:rsid w:val="00472C90"/>
    <w:rsid w:val="00474905"/>
    <w:rsid w:val="004763AE"/>
    <w:rsid w:val="00477410"/>
    <w:rsid w:val="00481FB5"/>
    <w:rsid w:val="0048570B"/>
    <w:rsid w:val="00485C9F"/>
    <w:rsid w:val="00486029"/>
    <w:rsid w:val="00486AAF"/>
    <w:rsid w:val="0048737C"/>
    <w:rsid w:val="00487DA4"/>
    <w:rsid w:val="004A09E2"/>
    <w:rsid w:val="004A0A96"/>
    <w:rsid w:val="004A2939"/>
    <w:rsid w:val="004A5FBA"/>
    <w:rsid w:val="004A6D1C"/>
    <w:rsid w:val="004A7F18"/>
    <w:rsid w:val="004C10C0"/>
    <w:rsid w:val="004C1E9A"/>
    <w:rsid w:val="004C284F"/>
    <w:rsid w:val="004C2EE3"/>
    <w:rsid w:val="004C303F"/>
    <w:rsid w:val="004D1D9F"/>
    <w:rsid w:val="004D4F44"/>
    <w:rsid w:val="004E0FDF"/>
    <w:rsid w:val="004E39BC"/>
    <w:rsid w:val="004E3C27"/>
    <w:rsid w:val="004E4A22"/>
    <w:rsid w:val="004E4F32"/>
    <w:rsid w:val="004E5ED4"/>
    <w:rsid w:val="004F399B"/>
    <w:rsid w:val="004F493A"/>
    <w:rsid w:val="004F5A67"/>
    <w:rsid w:val="004F69A6"/>
    <w:rsid w:val="0050055C"/>
    <w:rsid w:val="00501B19"/>
    <w:rsid w:val="00502663"/>
    <w:rsid w:val="00506A8E"/>
    <w:rsid w:val="00510DA1"/>
    <w:rsid w:val="00511968"/>
    <w:rsid w:val="00514C69"/>
    <w:rsid w:val="00516CB4"/>
    <w:rsid w:val="0051761D"/>
    <w:rsid w:val="005176CF"/>
    <w:rsid w:val="00520385"/>
    <w:rsid w:val="00520961"/>
    <w:rsid w:val="0052112B"/>
    <w:rsid w:val="005311E3"/>
    <w:rsid w:val="00536B76"/>
    <w:rsid w:val="00543E51"/>
    <w:rsid w:val="00544C9E"/>
    <w:rsid w:val="00545751"/>
    <w:rsid w:val="0055035F"/>
    <w:rsid w:val="00550AC3"/>
    <w:rsid w:val="00552E46"/>
    <w:rsid w:val="00554498"/>
    <w:rsid w:val="005550BD"/>
    <w:rsid w:val="00555C8A"/>
    <w:rsid w:val="0055614C"/>
    <w:rsid w:val="005561EA"/>
    <w:rsid w:val="00556584"/>
    <w:rsid w:val="00560DA5"/>
    <w:rsid w:val="0056203E"/>
    <w:rsid w:val="00562DFF"/>
    <w:rsid w:val="0056472A"/>
    <w:rsid w:val="00565042"/>
    <w:rsid w:val="00566E45"/>
    <w:rsid w:val="00566E9B"/>
    <w:rsid w:val="005675C2"/>
    <w:rsid w:val="00572F28"/>
    <w:rsid w:val="005812D7"/>
    <w:rsid w:val="00582BA0"/>
    <w:rsid w:val="00584644"/>
    <w:rsid w:val="0058683E"/>
    <w:rsid w:val="005902EF"/>
    <w:rsid w:val="00592417"/>
    <w:rsid w:val="00593AD8"/>
    <w:rsid w:val="00593EAD"/>
    <w:rsid w:val="005959BC"/>
    <w:rsid w:val="005A26B3"/>
    <w:rsid w:val="005A5FC7"/>
    <w:rsid w:val="005B4F0E"/>
    <w:rsid w:val="005B572D"/>
    <w:rsid w:val="005B669A"/>
    <w:rsid w:val="005C0023"/>
    <w:rsid w:val="005C2461"/>
    <w:rsid w:val="005C6BF8"/>
    <w:rsid w:val="005D21D7"/>
    <w:rsid w:val="005D2C62"/>
    <w:rsid w:val="005D5341"/>
    <w:rsid w:val="005E0AB7"/>
    <w:rsid w:val="005E10F1"/>
    <w:rsid w:val="005E14C2"/>
    <w:rsid w:val="005E1D68"/>
    <w:rsid w:val="005E2CBE"/>
    <w:rsid w:val="005E3681"/>
    <w:rsid w:val="005E5573"/>
    <w:rsid w:val="005E6193"/>
    <w:rsid w:val="005F39E3"/>
    <w:rsid w:val="005F429D"/>
    <w:rsid w:val="005F56D4"/>
    <w:rsid w:val="00600282"/>
    <w:rsid w:val="006013D1"/>
    <w:rsid w:val="00601818"/>
    <w:rsid w:val="00605E26"/>
    <w:rsid w:val="00605F22"/>
    <w:rsid w:val="0060622A"/>
    <w:rsid w:val="00607BA5"/>
    <w:rsid w:val="00610208"/>
    <w:rsid w:val="0061180A"/>
    <w:rsid w:val="00613464"/>
    <w:rsid w:val="00621C39"/>
    <w:rsid w:val="00623967"/>
    <w:rsid w:val="0062460D"/>
    <w:rsid w:val="00626EB6"/>
    <w:rsid w:val="0063092C"/>
    <w:rsid w:val="00631CDF"/>
    <w:rsid w:val="00633B93"/>
    <w:rsid w:val="00637703"/>
    <w:rsid w:val="006459B1"/>
    <w:rsid w:val="00646C36"/>
    <w:rsid w:val="00647ACB"/>
    <w:rsid w:val="006510C3"/>
    <w:rsid w:val="00652072"/>
    <w:rsid w:val="00652649"/>
    <w:rsid w:val="0065270B"/>
    <w:rsid w:val="006534CA"/>
    <w:rsid w:val="00655D03"/>
    <w:rsid w:val="0066152F"/>
    <w:rsid w:val="00665373"/>
    <w:rsid w:val="00665547"/>
    <w:rsid w:val="00671880"/>
    <w:rsid w:val="00671A15"/>
    <w:rsid w:val="0067432A"/>
    <w:rsid w:val="00683388"/>
    <w:rsid w:val="00683B2D"/>
    <w:rsid w:val="00683F1F"/>
    <w:rsid w:val="00683F84"/>
    <w:rsid w:val="00685AD9"/>
    <w:rsid w:val="006918C5"/>
    <w:rsid w:val="00692F67"/>
    <w:rsid w:val="0069341E"/>
    <w:rsid w:val="006A0CCD"/>
    <w:rsid w:val="006A16B3"/>
    <w:rsid w:val="006A1820"/>
    <w:rsid w:val="006A551D"/>
    <w:rsid w:val="006A6A81"/>
    <w:rsid w:val="006B4007"/>
    <w:rsid w:val="006B4071"/>
    <w:rsid w:val="006C21B8"/>
    <w:rsid w:val="006C2F8E"/>
    <w:rsid w:val="006C3459"/>
    <w:rsid w:val="006C74B5"/>
    <w:rsid w:val="006C7DEB"/>
    <w:rsid w:val="006D133D"/>
    <w:rsid w:val="006D45ED"/>
    <w:rsid w:val="006D475C"/>
    <w:rsid w:val="006E0700"/>
    <w:rsid w:val="006E207C"/>
    <w:rsid w:val="006E2695"/>
    <w:rsid w:val="006E4E12"/>
    <w:rsid w:val="006E542C"/>
    <w:rsid w:val="006E6475"/>
    <w:rsid w:val="006E6C21"/>
    <w:rsid w:val="006F0C64"/>
    <w:rsid w:val="006F1EA7"/>
    <w:rsid w:val="006F2AC9"/>
    <w:rsid w:val="006F7147"/>
    <w:rsid w:val="006F7393"/>
    <w:rsid w:val="0070112A"/>
    <w:rsid w:val="0070224F"/>
    <w:rsid w:val="0070395F"/>
    <w:rsid w:val="00703BD1"/>
    <w:rsid w:val="007066DB"/>
    <w:rsid w:val="007068E3"/>
    <w:rsid w:val="00707D0F"/>
    <w:rsid w:val="00710CC1"/>
    <w:rsid w:val="007115F7"/>
    <w:rsid w:val="00712B39"/>
    <w:rsid w:val="00713625"/>
    <w:rsid w:val="00717408"/>
    <w:rsid w:val="00717B38"/>
    <w:rsid w:val="00721210"/>
    <w:rsid w:val="007237D8"/>
    <w:rsid w:val="007405DB"/>
    <w:rsid w:val="00741A73"/>
    <w:rsid w:val="00746EEE"/>
    <w:rsid w:val="00750FEA"/>
    <w:rsid w:val="00752151"/>
    <w:rsid w:val="00753E68"/>
    <w:rsid w:val="007563C6"/>
    <w:rsid w:val="00756428"/>
    <w:rsid w:val="007567C9"/>
    <w:rsid w:val="0076646D"/>
    <w:rsid w:val="00770B53"/>
    <w:rsid w:val="007729F5"/>
    <w:rsid w:val="007758BB"/>
    <w:rsid w:val="007760CA"/>
    <w:rsid w:val="0078084A"/>
    <w:rsid w:val="00782F47"/>
    <w:rsid w:val="0078319E"/>
    <w:rsid w:val="00784C17"/>
    <w:rsid w:val="00785689"/>
    <w:rsid w:val="0078789C"/>
    <w:rsid w:val="00791B47"/>
    <w:rsid w:val="0079754B"/>
    <w:rsid w:val="0079773F"/>
    <w:rsid w:val="007A1E6D"/>
    <w:rsid w:val="007A3F50"/>
    <w:rsid w:val="007A541A"/>
    <w:rsid w:val="007A5D6A"/>
    <w:rsid w:val="007B0A7B"/>
    <w:rsid w:val="007B0D37"/>
    <w:rsid w:val="007B0EB2"/>
    <w:rsid w:val="007B2545"/>
    <w:rsid w:val="007B5620"/>
    <w:rsid w:val="007C0B2B"/>
    <w:rsid w:val="007C0B39"/>
    <w:rsid w:val="007C0CDE"/>
    <w:rsid w:val="007C1420"/>
    <w:rsid w:val="007C3808"/>
    <w:rsid w:val="007C473D"/>
    <w:rsid w:val="007C5FAB"/>
    <w:rsid w:val="007D19A5"/>
    <w:rsid w:val="007D2615"/>
    <w:rsid w:val="007D37B6"/>
    <w:rsid w:val="007D7327"/>
    <w:rsid w:val="007D7BED"/>
    <w:rsid w:val="007D7F87"/>
    <w:rsid w:val="007E006A"/>
    <w:rsid w:val="007E2EBD"/>
    <w:rsid w:val="007E3C24"/>
    <w:rsid w:val="007E4EEB"/>
    <w:rsid w:val="007E52E7"/>
    <w:rsid w:val="007E6B8D"/>
    <w:rsid w:val="007F1BAD"/>
    <w:rsid w:val="007F2132"/>
    <w:rsid w:val="007F766D"/>
    <w:rsid w:val="00802F95"/>
    <w:rsid w:val="00805BF5"/>
    <w:rsid w:val="00806024"/>
    <w:rsid w:val="00806194"/>
    <w:rsid w:val="008062B4"/>
    <w:rsid w:val="0080633E"/>
    <w:rsid w:val="0080718C"/>
    <w:rsid w:val="008107B7"/>
    <w:rsid w:val="00810B6F"/>
    <w:rsid w:val="008128EC"/>
    <w:rsid w:val="0081558D"/>
    <w:rsid w:val="008155A1"/>
    <w:rsid w:val="00815E33"/>
    <w:rsid w:val="00822CE0"/>
    <w:rsid w:val="0082510C"/>
    <w:rsid w:val="008257A7"/>
    <w:rsid w:val="008278CA"/>
    <w:rsid w:val="00830A41"/>
    <w:rsid w:val="00831F33"/>
    <w:rsid w:val="00832DE8"/>
    <w:rsid w:val="008335CC"/>
    <w:rsid w:val="0083430D"/>
    <w:rsid w:val="00834600"/>
    <w:rsid w:val="00834885"/>
    <w:rsid w:val="0083587E"/>
    <w:rsid w:val="008419FA"/>
    <w:rsid w:val="00841AB1"/>
    <w:rsid w:val="00842EF2"/>
    <w:rsid w:val="00843A5F"/>
    <w:rsid w:val="00850299"/>
    <w:rsid w:val="00850370"/>
    <w:rsid w:val="0085146D"/>
    <w:rsid w:val="00851799"/>
    <w:rsid w:val="00852593"/>
    <w:rsid w:val="0085265F"/>
    <w:rsid w:val="00852C33"/>
    <w:rsid w:val="00855AC2"/>
    <w:rsid w:val="00856D5C"/>
    <w:rsid w:val="008647A7"/>
    <w:rsid w:val="00875260"/>
    <w:rsid w:val="00883524"/>
    <w:rsid w:val="00884899"/>
    <w:rsid w:val="008951F2"/>
    <w:rsid w:val="00897373"/>
    <w:rsid w:val="008A0C4A"/>
    <w:rsid w:val="008A1C76"/>
    <w:rsid w:val="008A2AD9"/>
    <w:rsid w:val="008A3BFE"/>
    <w:rsid w:val="008A7975"/>
    <w:rsid w:val="008A7AD7"/>
    <w:rsid w:val="008B1570"/>
    <w:rsid w:val="008B20A1"/>
    <w:rsid w:val="008B44A9"/>
    <w:rsid w:val="008B628C"/>
    <w:rsid w:val="008B6694"/>
    <w:rsid w:val="008C5D21"/>
    <w:rsid w:val="008C68F1"/>
    <w:rsid w:val="008C7262"/>
    <w:rsid w:val="008D06AD"/>
    <w:rsid w:val="008D2180"/>
    <w:rsid w:val="008D3C3F"/>
    <w:rsid w:val="008D6611"/>
    <w:rsid w:val="008D79FA"/>
    <w:rsid w:val="008E3790"/>
    <w:rsid w:val="008E3B82"/>
    <w:rsid w:val="008E3F80"/>
    <w:rsid w:val="008E5A04"/>
    <w:rsid w:val="008F2DBF"/>
    <w:rsid w:val="008F3053"/>
    <w:rsid w:val="009002DD"/>
    <w:rsid w:val="00900EBE"/>
    <w:rsid w:val="00901E3F"/>
    <w:rsid w:val="009068C2"/>
    <w:rsid w:val="00913231"/>
    <w:rsid w:val="0091483A"/>
    <w:rsid w:val="009150AB"/>
    <w:rsid w:val="00916209"/>
    <w:rsid w:val="0091651D"/>
    <w:rsid w:val="00921803"/>
    <w:rsid w:val="00923CB6"/>
    <w:rsid w:val="00926503"/>
    <w:rsid w:val="00926FC4"/>
    <w:rsid w:val="009279FD"/>
    <w:rsid w:val="00927B1B"/>
    <w:rsid w:val="0093006C"/>
    <w:rsid w:val="00930784"/>
    <w:rsid w:val="0093401D"/>
    <w:rsid w:val="009341CC"/>
    <w:rsid w:val="009345DA"/>
    <w:rsid w:val="00934BE2"/>
    <w:rsid w:val="00936B23"/>
    <w:rsid w:val="00940D08"/>
    <w:rsid w:val="00943889"/>
    <w:rsid w:val="009442B9"/>
    <w:rsid w:val="00944F1A"/>
    <w:rsid w:val="009461FF"/>
    <w:rsid w:val="009476B1"/>
    <w:rsid w:val="0095402A"/>
    <w:rsid w:val="00955201"/>
    <w:rsid w:val="00955457"/>
    <w:rsid w:val="009560A6"/>
    <w:rsid w:val="00960299"/>
    <w:rsid w:val="00960334"/>
    <w:rsid w:val="00962225"/>
    <w:rsid w:val="00963098"/>
    <w:rsid w:val="0096758E"/>
    <w:rsid w:val="00971733"/>
    <w:rsid w:val="0097201E"/>
    <w:rsid w:val="009726D8"/>
    <w:rsid w:val="009728A4"/>
    <w:rsid w:val="00973282"/>
    <w:rsid w:val="0097453F"/>
    <w:rsid w:val="00976541"/>
    <w:rsid w:val="00980648"/>
    <w:rsid w:val="00982541"/>
    <w:rsid w:val="009850EA"/>
    <w:rsid w:val="009868CE"/>
    <w:rsid w:val="00993743"/>
    <w:rsid w:val="00994197"/>
    <w:rsid w:val="0099794C"/>
    <w:rsid w:val="009A17A5"/>
    <w:rsid w:val="009A1B45"/>
    <w:rsid w:val="009A4A1D"/>
    <w:rsid w:val="009A522D"/>
    <w:rsid w:val="009B0177"/>
    <w:rsid w:val="009B2316"/>
    <w:rsid w:val="009B31C8"/>
    <w:rsid w:val="009B474D"/>
    <w:rsid w:val="009B48D0"/>
    <w:rsid w:val="009C36D2"/>
    <w:rsid w:val="009C46DE"/>
    <w:rsid w:val="009C4A6E"/>
    <w:rsid w:val="009C6343"/>
    <w:rsid w:val="009C67B4"/>
    <w:rsid w:val="009D7FB5"/>
    <w:rsid w:val="009E0654"/>
    <w:rsid w:val="009E1DE8"/>
    <w:rsid w:val="009E2673"/>
    <w:rsid w:val="009E26B2"/>
    <w:rsid w:val="009E2D69"/>
    <w:rsid w:val="009E51C5"/>
    <w:rsid w:val="009F087E"/>
    <w:rsid w:val="009F0B1F"/>
    <w:rsid w:val="009F12E3"/>
    <w:rsid w:val="009F1457"/>
    <w:rsid w:val="009F1A33"/>
    <w:rsid w:val="009F1F16"/>
    <w:rsid w:val="009F5E49"/>
    <w:rsid w:val="009F76DB"/>
    <w:rsid w:val="009F7E5F"/>
    <w:rsid w:val="009F7FB6"/>
    <w:rsid w:val="00A0444F"/>
    <w:rsid w:val="00A13790"/>
    <w:rsid w:val="00A13EEC"/>
    <w:rsid w:val="00A14A66"/>
    <w:rsid w:val="00A1560F"/>
    <w:rsid w:val="00A15C4D"/>
    <w:rsid w:val="00A17DF1"/>
    <w:rsid w:val="00A22ACC"/>
    <w:rsid w:val="00A22F06"/>
    <w:rsid w:val="00A2396F"/>
    <w:rsid w:val="00A23F91"/>
    <w:rsid w:val="00A25F32"/>
    <w:rsid w:val="00A26C03"/>
    <w:rsid w:val="00A27761"/>
    <w:rsid w:val="00A27B90"/>
    <w:rsid w:val="00A31D47"/>
    <w:rsid w:val="00A32C3B"/>
    <w:rsid w:val="00A34BAD"/>
    <w:rsid w:val="00A4026B"/>
    <w:rsid w:val="00A442A7"/>
    <w:rsid w:val="00A45B71"/>
    <w:rsid w:val="00A45F4F"/>
    <w:rsid w:val="00A46A99"/>
    <w:rsid w:val="00A475EF"/>
    <w:rsid w:val="00A50EA6"/>
    <w:rsid w:val="00A51F7B"/>
    <w:rsid w:val="00A52DF5"/>
    <w:rsid w:val="00A547F8"/>
    <w:rsid w:val="00A54A18"/>
    <w:rsid w:val="00A5613E"/>
    <w:rsid w:val="00A57726"/>
    <w:rsid w:val="00A57748"/>
    <w:rsid w:val="00A600A9"/>
    <w:rsid w:val="00A65876"/>
    <w:rsid w:val="00A66B78"/>
    <w:rsid w:val="00A73ECB"/>
    <w:rsid w:val="00A74664"/>
    <w:rsid w:val="00A75547"/>
    <w:rsid w:val="00A76576"/>
    <w:rsid w:val="00A8149F"/>
    <w:rsid w:val="00A83C48"/>
    <w:rsid w:val="00A909BC"/>
    <w:rsid w:val="00A92736"/>
    <w:rsid w:val="00A97CCF"/>
    <w:rsid w:val="00AA1A67"/>
    <w:rsid w:val="00AA55B7"/>
    <w:rsid w:val="00AA5B9E"/>
    <w:rsid w:val="00AA5CAE"/>
    <w:rsid w:val="00AB127B"/>
    <w:rsid w:val="00AB19BC"/>
    <w:rsid w:val="00AB2244"/>
    <w:rsid w:val="00AB2407"/>
    <w:rsid w:val="00AB43B3"/>
    <w:rsid w:val="00AB4EEF"/>
    <w:rsid w:val="00AB53DF"/>
    <w:rsid w:val="00AB6ADC"/>
    <w:rsid w:val="00AB764B"/>
    <w:rsid w:val="00AB7997"/>
    <w:rsid w:val="00AC2B38"/>
    <w:rsid w:val="00AC45E1"/>
    <w:rsid w:val="00AC565F"/>
    <w:rsid w:val="00AC67DE"/>
    <w:rsid w:val="00AC7DEE"/>
    <w:rsid w:val="00AC7EDA"/>
    <w:rsid w:val="00AD0401"/>
    <w:rsid w:val="00AD0D6A"/>
    <w:rsid w:val="00AD0F2B"/>
    <w:rsid w:val="00AD2814"/>
    <w:rsid w:val="00AD552D"/>
    <w:rsid w:val="00AD6D76"/>
    <w:rsid w:val="00AD7A7C"/>
    <w:rsid w:val="00AE01BA"/>
    <w:rsid w:val="00AE01C2"/>
    <w:rsid w:val="00AE24D5"/>
    <w:rsid w:val="00AF0A7F"/>
    <w:rsid w:val="00AF4393"/>
    <w:rsid w:val="00B0010E"/>
    <w:rsid w:val="00B0044E"/>
    <w:rsid w:val="00B027AC"/>
    <w:rsid w:val="00B067FE"/>
    <w:rsid w:val="00B07974"/>
    <w:rsid w:val="00B07E5C"/>
    <w:rsid w:val="00B1162B"/>
    <w:rsid w:val="00B1444F"/>
    <w:rsid w:val="00B145D3"/>
    <w:rsid w:val="00B213CA"/>
    <w:rsid w:val="00B22973"/>
    <w:rsid w:val="00B24DFA"/>
    <w:rsid w:val="00B25B8E"/>
    <w:rsid w:val="00B2646D"/>
    <w:rsid w:val="00B26748"/>
    <w:rsid w:val="00B31BC1"/>
    <w:rsid w:val="00B31EC4"/>
    <w:rsid w:val="00B35BA3"/>
    <w:rsid w:val="00B37AA9"/>
    <w:rsid w:val="00B43FC1"/>
    <w:rsid w:val="00B44F6C"/>
    <w:rsid w:val="00B4634E"/>
    <w:rsid w:val="00B47713"/>
    <w:rsid w:val="00B51B28"/>
    <w:rsid w:val="00B52932"/>
    <w:rsid w:val="00B538C2"/>
    <w:rsid w:val="00B62A4D"/>
    <w:rsid w:val="00B62B28"/>
    <w:rsid w:val="00B63F92"/>
    <w:rsid w:val="00B64774"/>
    <w:rsid w:val="00B70490"/>
    <w:rsid w:val="00B709FD"/>
    <w:rsid w:val="00B711BF"/>
    <w:rsid w:val="00B7146B"/>
    <w:rsid w:val="00B71B1F"/>
    <w:rsid w:val="00B71B2E"/>
    <w:rsid w:val="00B73A30"/>
    <w:rsid w:val="00B7430B"/>
    <w:rsid w:val="00B750BB"/>
    <w:rsid w:val="00B750DD"/>
    <w:rsid w:val="00B75A45"/>
    <w:rsid w:val="00B76F47"/>
    <w:rsid w:val="00B77205"/>
    <w:rsid w:val="00B77913"/>
    <w:rsid w:val="00B810D1"/>
    <w:rsid w:val="00B811F7"/>
    <w:rsid w:val="00B8325B"/>
    <w:rsid w:val="00B8387C"/>
    <w:rsid w:val="00B905A7"/>
    <w:rsid w:val="00B9088A"/>
    <w:rsid w:val="00B94251"/>
    <w:rsid w:val="00B94566"/>
    <w:rsid w:val="00BA4365"/>
    <w:rsid w:val="00BA5596"/>
    <w:rsid w:val="00BA5BAA"/>
    <w:rsid w:val="00BA5DC6"/>
    <w:rsid w:val="00BA6196"/>
    <w:rsid w:val="00BA6E59"/>
    <w:rsid w:val="00BA7302"/>
    <w:rsid w:val="00BA74E0"/>
    <w:rsid w:val="00BB28AA"/>
    <w:rsid w:val="00BB440F"/>
    <w:rsid w:val="00BB50A2"/>
    <w:rsid w:val="00BB5AF3"/>
    <w:rsid w:val="00BC513A"/>
    <w:rsid w:val="00BC54A6"/>
    <w:rsid w:val="00BC5D53"/>
    <w:rsid w:val="00BC67CB"/>
    <w:rsid w:val="00BC6A22"/>
    <w:rsid w:val="00BC6D8C"/>
    <w:rsid w:val="00BC7821"/>
    <w:rsid w:val="00BD08D2"/>
    <w:rsid w:val="00BD1231"/>
    <w:rsid w:val="00BD4EBC"/>
    <w:rsid w:val="00BD5B81"/>
    <w:rsid w:val="00BD5BEC"/>
    <w:rsid w:val="00BD5FF8"/>
    <w:rsid w:val="00BE014B"/>
    <w:rsid w:val="00BE096C"/>
    <w:rsid w:val="00BE103C"/>
    <w:rsid w:val="00BE1CA3"/>
    <w:rsid w:val="00BE34F5"/>
    <w:rsid w:val="00BE473C"/>
    <w:rsid w:val="00BE7E75"/>
    <w:rsid w:val="00BF5002"/>
    <w:rsid w:val="00BF684A"/>
    <w:rsid w:val="00BF7A5B"/>
    <w:rsid w:val="00C00986"/>
    <w:rsid w:val="00C014DA"/>
    <w:rsid w:val="00C01E1F"/>
    <w:rsid w:val="00C04651"/>
    <w:rsid w:val="00C049D7"/>
    <w:rsid w:val="00C055F7"/>
    <w:rsid w:val="00C06B1A"/>
    <w:rsid w:val="00C10230"/>
    <w:rsid w:val="00C10327"/>
    <w:rsid w:val="00C13F9D"/>
    <w:rsid w:val="00C13FE8"/>
    <w:rsid w:val="00C165B9"/>
    <w:rsid w:val="00C236AC"/>
    <w:rsid w:val="00C26D8B"/>
    <w:rsid w:val="00C277CC"/>
    <w:rsid w:val="00C27BF9"/>
    <w:rsid w:val="00C34006"/>
    <w:rsid w:val="00C353B8"/>
    <w:rsid w:val="00C35595"/>
    <w:rsid w:val="00C3652C"/>
    <w:rsid w:val="00C40982"/>
    <w:rsid w:val="00C422B7"/>
    <w:rsid w:val="00C426B1"/>
    <w:rsid w:val="00C43E4A"/>
    <w:rsid w:val="00C44D67"/>
    <w:rsid w:val="00C454BF"/>
    <w:rsid w:val="00C47F1D"/>
    <w:rsid w:val="00C50F3D"/>
    <w:rsid w:val="00C575BD"/>
    <w:rsid w:val="00C61062"/>
    <w:rsid w:val="00C6383F"/>
    <w:rsid w:val="00C64F48"/>
    <w:rsid w:val="00C65BA2"/>
    <w:rsid w:val="00C66160"/>
    <w:rsid w:val="00C6757B"/>
    <w:rsid w:val="00C67A58"/>
    <w:rsid w:val="00C7140C"/>
    <w:rsid w:val="00C71946"/>
    <w:rsid w:val="00C721AC"/>
    <w:rsid w:val="00C72D6B"/>
    <w:rsid w:val="00C7493E"/>
    <w:rsid w:val="00C762B6"/>
    <w:rsid w:val="00C81ABF"/>
    <w:rsid w:val="00C841D5"/>
    <w:rsid w:val="00C86691"/>
    <w:rsid w:val="00C866BE"/>
    <w:rsid w:val="00C907ED"/>
    <w:rsid w:val="00C90D6A"/>
    <w:rsid w:val="00C92032"/>
    <w:rsid w:val="00C93C9A"/>
    <w:rsid w:val="00C94457"/>
    <w:rsid w:val="00C94BA7"/>
    <w:rsid w:val="00C976FE"/>
    <w:rsid w:val="00CA247E"/>
    <w:rsid w:val="00CA400B"/>
    <w:rsid w:val="00CA5D7E"/>
    <w:rsid w:val="00CB2296"/>
    <w:rsid w:val="00CB22C4"/>
    <w:rsid w:val="00CB36AA"/>
    <w:rsid w:val="00CB3A34"/>
    <w:rsid w:val="00CB45F3"/>
    <w:rsid w:val="00CB56EC"/>
    <w:rsid w:val="00CC0230"/>
    <w:rsid w:val="00CC6563"/>
    <w:rsid w:val="00CC6D34"/>
    <w:rsid w:val="00CC72B6"/>
    <w:rsid w:val="00CC76AE"/>
    <w:rsid w:val="00CD033B"/>
    <w:rsid w:val="00CD3870"/>
    <w:rsid w:val="00CD3F7E"/>
    <w:rsid w:val="00CD4009"/>
    <w:rsid w:val="00CE3966"/>
    <w:rsid w:val="00CE417A"/>
    <w:rsid w:val="00CE68FE"/>
    <w:rsid w:val="00CE79A0"/>
    <w:rsid w:val="00CE7D37"/>
    <w:rsid w:val="00CF1B2D"/>
    <w:rsid w:val="00CF742D"/>
    <w:rsid w:val="00D01AF0"/>
    <w:rsid w:val="00D0218D"/>
    <w:rsid w:val="00D03F3A"/>
    <w:rsid w:val="00D042A8"/>
    <w:rsid w:val="00D04D9E"/>
    <w:rsid w:val="00D051A3"/>
    <w:rsid w:val="00D064B2"/>
    <w:rsid w:val="00D06C62"/>
    <w:rsid w:val="00D101F8"/>
    <w:rsid w:val="00D11702"/>
    <w:rsid w:val="00D1433C"/>
    <w:rsid w:val="00D160D1"/>
    <w:rsid w:val="00D22DA9"/>
    <w:rsid w:val="00D23E93"/>
    <w:rsid w:val="00D24CB0"/>
    <w:rsid w:val="00D25C4A"/>
    <w:rsid w:val="00D25F3B"/>
    <w:rsid w:val="00D25FB5"/>
    <w:rsid w:val="00D3314E"/>
    <w:rsid w:val="00D341FE"/>
    <w:rsid w:val="00D36109"/>
    <w:rsid w:val="00D37D51"/>
    <w:rsid w:val="00D44223"/>
    <w:rsid w:val="00D4452F"/>
    <w:rsid w:val="00D44674"/>
    <w:rsid w:val="00D45A54"/>
    <w:rsid w:val="00D45ED3"/>
    <w:rsid w:val="00D503BA"/>
    <w:rsid w:val="00D53B56"/>
    <w:rsid w:val="00D560CD"/>
    <w:rsid w:val="00D567C0"/>
    <w:rsid w:val="00D56A4B"/>
    <w:rsid w:val="00D5735B"/>
    <w:rsid w:val="00D60524"/>
    <w:rsid w:val="00D612FE"/>
    <w:rsid w:val="00D623F1"/>
    <w:rsid w:val="00D627A6"/>
    <w:rsid w:val="00D65117"/>
    <w:rsid w:val="00D66953"/>
    <w:rsid w:val="00D7778C"/>
    <w:rsid w:val="00D80103"/>
    <w:rsid w:val="00D82052"/>
    <w:rsid w:val="00D82A58"/>
    <w:rsid w:val="00D83696"/>
    <w:rsid w:val="00D84F78"/>
    <w:rsid w:val="00D877BD"/>
    <w:rsid w:val="00D9021A"/>
    <w:rsid w:val="00D92704"/>
    <w:rsid w:val="00D93B6A"/>
    <w:rsid w:val="00D95293"/>
    <w:rsid w:val="00D95583"/>
    <w:rsid w:val="00D957E9"/>
    <w:rsid w:val="00D97B77"/>
    <w:rsid w:val="00D97F84"/>
    <w:rsid w:val="00DA07C2"/>
    <w:rsid w:val="00DA1426"/>
    <w:rsid w:val="00DA1573"/>
    <w:rsid w:val="00DA176A"/>
    <w:rsid w:val="00DA2529"/>
    <w:rsid w:val="00DA3CCA"/>
    <w:rsid w:val="00DB0955"/>
    <w:rsid w:val="00DB0C03"/>
    <w:rsid w:val="00DB130A"/>
    <w:rsid w:val="00DB178E"/>
    <w:rsid w:val="00DB2EBB"/>
    <w:rsid w:val="00DB3D7F"/>
    <w:rsid w:val="00DB6113"/>
    <w:rsid w:val="00DC051F"/>
    <w:rsid w:val="00DC10A1"/>
    <w:rsid w:val="00DC2111"/>
    <w:rsid w:val="00DC3EA5"/>
    <w:rsid w:val="00DC42D6"/>
    <w:rsid w:val="00DC4AE5"/>
    <w:rsid w:val="00DC5BE4"/>
    <w:rsid w:val="00DC655F"/>
    <w:rsid w:val="00DC734E"/>
    <w:rsid w:val="00DD0B59"/>
    <w:rsid w:val="00DD4456"/>
    <w:rsid w:val="00DD7EBD"/>
    <w:rsid w:val="00DE0F8C"/>
    <w:rsid w:val="00DE1125"/>
    <w:rsid w:val="00DE5393"/>
    <w:rsid w:val="00DE6ECC"/>
    <w:rsid w:val="00DE7269"/>
    <w:rsid w:val="00DF0462"/>
    <w:rsid w:val="00DF2595"/>
    <w:rsid w:val="00DF33A1"/>
    <w:rsid w:val="00DF51F3"/>
    <w:rsid w:val="00DF5290"/>
    <w:rsid w:val="00DF62B6"/>
    <w:rsid w:val="00DF6A0D"/>
    <w:rsid w:val="00DF747E"/>
    <w:rsid w:val="00DF7D9B"/>
    <w:rsid w:val="00E00F4B"/>
    <w:rsid w:val="00E0195B"/>
    <w:rsid w:val="00E01E06"/>
    <w:rsid w:val="00E02214"/>
    <w:rsid w:val="00E02D1D"/>
    <w:rsid w:val="00E03587"/>
    <w:rsid w:val="00E066C3"/>
    <w:rsid w:val="00E067E9"/>
    <w:rsid w:val="00E06974"/>
    <w:rsid w:val="00E07225"/>
    <w:rsid w:val="00E1090A"/>
    <w:rsid w:val="00E139CA"/>
    <w:rsid w:val="00E13B91"/>
    <w:rsid w:val="00E1401A"/>
    <w:rsid w:val="00E22653"/>
    <w:rsid w:val="00E2347F"/>
    <w:rsid w:val="00E24A08"/>
    <w:rsid w:val="00E24E9F"/>
    <w:rsid w:val="00E2573E"/>
    <w:rsid w:val="00E26529"/>
    <w:rsid w:val="00E274B9"/>
    <w:rsid w:val="00E3009C"/>
    <w:rsid w:val="00E30111"/>
    <w:rsid w:val="00E327CC"/>
    <w:rsid w:val="00E32B72"/>
    <w:rsid w:val="00E40F40"/>
    <w:rsid w:val="00E41C1F"/>
    <w:rsid w:val="00E43B20"/>
    <w:rsid w:val="00E43C74"/>
    <w:rsid w:val="00E44566"/>
    <w:rsid w:val="00E4501C"/>
    <w:rsid w:val="00E457F3"/>
    <w:rsid w:val="00E45917"/>
    <w:rsid w:val="00E5409F"/>
    <w:rsid w:val="00E544AA"/>
    <w:rsid w:val="00E55D00"/>
    <w:rsid w:val="00E5745E"/>
    <w:rsid w:val="00E612E2"/>
    <w:rsid w:val="00E61CC2"/>
    <w:rsid w:val="00E66493"/>
    <w:rsid w:val="00E66F37"/>
    <w:rsid w:val="00E67A26"/>
    <w:rsid w:val="00E71A5B"/>
    <w:rsid w:val="00E72C39"/>
    <w:rsid w:val="00E8027E"/>
    <w:rsid w:val="00E81533"/>
    <w:rsid w:val="00E81AE0"/>
    <w:rsid w:val="00E81BD4"/>
    <w:rsid w:val="00E821FA"/>
    <w:rsid w:val="00E84034"/>
    <w:rsid w:val="00E85BE7"/>
    <w:rsid w:val="00E861B3"/>
    <w:rsid w:val="00E8630A"/>
    <w:rsid w:val="00E8776B"/>
    <w:rsid w:val="00EA12C6"/>
    <w:rsid w:val="00EA53AE"/>
    <w:rsid w:val="00EA6B05"/>
    <w:rsid w:val="00EA6C04"/>
    <w:rsid w:val="00EA78C6"/>
    <w:rsid w:val="00EB0C7D"/>
    <w:rsid w:val="00EB1423"/>
    <w:rsid w:val="00EB14B0"/>
    <w:rsid w:val="00EB20A8"/>
    <w:rsid w:val="00EB24D2"/>
    <w:rsid w:val="00EB2F49"/>
    <w:rsid w:val="00EB5585"/>
    <w:rsid w:val="00ED14C9"/>
    <w:rsid w:val="00ED436B"/>
    <w:rsid w:val="00ED6AAF"/>
    <w:rsid w:val="00EE1291"/>
    <w:rsid w:val="00EE1CFE"/>
    <w:rsid w:val="00EE4702"/>
    <w:rsid w:val="00EE6488"/>
    <w:rsid w:val="00EF1B1B"/>
    <w:rsid w:val="00EF2395"/>
    <w:rsid w:val="00EF30D3"/>
    <w:rsid w:val="00EF5FE2"/>
    <w:rsid w:val="00EF6303"/>
    <w:rsid w:val="00F00914"/>
    <w:rsid w:val="00F00B63"/>
    <w:rsid w:val="00F01333"/>
    <w:rsid w:val="00F021FA"/>
    <w:rsid w:val="00F02B8E"/>
    <w:rsid w:val="00F04CA5"/>
    <w:rsid w:val="00F071DB"/>
    <w:rsid w:val="00F07F14"/>
    <w:rsid w:val="00F14CA6"/>
    <w:rsid w:val="00F16CFE"/>
    <w:rsid w:val="00F21F87"/>
    <w:rsid w:val="00F2278C"/>
    <w:rsid w:val="00F22FBF"/>
    <w:rsid w:val="00F23B6A"/>
    <w:rsid w:val="00F26C20"/>
    <w:rsid w:val="00F3220F"/>
    <w:rsid w:val="00F32845"/>
    <w:rsid w:val="00F378B7"/>
    <w:rsid w:val="00F37D26"/>
    <w:rsid w:val="00F44F26"/>
    <w:rsid w:val="00F56A65"/>
    <w:rsid w:val="00F6000A"/>
    <w:rsid w:val="00F60217"/>
    <w:rsid w:val="00F62649"/>
    <w:rsid w:val="00F62695"/>
    <w:rsid w:val="00F629DB"/>
    <w:rsid w:val="00F62C8D"/>
    <w:rsid w:val="00F62E97"/>
    <w:rsid w:val="00F64209"/>
    <w:rsid w:val="00F660CB"/>
    <w:rsid w:val="00F671EA"/>
    <w:rsid w:val="00F704BA"/>
    <w:rsid w:val="00F7063C"/>
    <w:rsid w:val="00F746B9"/>
    <w:rsid w:val="00F764C3"/>
    <w:rsid w:val="00F76E10"/>
    <w:rsid w:val="00F77AF9"/>
    <w:rsid w:val="00F806C9"/>
    <w:rsid w:val="00F8143D"/>
    <w:rsid w:val="00F827A9"/>
    <w:rsid w:val="00F8503B"/>
    <w:rsid w:val="00F85896"/>
    <w:rsid w:val="00F873F7"/>
    <w:rsid w:val="00F8748A"/>
    <w:rsid w:val="00F9292F"/>
    <w:rsid w:val="00F93BF5"/>
    <w:rsid w:val="00F96497"/>
    <w:rsid w:val="00F970B2"/>
    <w:rsid w:val="00FA1531"/>
    <w:rsid w:val="00FA1C36"/>
    <w:rsid w:val="00FA2AE9"/>
    <w:rsid w:val="00FA527F"/>
    <w:rsid w:val="00FA5B59"/>
    <w:rsid w:val="00FA69E4"/>
    <w:rsid w:val="00FB3458"/>
    <w:rsid w:val="00FB39CB"/>
    <w:rsid w:val="00FB4615"/>
    <w:rsid w:val="00FB60AE"/>
    <w:rsid w:val="00FC0654"/>
    <w:rsid w:val="00FC137D"/>
    <w:rsid w:val="00FC1A9C"/>
    <w:rsid w:val="00FC1F3D"/>
    <w:rsid w:val="00FC4CB8"/>
    <w:rsid w:val="00FC741C"/>
    <w:rsid w:val="00FD0E89"/>
    <w:rsid w:val="00FD0F9C"/>
    <w:rsid w:val="00FD48A6"/>
    <w:rsid w:val="00FE27A9"/>
    <w:rsid w:val="00FE462B"/>
    <w:rsid w:val="00FE5B2B"/>
    <w:rsid w:val="00FE6CBA"/>
    <w:rsid w:val="00FF3C37"/>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8C"/>
    <w:pPr>
      <w:widowControl w:val="0"/>
    </w:pPr>
    <w:rPr>
      <w:snapToGrid w:val="0"/>
      <w:kern w:val="28"/>
      <w:sz w:val="22"/>
    </w:rPr>
  </w:style>
  <w:style w:type="paragraph" w:styleId="Heading1">
    <w:name w:val="heading 1"/>
    <w:basedOn w:val="Normal"/>
    <w:next w:val="ParaNum"/>
    <w:link w:val="Heading1Char"/>
    <w:qFormat/>
    <w:rsid w:val="00DE0F8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0F8C"/>
    <w:pPr>
      <w:keepNext/>
      <w:numPr>
        <w:ilvl w:val="1"/>
        <w:numId w:val="2"/>
      </w:numPr>
      <w:spacing w:after="120"/>
      <w:outlineLvl w:val="1"/>
    </w:pPr>
    <w:rPr>
      <w:b/>
    </w:rPr>
  </w:style>
  <w:style w:type="paragraph" w:styleId="Heading3">
    <w:name w:val="heading 3"/>
    <w:basedOn w:val="Normal"/>
    <w:next w:val="ParaNum"/>
    <w:qFormat/>
    <w:rsid w:val="00DE0F8C"/>
    <w:pPr>
      <w:keepNext/>
      <w:numPr>
        <w:ilvl w:val="2"/>
        <w:numId w:val="2"/>
      </w:numPr>
      <w:tabs>
        <w:tab w:val="left" w:pos="2160"/>
      </w:tabs>
      <w:spacing w:after="120"/>
      <w:outlineLvl w:val="2"/>
    </w:pPr>
    <w:rPr>
      <w:b/>
    </w:rPr>
  </w:style>
  <w:style w:type="paragraph" w:styleId="Heading4">
    <w:name w:val="heading 4"/>
    <w:basedOn w:val="Normal"/>
    <w:next w:val="ParaNum"/>
    <w:qFormat/>
    <w:rsid w:val="00DE0F8C"/>
    <w:pPr>
      <w:keepNext/>
      <w:numPr>
        <w:ilvl w:val="3"/>
        <w:numId w:val="2"/>
      </w:numPr>
      <w:tabs>
        <w:tab w:val="left" w:pos="2880"/>
      </w:tabs>
      <w:spacing w:after="120"/>
      <w:outlineLvl w:val="3"/>
    </w:pPr>
    <w:rPr>
      <w:b/>
    </w:rPr>
  </w:style>
  <w:style w:type="paragraph" w:styleId="Heading5">
    <w:name w:val="heading 5"/>
    <w:basedOn w:val="Normal"/>
    <w:next w:val="ParaNum"/>
    <w:qFormat/>
    <w:rsid w:val="00DE0F8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E0F8C"/>
    <w:pPr>
      <w:numPr>
        <w:ilvl w:val="5"/>
        <w:numId w:val="2"/>
      </w:numPr>
      <w:tabs>
        <w:tab w:val="left" w:pos="4320"/>
      </w:tabs>
      <w:spacing w:after="120"/>
      <w:outlineLvl w:val="5"/>
    </w:pPr>
    <w:rPr>
      <w:b/>
    </w:rPr>
  </w:style>
  <w:style w:type="paragraph" w:styleId="Heading7">
    <w:name w:val="heading 7"/>
    <w:basedOn w:val="Normal"/>
    <w:next w:val="ParaNum"/>
    <w:qFormat/>
    <w:rsid w:val="00DE0F8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E0F8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E0F8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0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0F8C"/>
  </w:style>
  <w:style w:type="paragraph" w:customStyle="1" w:styleId="ParaNum">
    <w:name w:val="ParaNum"/>
    <w:basedOn w:val="Normal"/>
    <w:link w:val="ParaNumChar"/>
    <w:rsid w:val="00DE0F8C"/>
    <w:pPr>
      <w:numPr>
        <w:numId w:val="1"/>
      </w:numPr>
      <w:tabs>
        <w:tab w:val="clear" w:pos="1080"/>
        <w:tab w:val="num" w:pos="1440"/>
      </w:tabs>
      <w:spacing w:after="120"/>
    </w:pPr>
  </w:style>
  <w:style w:type="paragraph" w:styleId="EndnoteText">
    <w:name w:val="endnote text"/>
    <w:basedOn w:val="Normal"/>
    <w:semiHidden/>
    <w:rsid w:val="00DE0F8C"/>
    <w:rPr>
      <w:sz w:val="20"/>
    </w:rPr>
  </w:style>
  <w:style w:type="character" w:styleId="EndnoteReference">
    <w:name w:val="endnote reference"/>
    <w:semiHidden/>
    <w:rsid w:val="00DE0F8C"/>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DE0F8C"/>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DE0F8C"/>
    <w:rPr>
      <w:rFonts w:ascii="Times New Roman" w:hAnsi="Times New Roman"/>
      <w:dstrike w:val="0"/>
      <w:color w:val="auto"/>
      <w:sz w:val="20"/>
      <w:vertAlign w:val="superscript"/>
    </w:rPr>
  </w:style>
  <w:style w:type="paragraph" w:styleId="TOC1">
    <w:name w:val="toc 1"/>
    <w:basedOn w:val="Normal"/>
    <w:next w:val="Normal"/>
    <w:semiHidden/>
    <w:rsid w:val="00DE0F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0F8C"/>
    <w:pPr>
      <w:tabs>
        <w:tab w:val="left" w:pos="720"/>
        <w:tab w:val="right" w:leader="dot" w:pos="9360"/>
      </w:tabs>
      <w:suppressAutoHyphens/>
      <w:ind w:left="720" w:right="720" w:hanging="360"/>
    </w:pPr>
    <w:rPr>
      <w:noProof/>
    </w:rPr>
  </w:style>
  <w:style w:type="paragraph" w:styleId="TOC3">
    <w:name w:val="toc 3"/>
    <w:basedOn w:val="Normal"/>
    <w:next w:val="Normal"/>
    <w:semiHidden/>
    <w:rsid w:val="00DE0F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0F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0F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0F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0F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0F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0F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0F8C"/>
    <w:pPr>
      <w:tabs>
        <w:tab w:val="right" w:pos="9360"/>
      </w:tabs>
      <w:suppressAutoHyphens/>
    </w:pPr>
  </w:style>
  <w:style w:type="character" w:customStyle="1" w:styleId="EquationCaption">
    <w:name w:val="_Equation Caption"/>
    <w:rsid w:val="00DE0F8C"/>
  </w:style>
  <w:style w:type="paragraph" w:styleId="Header">
    <w:name w:val="header"/>
    <w:basedOn w:val="Normal"/>
    <w:link w:val="HeaderChar"/>
    <w:autoRedefine/>
    <w:rsid w:val="00DE0F8C"/>
    <w:pPr>
      <w:tabs>
        <w:tab w:val="center" w:pos="4680"/>
        <w:tab w:val="right" w:pos="9360"/>
      </w:tabs>
    </w:pPr>
    <w:rPr>
      <w:b/>
    </w:rPr>
  </w:style>
  <w:style w:type="paragraph" w:styleId="Footer">
    <w:name w:val="footer"/>
    <w:basedOn w:val="Normal"/>
    <w:link w:val="FooterChar"/>
    <w:rsid w:val="00DE0F8C"/>
    <w:pPr>
      <w:tabs>
        <w:tab w:val="center" w:pos="4320"/>
        <w:tab w:val="right" w:pos="8640"/>
      </w:tabs>
    </w:pPr>
  </w:style>
  <w:style w:type="character" w:styleId="PageNumber">
    <w:name w:val="page number"/>
    <w:basedOn w:val="DefaultParagraphFont"/>
    <w:rsid w:val="00DE0F8C"/>
  </w:style>
  <w:style w:type="paragraph" w:styleId="BlockText">
    <w:name w:val="Block Text"/>
    <w:basedOn w:val="Normal"/>
    <w:rsid w:val="00DE0F8C"/>
    <w:pPr>
      <w:spacing w:after="240"/>
      <w:ind w:left="1440" w:right="1440"/>
    </w:pPr>
  </w:style>
  <w:style w:type="paragraph" w:customStyle="1" w:styleId="Paratitle">
    <w:name w:val="Para title"/>
    <w:basedOn w:val="Normal"/>
    <w:rsid w:val="00DE0F8C"/>
    <w:pPr>
      <w:tabs>
        <w:tab w:val="center" w:pos="9270"/>
      </w:tabs>
      <w:spacing w:after="240"/>
    </w:pPr>
    <w:rPr>
      <w:spacing w:val="-2"/>
    </w:rPr>
  </w:style>
  <w:style w:type="paragraph" w:customStyle="1" w:styleId="Bullet">
    <w:name w:val="Bullet"/>
    <w:basedOn w:val="Normal"/>
    <w:rsid w:val="00DE0F8C"/>
    <w:pPr>
      <w:tabs>
        <w:tab w:val="left" w:pos="2160"/>
      </w:tabs>
      <w:spacing w:after="220"/>
      <w:ind w:left="2160" w:hanging="720"/>
    </w:pPr>
  </w:style>
  <w:style w:type="paragraph" w:customStyle="1" w:styleId="TableFormat">
    <w:name w:val="TableFormat"/>
    <w:basedOn w:val="Bullet"/>
    <w:rsid w:val="00DE0F8C"/>
    <w:pPr>
      <w:tabs>
        <w:tab w:val="clear" w:pos="2160"/>
        <w:tab w:val="left" w:pos="5040"/>
      </w:tabs>
      <w:ind w:left="5040" w:hanging="3600"/>
    </w:pPr>
  </w:style>
  <w:style w:type="paragraph" w:customStyle="1" w:styleId="TOCTitle">
    <w:name w:val="TOC Title"/>
    <w:basedOn w:val="Normal"/>
    <w:rsid w:val="00DE0F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0F8C"/>
    <w:pPr>
      <w:jc w:val="center"/>
    </w:pPr>
    <w:rPr>
      <w:rFonts w:ascii="Times New Roman Bold" w:hAnsi="Times New Roman Bold"/>
      <w:b/>
      <w:bCs/>
      <w:caps/>
      <w:szCs w:val="22"/>
    </w:rPr>
  </w:style>
  <w:style w:type="character" w:styleId="Hyperlink">
    <w:name w:val="Hyperlink"/>
    <w:rsid w:val="00DE0F8C"/>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Normal2">
    <w:name w:val="Normal2"/>
    <w:rsid w:val="003445EC"/>
  </w:style>
  <w:style w:type="character" w:styleId="FollowedHyperlink">
    <w:name w:val="FollowedHyperlink"/>
    <w:basedOn w:val="DefaultParagraphFont"/>
    <w:semiHidden/>
    <w:unhideWhenUsed/>
    <w:rsid w:val="002F0D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8C"/>
    <w:pPr>
      <w:widowControl w:val="0"/>
    </w:pPr>
    <w:rPr>
      <w:snapToGrid w:val="0"/>
      <w:kern w:val="28"/>
      <w:sz w:val="22"/>
    </w:rPr>
  </w:style>
  <w:style w:type="paragraph" w:styleId="Heading1">
    <w:name w:val="heading 1"/>
    <w:basedOn w:val="Normal"/>
    <w:next w:val="ParaNum"/>
    <w:link w:val="Heading1Char"/>
    <w:qFormat/>
    <w:rsid w:val="00DE0F8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0F8C"/>
    <w:pPr>
      <w:keepNext/>
      <w:numPr>
        <w:ilvl w:val="1"/>
        <w:numId w:val="2"/>
      </w:numPr>
      <w:spacing w:after="120"/>
      <w:outlineLvl w:val="1"/>
    </w:pPr>
    <w:rPr>
      <w:b/>
    </w:rPr>
  </w:style>
  <w:style w:type="paragraph" w:styleId="Heading3">
    <w:name w:val="heading 3"/>
    <w:basedOn w:val="Normal"/>
    <w:next w:val="ParaNum"/>
    <w:qFormat/>
    <w:rsid w:val="00DE0F8C"/>
    <w:pPr>
      <w:keepNext/>
      <w:numPr>
        <w:ilvl w:val="2"/>
        <w:numId w:val="2"/>
      </w:numPr>
      <w:tabs>
        <w:tab w:val="left" w:pos="2160"/>
      </w:tabs>
      <w:spacing w:after="120"/>
      <w:outlineLvl w:val="2"/>
    </w:pPr>
    <w:rPr>
      <w:b/>
    </w:rPr>
  </w:style>
  <w:style w:type="paragraph" w:styleId="Heading4">
    <w:name w:val="heading 4"/>
    <w:basedOn w:val="Normal"/>
    <w:next w:val="ParaNum"/>
    <w:qFormat/>
    <w:rsid w:val="00DE0F8C"/>
    <w:pPr>
      <w:keepNext/>
      <w:numPr>
        <w:ilvl w:val="3"/>
        <w:numId w:val="2"/>
      </w:numPr>
      <w:tabs>
        <w:tab w:val="left" w:pos="2880"/>
      </w:tabs>
      <w:spacing w:after="120"/>
      <w:outlineLvl w:val="3"/>
    </w:pPr>
    <w:rPr>
      <w:b/>
    </w:rPr>
  </w:style>
  <w:style w:type="paragraph" w:styleId="Heading5">
    <w:name w:val="heading 5"/>
    <w:basedOn w:val="Normal"/>
    <w:next w:val="ParaNum"/>
    <w:qFormat/>
    <w:rsid w:val="00DE0F8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E0F8C"/>
    <w:pPr>
      <w:numPr>
        <w:ilvl w:val="5"/>
        <w:numId w:val="2"/>
      </w:numPr>
      <w:tabs>
        <w:tab w:val="left" w:pos="4320"/>
      </w:tabs>
      <w:spacing w:after="120"/>
      <w:outlineLvl w:val="5"/>
    </w:pPr>
    <w:rPr>
      <w:b/>
    </w:rPr>
  </w:style>
  <w:style w:type="paragraph" w:styleId="Heading7">
    <w:name w:val="heading 7"/>
    <w:basedOn w:val="Normal"/>
    <w:next w:val="ParaNum"/>
    <w:qFormat/>
    <w:rsid w:val="00DE0F8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E0F8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E0F8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0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0F8C"/>
  </w:style>
  <w:style w:type="paragraph" w:customStyle="1" w:styleId="ParaNum">
    <w:name w:val="ParaNum"/>
    <w:basedOn w:val="Normal"/>
    <w:link w:val="ParaNumChar"/>
    <w:rsid w:val="00DE0F8C"/>
    <w:pPr>
      <w:numPr>
        <w:numId w:val="1"/>
      </w:numPr>
      <w:tabs>
        <w:tab w:val="clear" w:pos="1080"/>
        <w:tab w:val="num" w:pos="1440"/>
      </w:tabs>
      <w:spacing w:after="120"/>
    </w:pPr>
  </w:style>
  <w:style w:type="paragraph" w:styleId="EndnoteText">
    <w:name w:val="endnote text"/>
    <w:basedOn w:val="Normal"/>
    <w:semiHidden/>
    <w:rsid w:val="00DE0F8C"/>
    <w:rPr>
      <w:sz w:val="20"/>
    </w:rPr>
  </w:style>
  <w:style w:type="character" w:styleId="EndnoteReference">
    <w:name w:val="endnote reference"/>
    <w:semiHidden/>
    <w:rsid w:val="00DE0F8C"/>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DE0F8C"/>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DE0F8C"/>
    <w:rPr>
      <w:rFonts w:ascii="Times New Roman" w:hAnsi="Times New Roman"/>
      <w:dstrike w:val="0"/>
      <w:color w:val="auto"/>
      <w:sz w:val="20"/>
      <w:vertAlign w:val="superscript"/>
    </w:rPr>
  </w:style>
  <w:style w:type="paragraph" w:styleId="TOC1">
    <w:name w:val="toc 1"/>
    <w:basedOn w:val="Normal"/>
    <w:next w:val="Normal"/>
    <w:semiHidden/>
    <w:rsid w:val="00DE0F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0F8C"/>
    <w:pPr>
      <w:tabs>
        <w:tab w:val="left" w:pos="720"/>
        <w:tab w:val="right" w:leader="dot" w:pos="9360"/>
      </w:tabs>
      <w:suppressAutoHyphens/>
      <w:ind w:left="720" w:right="720" w:hanging="360"/>
    </w:pPr>
    <w:rPr>
      <w:noProof/>
    </w:rPr>
  </w:style>
  <w:style w:type="paragraph" w:styleId="TOC3">
    <w:name w:val="toc 3"/>
    <w:basedOn w:val="Normal"/>
    <w:next w:val="Normal"/>
    <w:semiHidden/>
    <w:rsid w:val="00DE0F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0F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0F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0F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0F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0F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0F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0F8C"/>
    <w:pPr>
      <w:tabs>
        <w:tab w:val="right" w:pos="9360"/>
      </w:tabs>
      <w:suppressAutoHyphens/>
    </w:pPr>
  </w:style>
  <w:style w:type="character" w:customStyle="1" w:styleId="EquationCaption">
    <w:name w:val="_Equation Caption"/>
    <w:rsid w:val="00DE0F8C"/>
  </w:style>
  <w:style w:type="paragraph" w:styleId="Header">
    <w:name w:val="header"/>
    <w:basedOn w:val="Normal"/>
    <w:link w:val="HeaderChar"/>
    <w:autoRedefine/>
    <w:rsid w:val="00DE0F8C"/>
    <w:pPr>
      <w:tabs>
        <w:tab w:val="center" w:pos="4680"/>
        <w:tab w:val="right" w:pos="9360"/>
      </w:tabs>
    </w:pPr>
    <w:rPr>
      <w:b/>
    </w:rPr>
  </w:style>
  <w:style w:type="paragraph" w:styleId="Footer">
    <w:name w:val="footer"/>
    <w:basedOn w:val="Normal"/>
    <w:link w:val="FooterChar"/>
    <w:rsid w:val="00DE0F8C"/>
    <w:pPr>
      <w:tabs>
        <w:tab w:val="center" w:pos="4320"/>
        <w:tab w:val="right" w:pos="8640"/>
      </w:tabs>
    </w:pPr>
  </w:style>
  <w:style w:type="character" w:styleId="PageNumber">
    <w:name w:val="page number"/>
    <w:basedOn w:val="DefaultParagraphFont"/>
    <w:rsid w:val="00DE0F8C"/>
  </w:style>
  <w:style w:type="paragraph" w:styleId="BlockText">
    <w:name w:val="Block Text"/>
    <w:basedOn w:val="Normal"/>
    <w:rsid w:val="00DE0F8C"/>
    <w:pPr>
      <w:spacing w:after="240"/>
      <w:ind w:left="1440" w:right="1440"/>
    </w:pPr>
  </w:style>
  <w:style w:type="paragraph" w:customStyle="1" w:styleId="Paratitle">
    <w:name w:val="Para title"/>
    <w:basedOn w:val="Normal"/>
    <w:rsid w:val="00DE0F8C"/>
    <w:pPr>
      <w:tabs>
        <w:tab w:val="center" w:pos="9270"/>
      </w:tabs>
      <w:spacing w:after="240"/>
    </w:pPr>
    <w:rPr>
      <w:spacing w:val="-2"/>
    </w:rPr>
  </w:style>
  <w:style w:type="paragraph" w:customStyle="1" w:styleId="Bullet">
    <w:name w:val="Bullet"/>
    <w:basedOn w:val="Normal"/>
    <w:rsid w:val="00DE0F8C"/>
    <w:pPr>
      <w:tabs>
        <w:tab w:val="left" w:pos="2160"/>
      </w:tabs>
      <w:spacing w:after="220"/>
      <w:ind w:left="2160" w:hanging="720"/>
    </w:pPr>
  </w:style>
  <w:style w:type="paragraph" w:customStyle="1" w:styleId="TableFormat">
    <w:name w:val="TableFormat"/>
    <w:basedOn w:val="Bullet"/>
    <w:rsid w:val="00DE0F8C"/>
    <w:pPr>
      <w:tabs>
        <w:tab w:val="clear" w:pos="2160"/>
        <w:tab w:val="left" w:pos="5040"/>
      </w:tabs>
      <w:ind w:left="5040" w:hanging="3600"/>
    </w:pPr>
  </w:style>
  <w:style w:type="paragraph" w:customStyle="1" w:styleId="TOCTitle">
    <w:name w:val="TOC Title"/>
    <w:basedOn w:val="Normal"/>
    <w:rsid w:val="00DE0F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0F8C"/>
    <w:pPr>
      <w:jc w:val="center"/>
    </w:pPr>
    <w:rPr>
      <w:rFonts w:ascii="Times New Roman Bold" w:hAnsi="Times New Roman Bold"/>
      <w:b/>
      <w:bCs/>
      <w:caps/>
      <w:szCs w:val="22"/>
    </w:rPr>
  </w:style>
  <w:style w:type="character" w:styleId="Hyperlink">
    <w:name w:val="Hyperlink"/>
    <w:rsid w:val="00DE0F8C"/>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Normal2">
    <w:name w:val="Normal2"/>
    <w:rsid w:val="003445EC"/>
  </w:style>
  <w:style w:type="character" w:styleId="FollowedHyperlink">
    <w:name w:val="FollowedHyperlink"/>
    <w:basedOn w:val="DefaultParagraphFont"/>
    <w:semiHidden/>
    <w:unhideWhenUsed/>
    <w:rsid w:val="002F0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4354">
      <w:bodyDiv w:val="1"/>
      <w:marLeft w:val="0"/>
      <w:marRight w:val="0"/>
      <w:marTop w:val="0"/>
      <w:marBottom w:val="0"/>
      <w:divBdr>
        <w:top w:val="none" w:sz="0" w:space="0" w:color="auto"/>
        <w:left w:val="none" w:sz="0" w:space="0" w:color="auto"/>
        <w:bottom w:val="none" w:sz="0" w:space="0" w:color="auto"/>
        <w:right w:val="none" w:sz="0" w:space="0" w:color="auto"/>
      </w:divBdr>
    </w:div>
    <w:div w:id="410470593">
      <w:bodyDiv w:val="1"/>
      <w:marLeft w:val="0"/>
      <w:marRight w:val="0"/>
      <w:marTop w:val="0"/>
      <w:marBottom w:val="0"/>
      <w:divBdr>
        <w:top w:val="none" w:sz="0" w:space="0" w:color="auto"/>
        <w:left w:val="none" w:sz="0" w:space="0" w:color="auto"/>
        <w:bottom w:val="none" w:sz="0" w:space="0" w:color="auto"/>
        <w:right w:val="none" w:sz="0" w:space="0" w:color="auto"/>
      </w:divBdr>
    </w:div>
    <w:div w:id="759447711">
      <w:bodyDiv w:val="1"/>
      <w:marLeft w:val="0"/>
      <w:marRight w:val="0"/>
      <w:marTop w:val="0"/>
      <w:marBottom w:val="0"/>
      <w:divBdr>
        <w:top w:val="none" w:sz="0" w:space="0" w:color="auto"/>
        <w:left w:val="none" w:sz="0" w:space="0" w:color="auto"/>
        <w:bottom w:val="none" w:sz="0" w:space="0" w:color="auto"/>
        <w:right w:val="none" w:sz="0" w:space="0" w:color="auto"/>
      </w:divBdr>
    </w:div>
    <w:div w:id="888155070">
      <w:bodyDiv w:val="1"/>
      <w:marLeft w:val="0"/>
      <w:marRight w:val="0"/>
      <w:marTop w:val="0"/>
      <w:marBottom w:val="0"/>
      <w:divBdr>
        <w:top w:val="none" w:sz="0" w:space="0" w:color="auto"/>
        <w:left w:val="none" w:sz="0" w:space="0" w:color="auto"/>
        <w:bottom w:val="none" w:sz="0" w:space="0" w:color="auto"/>
        <w:right w:val="none" w:sz="0" w:space="0" w:color="auto"/>
      </w:divBdr>
    </w:div>
    <w:div w:id="1465002553">
      <w:bodyDiv w:val="1"/>
      <w:marLeft w:val="0"/>
      <w:marRight w:val="0"/>
      <w:marTop w:val="0"/>
      <w:marBottom w:val="0"/>
      <w:divBdr>
        <w:top w:val="none" w:sz="0" w:space="0" w:color="auto"/>
        <w:left w:val="none" w:sz="0" w:space="0" w:color="auto"/>
        <w:bottom w:val="none" w:sz="0" w:space="0" w:color="auto"/>
        <w:right w:val="none" w:sz="0" w:space="0" w:color="auto"/>
      </w:divBdr>
    </w:div>
    <w:div w:id="1510680458">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effrey.Gee@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garet.Dailey@fcc.gov" TargetMode="External"/><Relationship Id="rId2" Type="http://schemas.openxmlformats.org/officeDocument/2006/relationships/styles" Target="styles.xml"/><Relationship Id="rId16" Type="http://schemas.openxmlformats.org/officeDocument/2006/relationships/hyperlink" Target="mailto:Jeffrey.Gee@fcc.gov" TargetMode="External"/><Relationship Id="rId20" Type="http://schemas.openxmlformats.org/officeDocument/2006/relationships/hyperlink" Target="mailto:ARINQUIRI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garet.Dailey@fcc.gov" TargetMode="External"/><Relationship Id="rId10" Type="http://schemas.openxmlformats.org/officeDocument/2006/relationships/footer" Target="footer1.xml"/><Relationship Id="rId19" Type="http://schemas.openxmlformats.org/officeDocument/2006/relationships/hyperlink" Target="mailto:Margaret.Dailey@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ffrey.Gee@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events/rural-call-completion-workshop" TargetMode="External"/><Relationship Id="rId2" Type="http://schemas.openxmlformats.org/officeDocument/2006/relationships/hyperlink" Target="http://www.fcc.gov/document/fcc-launches-rural-call-completion-task-force-sets-oct-18-workshop" TargetMode="External"/><Relationship Id="rId1" Type="http://schemas.openxmlformats.org/officeDocument/2006/relationships/hyperlink" Target="http://www.atis.org/glossary/definition.aspx?id=8448" TargetMode="External"/><Relationship Id="rId4" Type="http://schemas.openxmlformats.org/officeDocument/2006/relationships/hyperlink" Target="http://www.fcc.gov/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4594</Words>
  <Characters>25844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2016-05-09T18:02:00Z</dcterms:created>
  <dcterms:modified xsi:type="dcterms:W3CDTF">2016-05-09T18:02:00Z</dcterms:modified>
  <cp:category> </cp:category>
  <cp:contentStatus> </cp:contentStatus>
</cp:coreProperties>
</file>