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977F3" w:rsidRDefault="009977F3">
      <w:pPr>
        <w:jc w:val="right"/>
        <w:rPr>
          <w:b/>
          <w:sz w:val="24"/>
        </w:rPr>
      </w:pPr>
      <w:r>
        <w:rPr>
          <w:b/>
          <w:sz w:val="24"/>
        </w:rPr>
        <w:lastRenderedPageBreak/>
        <w:t>DA 16-470</w:t>
      </w:r>
    </w:p>
    <w:p w:rsidR="00602577" w:rsidRPr="009977F3" w:rsidRDefault="009977F3">
      <w:pPr>
        <w:spacing w:before="60"/>
        <w:jc w:val="right"/>
        <w:rPr>
          <w:b/>
          <w:sz w:val="24"/>
        </w:rPr>
      </w:pPr>
      <w:r>
        <w:rPr>
          <w:b/>
          <w:sz w:val="24"/>
        </w:rPr>
        <w:t>April 29, 2016</w:t>
      </w:r>
    </w:p>
    <w:p w:rsidR="008575A6" w:rsidRDefault="008575A6" w:rsidP="008575A6">
      <w:pPr>
        <w:jc w:val="right"/>
        <w:rPr>
          <w:sz w:val="24"/>
        </w:rPr>
      </w:pPr>
    </w:p>
    <w:p w:rsidR="008575A6" w:rsidRPr="00553887" w:rsidRDefault="008575A6" w:rsidP="008575A6">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8575A6" w:rsidRDefault="008575A6" w:rsidP="008575A6">
      <w:pPr>
        <w:jc w:val="center"/>
        <w:rPr>
          <w:b/>
          <w:szCs w:val="22"/>
        </w:rPr>
      </w:pPr>
    </w:p>
    <w:p w:rsidR="008575A6" w:rsidRDefault="008575A6" w:rsidP="008575A6">
      <w:pPr>
        <w:jc w:val="center"/>
        <w:rPr>
          <w:b/>
          <w:szCs w:val="22"/>
        </w:rPr>
      </w:pPr>
      <w:r>
        <w:rPr>
          <w:b/>
          <w:szCs w:val="22"/>
        </w:rPr>
        <w:t>CG</w:t>
      </w:r>
      <w:r w:rsidRPr="009007BF">
        <w:rPr>
          <w:b/>
          <w:szCs w:val="22"/>
        </w:rPr>
        <w:t xml:space="preserve"> Docket No. </w:t>
      </w:r>
      <w:r>
        <w:rPr>
          <w:b/>
          <w:szCs w:val="22"/>
        </w:rPr>
        <w:t>02-278</w:t>
      </w:r>
    </w:p>
    <w:p w:rsidR="008575A6" w:rsidRPr="001E68FC" w:rsidRDefault="008575A6" w:rsidP="008575A6">
      <w:pPr>
        <w:spacing w:after="240"/>
        <w:jc w:val="center"/>
        <w:rPr>
          <w:b/>
          <w:sz w:val="24"/>
        </w:rPr>
      </w:pPr>
      <w:r>
        <w:rPr>
          <w:b/>
          <w:szCs w:val="22"/>
        </w:rPr>
        <w:t>CG</w:t>
      </w:r>
      <w:r w:rsidRPr="009007BF">
        <w:rPr>
          <w:b/>
          <w:szCs w:val="22"/>
        </w:rPr>
        <w:t xml:space="preserve"> Docket No. </w:t>
      </w:r>
      <w:r>
        <w:rPr>
          <w:b/>
          <w:szCs w:val="22"/>
        </w:rPr>
        <w:t>05-338</w:t>
      </w:r>
    </w:p>
    <w:p w:rsidR="008575A6" w:rsidRDefault="008575A6" w:rsidP="008575A6">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May 13, 2016</w:t>
      </w:r>
    </w:p>
    <w:p w:rsidR="008575A6" w:rsidRDefault="008575A6" w:rsidP="008575A6">
      <w:pPr>
        <w:rPr>
          <w:b/>
        </w:rPr>
      </w:pPr>
      <w:r>
        <w:rPr>
          <w:b/>
        </w:rPr>
        <w:t>Reply Comment Date</w:t>
      </w:r>
      <w:r>
        <w:t xml:space="preserve">:  </w:t>
      </w:r>
      <w:r>
        <w:rPr>
          <w:b/>
        </w:rPr>
        <w:t>May 20</w:t>
      </w:r>
      <w:r>
        <w:t xml:space="preserve">, </w:t>
      </w:r>
      <w:r>
        <w:rPr>
          <w:b/>
        </w:rPr>
        <w:t>2016</w:t>
      </w:r>
    </w:p>
    <w:p w:rsidR="008575A6" w:rsidRPr="00997FAC" w:rsidRDefault="008575A6" w:rsidP="008575A6">
      <w:pPr>
        <w:rPr>
          <w:b/>
        </w:rPr>
      </w:pPr>
    </w:p>
    <w:p w:rsidR="008575A6" w:rsidRDefault="008575A6" w:rsidP="008575A6">
      <w:pPr>
        <w:spacing w:before="120" w:after="240"/>
        <w:rPr>
          <w:szCs w:val="22"/>
        </w:rPr>
      </w:pPr>
      <w:r>
        <w:rPr>
          <w:sz w:val="24"/>
        </w:rPr>
        <w:tab/>
      </w:r>
      <w:r w:rsidRPr="00347DD3">
        <w:rPr>
          <w:szCs w:val="22"/>
        </w:rPr>
        <w:t xml:space="preserve"> </w:t>
      </w:r>
      <w:r>
        <w:rPr>
          <w:szCs w:val="22"/>
        </w:rPr>
        <w:t>Five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described below.</w:t>
      </w:r>
      <w:r>
        <w:rPr>
          <w:rStyle w:val="FootnoteReference"/>
          <w:szCs w:val="22"/>
        </w:rPr>
        <w:footnoteReference w:id="3"/>
      </w:r>
      <w:r w:rsidRPr="00BC51CD">
        <w:rPr>
          <w:szCs w:val="22"/>
        </w:rPr>
        <w:t xml:space="preserve">  </w:t>
      </w:r>
    </w:p>
    <w:p w:rsidR="008575A6" w:rsidRDefault="008575A6" w:rsidP="008575A6">
      <w:pPr>
        <w:spacing w:before="120" w:after="240"/>
        <w:ind w:firstLine="720"/>
        <w:rPr>
          <w:szCs w:val="22"/>
        </w:rPr>
      </w:pPr>
      <w:r>
        <w:rPr>
          <w:szCs w:val="22"/>
        </w:rPr>
        <w:lastRenderedPageBreak/>
        <w:t>Specifically, the Petitioners seek retroactive waivers of the opt-out notice requirement for fax ads they sent where prior express invitation or permission had allegedly been obtained from the recipient.</w:t>
      </w:r>
      <w:r>
        <w:rPr>
          <w:rStyle w:val="FootnoteReference"/>
          <w:szCs w:val="22"/>
        </w:rPr>
        <w:footnoteReference w:id="4"/>
      </w:r>
      <w:r>
        <w:rPr>
          <w:szCs w:val="22"/>
        </w:rPr>
        <w:t xml:space="preserve">  The Petitioners argue that good cause exists because they are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5"/>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6"/>
      </w:r>
    </w:p>
    <w:p w:rsidR="008575A6" w:rsidRPr="008D3C08" w:rsidRDefault="008575A6" w:rsidP="008575A6">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7"/>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8575A6" w:rsidRPr="001E68FC" w:rsidRDefault="008575A6" w:rsidP="008575A6">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8575A6" w:rsidRPr="001E68FC" w:rsidRDefault="008575A6" w:rsidP="008575A6">
      <w:pPr>
        <w:autoSpaceDE w:val="0"/>
        <w:autoSpaceDN w:val="0"/>
        <w:adjustRightInd w:val="0"/>
        <w:ind w:firstLine="720"/>
        <w:rPr>
          <w:szCs w:val="22"/>
        </w:rPr>
      </w:pPr>
    </w:p>
    <w:p w:rsidR="008575A6" w:rsidRPr="001E68FC" w:rsidRDefault="008575A6" w:rsidP="008575A6">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8575A6" w:rsidRPr="001E68FC" w:rsidRDefault="008575A6" w:rsidP="008575A6">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8575A6" w:rsidRPr="001E68FC" w:rsidRDefault="008575A6" w:rsidP="008575A6">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575A6" w:rsidRPr="001E68FC" w:rsidRDefault="008575A6" w:rsidP="008575A6">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8575A6" w:rsidRPr="001E68FC" w:rsidRDefault="008575A6" w:rsidP="008575A6">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8575A6" w:rsidRPr="001E68FC" w:rsidRDefault="008575A6" w:rsidP="008575A6">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8575A6" w:rsidRPr="001E68FC" w:rsidRDefault="008575A6" w:rsidP="008575A6">
      <w:pPr>
        <w:autoSpaceDE w:val="0"/>
        <w:autoSpaceDN w:val="0"/>
        <w:adjustRightInd w:val="0"/>
        <w:rPr>
          <w:szCs w:val="22"/>
        </w:rPr>
      </w:pPr>
    </w:p>
    <w:p w:rsidR="008575A6" w:rsidRPr="001E68FC" w:rsidRDefault="008575A6" w:rsidP="008575A6">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8575A6" w:rsidRPr="001E68FC" w:rsidRDefault="008575A6" w:rsidP="008575A6">
      <w:pPr>
        <w:autoSpaceDE w:val="0"/>
        <w:autoSpaceDN w:val="0"/>
        <w:adjustRightInd w:val="0"/>
        <w:ind w:firstLine="720"/>
        <w:rPr>
          <w:szCs w:val="22"/>
        </w:rPr>
      </w:pPr>
    </w:p>
    <w:p w:rsidR="008575A6" w:rsidRPr="001E68FC" w:rsidRDefault="008575A6" w:rsidP="008575A6">
      <w:pPr>
        <w:ind w:firstLine="720"/>
      </w:pPr>
      <w:r w:rsidRPr="001E68FC">
        <w:lastRenderedPageBreak/>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8575A6" w:rsidRPr="001E68FC" w:rsidRDefault="008575A6" w:rsidP="008575A6">
      <w:pPr>
        <w:autoSpaceDE w:val="0"/>
        <w:autoSpaceDN w:val="0"/>
        <w:adjustRightInd w:val="0"/>
        <w:rPr>
          <w:szCs w:val="22"/>
        </w:rPr>
      </w:pPr>
    </w:p>
    <w:p w:rsidR="008575A6" w:rsidRDefault="008575A6" w:rsidP="008575A6">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8575A6" w:rsidRPr="001E68FC" w:rsidRDefault="008575A6" w:rsidP="008575A6">
      <w:pPr>
        <w:rPr>
          <w:szCs w:val="22"/>
        </w:rPr>
      </w:pPr>
    </w:p>
    <w:p w:rsidR="008575A6" w:rsidRPr="00801FF6" w:rsidRDefault="008575A6" w:rsidP="008575A6">
      <w:pPr>
        <w:jc w:val="center"/>
        <w:rPr>
          <w:b/>
          <w:sz w:val="24"/>
          <w:szCs w:val="24"/>
        </w:rPr>
      </w:pPr>
      <w:r w:rsidRPr="001E68FC">
        <w:rPr>
          <w:b/>
          <w:sz w:val="24"/>
          <w:szCs w:val="24"/>
        </w:rPr>
        <w:t>-FCC-</w:t>
      </w:r>
    </w:p>
    <w:p w:rsidR="008575A6" w:rsidRDefault="008575A6" w:rsidP="008575A6">
      <w:pPr>
        <w:spacing w:before="120"/>
        <w:rPr>
          <w:sz w:val="24"/>
        </w:rPr>
      </w:pPr>
    </w:p>
    <w:p w:rsidR="008575A6" w:rsidRDefault="008575A6" w:rsidP="008575A6">
      <w:pPr>
        <w:jc w:val="right"/>
        <w:rPr>
          <w:sz w:val="24"/>
        </w:rPr>
      </w:pPr>
    </w:p>
    <w:p w:rsidR="008575A6" w:rsidRDefault="008575A6">
      <w:pPr>
        <w:spacing w:before="120" w:after="240"/>
        <w:rPr>
          <w:sz w:val="24"/>
        </w:rPr>
      </w:pPr>
    </w:p>
    <w:p w:rsidR="00602577" w:rsidRDefault="00602577">
      <w:pPr>
        <w:spacing w:before="120" w:after="240"/>
        <w:rPr>
          <w:sz w:val="24"/>
        </w:rPr>
      </w:pPr>
    </w:p>
    <w:sectPr w:rsidR="00602577">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35" w:rsidRDefault="00AA7635">
      <w:r>
        <w:separator/>
      </w:r>
    </w:p>
  </w:endnote>
  <w:endnote w:type="continuationSeparator" w:id="0">
    <w:p w:rsidR="00AA7635" w:rsidRDefault="00AA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FE" w:rsidRDefault="00DB2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FE" w:rsidRDefault="00DB2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FE" w:rsidRDefault="00DB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35" w:rsidRDefault="00AA7635">
      <w:r>
        <w:separator/>
      </w:r>
    </w:p>
  </w:footnote>
  <w:footnote w:type="continuationSeparator" w:id="0">
    <w:p w:rsidR="00AA7635" w:rsidRDefault="00AA7635">
      <w:r>
        <w:continuationSeparator/>
      </w:r>
    </w:p>
  </w:footnote>
  <w:footnote w:id="1">
    <w:p w:rsidR="008575A6" w:rsidRPr="007512B4" w:rsidRDefault="008575A6" w:rsidP="008575A6">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Pr>
          <w:sz w:val="20"/>
        </w:rPr>
        <w:t>CFR</w:t>
      </w:r>
      <w:r w:rsidRPr="007512B4">
        <w:rPr>
          <w:sz w:val="20"/>
        </w:rPr>
        <w:t xml:space="preserve"> § 64.1200(a)(4)</w:t>
      </w:r>
      <w:r>
        <w:rPr>
          <w:sz w:val="20"/>
        </w:rPr>
        <w:t>(iii)-</w:t>
      </w:r>
      <w:r w:rsidRPr="007512B4">
        <w:rPr>
          <w:sz w:val="20"/>
        </w:rPr>
        <w:t>(iv).</w:t>
      </w:r>
    </w:p>
  </w:footnote>
  <w:footnote w:id="2">
    <w:p w:rsidR="008575A6" w:rsidRPr="007512B4" w:rsidRDefault="008575A6" w:rsidP="008575A6">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Petition of Inter-Med, Inc. d/b/a Vista Dental Products for Retroactive Waiver of 47 CFR § 64.1200(a)(4)(iv)</w:t>
      </w:r>
      <w:r>
        <w:rPr>
          <w:sz w:val="20"/>
        </w:rPr>
        <w:t xml:space="preserve">, CG Docket Nos. 02-278, 05-338 (filed Mar. 25, 2016) (Inter-Med Petition); </w:t>
      </w:r>
      <w:r w:rsidRPr="00825DBB">
        <w:rPr>
          <w:i/>
          <w:sz w:val="20"/>
        </w:rPr>
        <w:t xml:space="preserve">Petition of </w:t>
      </w:r>
      <w:r>
        <w:rPr>
          <w:i/>
          <w:sz w:val="20"/>
        </w:rPr>
        <w:t xml:space="preserve">Legal &amp; General America, Inc. </w:t>
      </w:r>
      <w:r w:rsidRPr="00825DBB">
        <w:rPr>
          <w:i/>
          <w:sz w:val="20"/>
        </w:rPr>
        <w:t>for</w:t>
      </w:r>
      <w:r>
        <w:rPr>
          <w:i/>
          <w:sz w:val="20"/>
        </w:rPr>
        <w:t xml:space="preserve"> Waiver of Section 47 CFR 64.1200(a)(4)(iv) of the Commission’s Rules</w:t>
      </w:r>
      <w:r>
        <w:rPr>
          <w:sz w:val="20"/>
        </w:rPr>
        <w:t xml:space="preserve">, CG Docket Nos. 02-278, 05-338 (filed Mar. 31, 2016) (LGA Petition); </w:t>
      </w:r>
      <w:r w:rsidRPr="00707D09">
        <w:rPr>
          <w:i/>
          <w:sz w:val="20"/>
        </w:rPr>
        <w:t>Petition of Jeana Fleitz, LLC d/b/a The X-Ray Lady for Retroactive Waiver of 47 CFR § 64.1200(a)(4)(iv)</w:t>
      </w:r>
      <w:r w:rsidRPr="00707D09">
        <w:rPr>
          <w:sz w:val="20"/>
        </w:rPr>
        <w:t>, CG Docket Nos. 02-278, 05-338 (filed Apr. 06, 2016) (Fleitz Petition</w:t>
      </w:r>
      <w:r>
        <w:rPr>
          <w:sz w:val="20"/>
        </w:rPr>
        <w:t xml:space="preserve">); </w:t>
      </w:r>
      <w:r w:rsidRPr="00796535">
        <w:rPr>
          <w:i/>
          <w:sz w:val="20"/>
        </w:rPr>
        <w:t>Petition of C. Specialties, Inc. for Waiver of Section 64.1200(a)(4)(iv) of the Commission’s Rules</w:t>
      </w:r>
      <w:r>
        <w:rPr>
          <w:sz w:val="20"/>
        </w:rPr>
        <w:t xml:space="preserve">, CG Docket Nos. 02-278, 05-338 (filed Apr. 26, 2016) (CSI Petition); </w:t>
      </w:r>
      <w:r w:rsidRPr="0069107F">
        <w:rPr>
          <w:i/>
          <w:sz w:val="20"/>
        </w:rPr>
        <w:t>Petition of Buccaneers Limited Partnership for Retroactive Waiver of 47 CFR § 64.1200(a)(4)(iv)</w:t>
      </w:r>
      <w:r>
        <w:rPr>
          <w:sz w:val="20"/>
        </w:rPr>
        <w:t xml:space="preserve">, CG Docket Nos. 02-278, 05-338 (filed Apr. 28, 2016) (Buccaneers Petition) </w:t>
      </w:r>
      <w:r w:rsidRPr="007512B4">
        <w:rPr>
          <w:sz w:val="20"/>
        </w:rPr>
        <w:t>(collectively Petitioners).</w:t>
      </w:r>
    </w:p>
    <w:p w:rsidR="008575A6" w:rsidRPr="007512B4" w:rsidRDefault="008575A6" w:rsidP="008575A6">
      <w:pPr>
        <w:rPr>
          <w:sz w:val="20"/>
        </w:rPr>
      </w:pPr>
    </w:p>
  </w:footnote>
  <w:footnote w:id="3">
    <w:p w:rsidR="008575A6" w:rsidRDefault="008575A6" w:rsidP="008575A6">
      <w:pPr>
        <w:pStyle w:val="FootnoteText"/>
      </w:pPr>
      <w:r>
        <w:rPr>
          <w:rStyle w:val="FootnoteReference"/>
        </w:rPr>
        <w:footnoteRef/>
      </w:r>
      <w:r>
        <w:t xml:space="preserve"> </w:t>
      </w:r>
      <w:r w:rsidRPr="001A1944">
        <w:rPr>
          <w:sz w:val="20"/>
        </w:rPr>
        <w:t>In add</w:t>
      </w:r>
      <w:r>
        <w:rPr>
          <w:sz w:val="20"/>
        </w:rPr>
        <w:t>ition to a request for waiver, one</w:t>
      </w:r>
      <w:r w:rsidRPr="001A1944">
        <w:rPr>
          <w:sz w:val="20"/>
        </w:rPr>
        <w:t xml:space="preserve"> </w:t>
      </w:r>
      <w:r>
        <w:rPr>
          <w:sz w:val="20"/>
        </w:rPr>
        <w:t>p</w:t>
      </w:r>
      <w:r w:rsidRPr="001A1944">
        <w:rPr>
          <w:sz w:val="20"/>
        </w:rPr>
        <w:t>etitioner seek</w:t>
      </w:r>
      <w:r>
        <w:rPr>
          <w:sz w:val="20"/>
        </w:rPr>
        <w:t>s</w:t>
      </w:r>
      <w:r w:rsidRPr="001A1944">
        <w:rPr>
          <w:sz w:val="20"/>
        </w:rPr>
        <w:t xml:space="preserve"> a declaratory ruling that section 64.1200(a)(4)(iv) of our rules does not apply to faxes sent with prior express permission and/or that this requirement was not adopted pursuant to section 227(b) of the Communications Act.  </w:t>
      </w:r>
      <w:r w:rsidRPr="001A1944">
        <w:rPr>
          <w:i/>
          <w:sz w:val="20"/>
        </w:rPr>
        <w:t xml:space="preserve">See </w:t>
      </w:r>
      <w:r>
        <w:rPr>
          <w:sz w:val="20"/>
        </w:rPr>
        <w:t>CSI</w:t>
      </w:r>
      <w:r w:rsidRPr="00AF7C67">
        <w:rPr>
          <w:sz w:val="20"/>
        </w:rPr>
        <w:t xml:space="preserve"> Petition</w:t>
      </w:r>
      <w:r w:rsidRPr="001A1944">
        <w:rPr>
          <w:sz w:val="20"/>
        </w:rPr>
        <w:t xml:space="preserve"> at </w:t>
      </w:r>
      <w:r>
        <w:rPr>
          <w:sz w:val="20"/>
        </w:rPr>
        <w:t>2, 8-9</w:t>
      </w:r>
      <w:r w:rsidRPr="001A1944">
        <w:rPr>
          <w:sz w:val="20"/>
        </w:rPr>
        <w:t xml:space="preserve">.  Because the Commission has released an </w:t>
      </w:r>
      <w:r>
        <w:rPr>
          <w:sz w:val="20"/>
        </w:rPr>
        <w:t>o</w:t>
      </w:r>
      <w:r w:rsidRPr="001A1944">
        <w:rPr>
          <w:sz w:val="20"/>
        </w:rPr>
        <w:t>rder denying substantially similar requests for declaratory ruling, we find it unnecessary to seek additional comment of th</w:t>
      </w:r>
      <w:r>
        <w:rPr>
          <w:sz w:val="20"/>
        </w:rPr>
        <w:t>is</w:t>
      </w:r>
      <w:r w:rsidRPr="001A1944">
        <w:rPr>
          <w:sz w:val="20"/>
        </w:rPr>
        <w:t xml:space="preserve"> </w:t>
      </w:r>
      <w:r>
        <w:rPr>
          <w:sz w:val="20"/>
        </w:rPr>
        <w:t>p</w:t>
      </w:r>
      <w:r w:rsidRPr="001A1944">
        <w:rPr>
          <w:sz w:val="20"/>
        </w:rPr>
        <w:t>etitioner</w:t>
      </w:r>
      <w:r>
        <w:rPr>
          <w:sz w:val="20"/>
        </w:rPr>
        <w:t>’s</w:t>
      </w:r>
      <w:r w:rsidRPr="001A1944">
        <w:rPr>
          <w:sz w:val="20"/>
        </w:rPr>
        <w:t xml:space="preserve"> r</w:t>
      </w:r>
      <w:r>
        <w:rPr>
          <w:sz w:val="20"/>
        </w:rPr>
        <w:t xml:space="preserve">equest for declaratory ruling.  </w:t>
      </w:r>
      <w:r>
        <w:rPr>
          <w:i/>
          <w:sz w:val="20"/>
        </w:rPr>
        <w:t xml:space="preserve">See </w:t>
      </w:r>
      <w:r w:rsidRPr="001A1944">
        <w:rPr>
          <w:i/>
          <w:sz w:val="20"/>
        </w:rPr>
        <w:t>Petition</w:t>
      </w:r>
      <w:r>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 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p>
  </w:footnote>
  <w:footnote w:id="4">
    <w:p w:rsidR="008575A6" w:rsidRPr="00FF77E1" w:rsidRDefault="008575A6" w:rsidP="008575A6">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Pr>
          <w:sz w:val="20"/>
        </w:rPr>
        <w:t>Inter-Med Petition at 1; LGA Petition at 1; Fleitz Petition at 1, 4; CSI Petition at 1; Buccaneers Petition at 1.</w:t>
      </w:r>
    </w:p>
  </w:footnote>
  <w:footnote w:id="5">
    <w:p w:rsidR="008575A6" w:rsidRPr="007512B4" w:rsidRDefault="008575A6" w:rsidP="008575A6">
      <w:pPr>
        <w:pStyle w:val="FootnoteText"/>
        <w:rPr>
          <w:sz w:val="20"/>
        </w:rPr>
      </w:pPr>
      <w:r w:rsidRPr="007512B4">
        <w:rPr>
          <w:rStyle w:val="FootnoteReference"/>
          <w:sz w:val="20"/>
        </w:rPr>
        <w:footnoteRef/>
      </w:r>
      <w:r w:rsidRPr="007512B4">
        <w:rPr>
          <w:sz w:val="20"/>
        </w:rPr>
        <w:t xml:space="preserve"> </w:t>
      </w:r>
      <w:r>
        <w:rPr>
          <w:i/>
          <w:sz w:val="20"/>
        </w:rPr>
        <w:t xml:space="preserve">See, e.g., </w:t>
      </w:r>
      <w:r>
        <w:rPr>
          <w:sz w:val="20"/>
        </w:rPr>
        <w:t xml:space="preserve">Inter-Med Petition at 2; LGA Petition at 2, 5; Fleitz Petition at 4; CSI Petition at 1-2, 6; Buccaneers Petition at 7; </w:t>
      </w:r>
      <w:r>
        <w:rPr>
          <w:i/>
          <w:sz w:val="20"/>
        </w:rPr>
        <w:t>Anda Order</w:t>
      </w:r>
      <w:r w:rsidRPr="001A1944">
        <w:rPr>
          <w:sz w:val="20"/>
        </w:rPr>
        <w:t xml:space="preserve">, </w:t>
      </w:r>
      <w:r>
        <w:rPr>
          <w:sz w:val="20"/>
        </w:rPr>
        <w:t xml:space="preserve">29 FCC Rcd at 14008-12, </w:t>
      </w:r>
      <w:r w:rsidRPr="007512B4">
        <w:rPr>
          <w:sz w:val="20"/>
        </w:rPr>
        <w:t>paras. 2</w:t>
      </w:r>
      <w:r>
        <w:rPr>
          <w:sz w:val="20"/>
        </w:rPr>
        <w:t>2-31</w:t>
      </w:r>
      <w:r w:rsidRPr="007512B4">
        <w:rPr>
          <w:sz w:val="20"/>
        </w:rPr>
        <w:t>.</w:t>
      </w:r>
    </w:p>
  </w:footnote>
  <w:footnote w:id="6">
    <w:p w:rsidR="008575A6" w:rsidRPr="00EF45EA" w:rsidRDefault="008575A6" w:rsidP="008575A6">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7">
    <w:p w:rsidR="008575A6" w:rsidRPr="007512B4" w:rsidRDefault="008575A6" w:rsidP="008575A6">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8">
    <w:p w:rsidR="008575A6" w:rsidRPr="007512B4" w:rsidRDefault="008575A6" w:rsidP="008575A6">
      <w:pPr>
        <w:pStyle w:val="FootnoteText"/>
        <w:rPr>
          <w:iCs/>
          <w:sz w:val="20"/>
        </w:rPr>
      </w:pPr>
      <w:r w:rsidRPr="007512B4">
        <w:rPr>
          <w:rStyle w:val="FootnoteReference"/>
          <w:sz w:val="20"/>
        </w:rPr>
        <w:footnoteRef/>
      </w:r>
      <w:r w:rsidRPr="007512B4">
        <w:rPr>
          <w:sz w:val="20"/>
        </w:rPr>
        <w:t xml:space="preserve"> 47 </w:t>
      </w:r>
      <w:r>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FE" w:rsidRDefault="00DB2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FE" w:rsidRDefault="00DB2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7016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7016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8240"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60288"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A6" w:rsidRDefault="00F7016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8575A6">
      <w:rPr>
        <w:rFonts w:ascii="News Gothic MT" w:hAnsi="News Gothic MT"/>
        <w:b/>
        <w:kern w:val="28"/>
        <w:sz w:val="96"/>
      </w:rPr>
      <w:t xml:space="preserve">  PUBLIC NOTICE</w:t>
    </w:r>
  </w:p>
  <w:p w:rsidR="008575A6" w:rsidRDefault="00F70166">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8575A6" w:rsidRDefault="008575A6">
                <w:pPr>
                  <w:rPr>
                    <w:rFonts w:ascii="Arial" w:hAnsi="Arial"/>
                    <w:b/>
                  </w:rPr>
                </w:pPr>
                <w:r>
                  <w:rPr>
                    <w:rFonts w:ascii="Arial" w:hAnsi="Arial"/>
                    <w:b/>
                  </w:rPr>
                  <w:t>Federal Communications Commission</w:t>
                </w:r>
              </w:p>
              <w:p w:rsidR="008575A6" w:rsidRDefault="008575A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75A6" w:rsidRDefault="008575A6">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8575A6" w:rsidRDefault="008575A6">
                <w:pPr>
                  <w:spacing w:before="40"/>
                  <w:jc w:val="right"/>
                  <w:rPr>
                    <w:rFonts w:ascii="Arial" w:hAnsi="Arial"/>
                    <w:b/>
                    <w:sz w:val="16"/>
                  </w:rPr>
                </w:pPr>
                <w:r>
                  <w:rPr>
                    <w:rFonts w:ascii="Arial" w:hAnsi="Arial"/>
                    <w:b/>
                    <w:sz w:val="16"/>
                  </w:rPr>
                  <w:t>News Media Information 202 / 418-0500</w:t>
                </w:r>
              </w:p>
              <w:p w:rsidR="008575A6" w:rsidRDefault="008575A6">
                <w:pPr>
                  <w:jc w:val="right"/>
                  <w:rPr>
                    <w:rFonts w:ascii="Arial" w:hAnsi="Arial"/>
                    <w:b/>
                    <w:sz w:val="16"/>
                  </w:rPr>
                </w:pPr>
                <w:r>
                  <w:rPr>
                    <w:rFonts w:ascii="Arial" w:hAnsi="Arial"/>
                    <w:b/>
                    <w:sz w:val="16"/>
                  </w:rPr>
                  <w:tab/>
                  <w:t>Internet: http://www.fcc.gov</w:t>
                </w:r>
              </w:p>
              <w:p w:rsidR="008575A6" w:rsidRDefault="008575A6">
                <w:pPr>
                  <w:jc w:val="right"/>
                  <w:rPr>
                    <w:rFonts w:ascii="Arial" w:hAnsi="Arial"/>
                    <w:b/>
                    <w:sz w:val="16"/>
                  </w:rPr>
                </w:pPr>
                <w:r>
                  <w:rPr>
                    <w:rFonts w:ascii="Arial" w:hAnsi="Arial"/>
                    <w:b/>
                    <w:sz w:val="16"/>
                  </w:rPr>
                  <w:t>TTY: 1-888-835-5322</w:t>
                </w:r>
              </w:p>
              <w:p w:rsidR="008575A6" w:rsidRDefault="008575A6">
                <w:pPr>
                  <w:jc w:val="right"/>
                </w:pPr>
              </w:p>
            </w:txbxContent>
          </v:textbox>
        </v:shape>
      </w:pict>
    </w:r>
  </w:p>
  <w:p w:rsidR="008575A6" w:rsidRDefault="008575A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5A6"/>
    <w:rsid w:val="000265AE"/>
    <w:rsid w:val="001929B1"/>
    <w:rsid w:val="00602577"/>
    <w:rsid w:val="008575A6"/>
    <w:rsid w:val="00942182"/>
    <w:rsid w:val="009977F3"/>
    <w:rsid w:val="00AA7635"/>
    <w:rsid w:val="00D17DC0"/>
    <w:rsid w:val="00D60EFF"/>
    <w:rsid w:val="00DB2AFE"/>
    <w:rsid w:val="00F7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8575A6"/>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8575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4552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2016-04-29T14:19:00Z</dcterms:created>
  <dcterms:modified xsi:type="dcterms:W3CDTF">2016-04-29T14:19:00Z</dcterms:modified>
  <cp:category> </cp:category>
  <cp:contentStatus> </cp:contentStatus>
</cp:coreProperties>
</file>