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6FCDB" w14:textId="77777777" w:rsidR="00F90BE8" w:rsidRDefault="00595360">
      <w:pPr>
        <w:pStyle w:val="Title"/>
        <w:rPr>
          <w:szCs w:val="22"/>
        </w:rPr>
      </w:pPr>
      <w:bookmarkStart w:id="0" w:name="_GoBack"/>
      <w:bookmarkEnd w:id="0"/>
      <w:r>
        <w:rPr>
          <w:szCs w:val="22"/>
        </w:rPr>
        <w:t>Before the</w:t>
      </w:r>
    </w:p>
    <w:p w14:paraId="71BF19CC" w14:textId="77777777" w:rsidR="00F90BE8" w:rsidRDefault="00595360">
      <w:pPr>
        <w:pStyle w:val="Title"/>
        <w:rPr>
          <w:szCs w:val="22"/>
        </w:rPr>
      </w:pPr>
      <w:r>
        <w:rPr>
          <w:szCs w:val="22"/>
        </w:rPr>
        <w:t>Federal Communications Commission</w:t>
      </w:r>
    </w:p>
    <w:p w14:paraId="4B4DA8CF" w14:textId="77777777" w:rsidR="00F90BE8" w:rsidRDefault="00595360">
      <w:pPr>
        <w:pStyle w:val="Title"/>
        <w:rPr>
          <w:szCs w:val="22"/>
        </w:rPr>
      </w:pPr>
      <w:r>
        <w:rPr>
          <w:szCs w:val="22"/>
        </w:rPr>
        <w:t>Washington, D.C. 20554</w:t>
      </w:r>
    </w:p>
    <w:p w14:paraId="7D51F738" w14:textId="77777777" w:rsidR="00F90BE8" w:rsidRDefault="00F90BE8">
      <w:pPr>
        <w:tabs>
          <w:tab w:val="left" w:pos="-720"/>
        </w:tabs>
        <w:suppressAutoHyphens/>
        <w:spacing w:line="227" w:lineRule="auto"/>
        <w:rPr>
          <w:spacing w:val="-2"/>
          <w:szCs w:val="22"/>
        </w:rPr>
      </w:pPr>
    </w:p>
    <w:tbl>
      <w:tblPr>
        <w:tblW w:w="0" w:type="auto"/>
        <w:tblLayout w:type="fixed"/>
        <w:tblLook w:val="0000" w:firstRow="0" w:lastRow="0" w:firstColumn="0" w:lastColumn="0" w:noHBand="0" w:noVBand="0"/>
      </w:tblPr>
      <w:tblGrid>
        <w:gridCol w:w="4698"/>
        <w:gridCol w:w="630"/>
        <w:gridCol w:w="4248"/>
      </w:tblGrid>
      <w:tr w:rsidR="00F90BE8" w14:paraId="615F56BA" w14:textId="77777777">
        <w:tc>
          <w:tcPr>
            <w:tcW w:w="4698" w:type="dxa"/>
          </w:tcPr>
          <w:p w14:paraId="4C86205F" w14:textId="77777777" w:rsidR="00F90BE8" w:rsidRDefault="00595360">
            <w:pPr>
              <w:tabs>
                <w:tab w:val="center" w:pos="4680"/>
              </w:tabs>
              <w:suppressAutoHyphens/>
              <w:rPr>
                <w:spacing w:val="-2"/>
                <w:szCs w:val="22"/>
              </w:rPr>
            </w:pPr>
            <w:r>
              <w:rPr>
                <w:spacing w:val="-2"/>
                <w:szCs w:val="22"/>
              </w:rPr>
              <w:t>In the Matter of</w:t>
            </w:r>
          </w:p>
          <w:p w14:paraId="5094AE42" w14:textId="77777777" w:rsidR="00F90BE8" w:rsidRDefault="00F90BE8">
            <w:pPr>
              <w:tabs>
                <w:tab w:val="center" w:pos="4680"/>
              </w:tabs>
              <w:suppressAutoHyphens/>
              <w:rPr>
                <w:spacing w:val="-2"/>
                <w:szCs w:val="22"/>
              </w:rPr>
            </w:pPr>
          </w:p>
          <w:p w14:paraId="72EDFA55" w14:textId="77777777" w:rsidR="00F90BE8" w:rsidRDefault="00EA0836">
            <w:pPr>
              <w:pStyle w:val="BodyText"/>
              <w:numPr>
                <w:ilvl w:val="0"/>
                <w:numId w:val="0"/>
              </w:numPr>
              <w:rPr>
                <w:szCs w:val="22"/>
              </w:rPr>
            </w:pPr>
            <w:r>
              <w:rPr>
                <w:szCs w:val="22"/>
              </w:rPr>
              <w:t>Comcast of Potomac, LLC</w:t>
            </w:r>
          </w:p>
          <w:p w14:paraId="2EA97F59" w14:textId="77777777" w:rsidR="00F90BE8" w:rsidRDefault="00F90BE8">
            <w:pPr>
              <w:pStyle w:val="BodyText"/>
              <w:numPr>
                <w:ilvl w:val="0"/>
                <w:numId w:val="0"/>
              </w:numPr>
              <w:rPr>
                <w:szCs w:val="22"/>
              </w:rPr>
            </w:pPr>
          </w:p>
          <w:p w14:paraId="37874589" w14:textId="77777777" w:rsidR="00F90BE8" w:rsidRDefault="00EA0836" w:rsidP="00EA0836">
            <w:pPr>
              <w:pStyle w:val="BodyText"/>
              <w:numPr>
                <w:ilvl w:val="0"/>
                <w:numId w:val="0"/>
              </w:numPr>
              <w:rPr>
                <w:b/>
                <w:szCs w:val="22"/>
              </w:rPr>
            </w:pPr>
            <w:r>
              <w:rPr>
                <w:szCs w:val="22"/>
              </w:rPr>
              <w:t>Petition for</w:t>
            </w:r>
            <w:r w:rsidR="00595360">
              <w:rPr>
                <w:szCs w:val="22"/>
              </w:rPr>
              <w:t xml:space="preserve"> Determination of Effective Competition in </w:t>
            </w:r>
            <w:r>
              <w:rPr>
                <w:szCs w:val="22"/>
              </w:rPr>
              <w:t>4</w:t>
            </w:r>
            <w:r w:rsidR="00595360">
              <w:rPr>
                <w:szCs w:val="22"/>
              </w:rPr>
              <w:t xml:space="preserve"> </w:t>
            </w:r>
            <w:r>
              <w:rPr>
                <w:szCs w:val="22"/>
              </w:rPr>
              <w:t>Maryland Communities</w:t>
            </w:r>
          </w:p>
        </w:tc>
        <w:tc>
          <w:tcPr>
            <w:tcW w:w="630" w:type="dxa"/>
          </w:tcPr>
          <w:p w14:paraId="5B836831" w14:textId="77777777" w:rsidR="00F90BE8" w:rsidRDefault="00595360">
            <w:pPr>
              <w:tabs>
                <w:tab w:val="center" w:pos="4680"/>
              </w:tabs>
              <w:suppressAutoHyphens/>
              <w:rPr>
                <w:b/>
                <w:spacing w:val="-2"/>
                <w:szCs w:val="22"/>
              </w:rPr>
            </w:pPr>
            <w:r>
              <w:rPr>
                <w:b/>
                <w:spacing w:val="-2"/>
                <w:szCs w:val="22"/>
              </w:rPr>
              <w:t>)</w:t>
            </w:r>
          </w:p>
          <w:p w14:paraId="5B410E52" w14:textId="77777777" w:rsidR="00F90BE8" w:rsidRDefault="00595360">
            <w:pPr>
              <w:tabs>
                <w:tab w:val="center" w:pos="4680"/>
              </w:tabs>
              <w:suppressAutoHyphens/>
              <w:rPr>
                <w:b/>
                <w:spacing w:val="-2"/>
                <w:szCs w:val="22"/>
              </w:rPr>
            </w:pPr>
            <w:r>
              <w:rPr>
                <w:b/>
                <w:spacing w:val="-2"/>
                <w:szCs w:val="22"/>
              </w:rPr>
              <w:t>)</w:t>
            </w:r>
          </w:p>
          <w:p w14:paraId="69CF368E" w14:textId="77777777" w:rsidR="00F90BE8" w:rsidRDefault="00595360">
            <w:pPr>
              <w:tabs>
                <w:tab w:val="center" w:pos="4680"/>
              </w:tabs>
              <w:suppressAutoHyphens/>
              <w:rPr>
                <w:b/>
                <w:spacing w:val="-2"/>
                <w:szCs w:val="22"/>
              </w:rPr>
            </w:pPr>
            <w:r>
              <w:rPr>
                <w:b/>
                <w:spacing w:val="-2"/>
                <w:szCs w:val="22"/>
              </w:rPr>
              <w:t>)</w:t>
            </w:r>
          </w:p>
          <w:p w14:paraId="4D6CCC76" w14:textId="77777777" w:rsidR="00F90BE8" w:rsidRDefault="00595360">
            <w:pPr>
              <w:tabs>
                <w:tab w:val="center" w:pos="4680"/>
              </w:tabs>
              <w:suppressAutoHyphens/>
              <w:rPr>
                <w:b/>
                <w:spacing w:val="-2"/>
                <w:szCs w:val="22"/>
              </w:rPr>
            </w:pPr>
            <w:r>
              <w:rPr>
                <w:b/>
                <w:spacing w:val="-2"/>
                <w:szCs w:val="22"/>
              </w:rPr>
              <w:t>)</w:t>
            </w:r>
          </w:p>
          <w:p w14:paraId="61ECB3C4" w14:textId="77777777" w:rsidR="00F90BE8" w:rsidRDefault="00595360">
            <w:pPr>
              <w:tabs>
                <w:tab w:val="center" w:pos="4680"/>
              </w:tabs>
              <w:suppressAutoHyphens/>
              <w:rPr>
                <w:b/>
                <w:spacing w:val="-2"/>
                <w:szCs w:val="22"/>
              </w:rPr>
            </w:pPr>
            <w:r>
              <w:rPr>
                <w:b/>
                <w:spacing w:val="-2"/>
                <w:szCs w:val="22"/>
              </w:rPr>
              <w:t>)</w:t>
            </w:r>
          </w:p>
          <w:p w14:paraId="6F8FA402" w14:textId="4BD56291" w:rsidR="00F90BE8" w:rsidRDefault="00595360">
            <w:pPr>
              <w:tabs>
                <w:tab w:val="center" w:pos="4680"/>
              </w:tabs>
              <w:suppressAutoHyphens/>
              <w:rPr>
                <w:b/>
                <w:spacing w:val="-2"/>
                <w:szCs w:val="22"/>
              </w:rPr>
            </w:pPr>
            <w:r>
              <w:rPr>
                <w:b/>
                <w:spacing w:val="-2"/>
                <w:szCs w:val="22"/>
              </w:rPr>
              <w:t>)</w:t>
            </w:r>
          </w:p>
        </w:tc>
        <w:tc>
          <w:tcPr>
            <w:tcW w:w="4248" w:type="dxa"/>
          </w:tcPr>
          <w:p w14:paraId="7493D3E3" w14:textId="77777777" w:rsidR="00F90BE8" w:rsidRDefault="00595360">
            <w:pPr>
              <w:tabs>
                <w:tab w:val="center" w:pos="4680"/>
              </w:tabs>
              <w:suppressAutoHyphens/>
              <w:rPr>
                <w:spacing w:val="-2"/>
                <w:szCs w:val="22"/>
              </w:rPr>
            </w:pPr>
            <w:r>
              <w:rPr>
                <w:spacing w:val="-2"/>
                <w:szCs w:val="22"/>
              </w:rPr>
              <w:t xml:space="preserve">          </w:t>
            </w:r>
          </w:p>
          <w:p w14:paraId="6634B2B5" w14:textId="54332A2B" w:rsidR="00F90BE8" w:rsidRDefault="00595360" w:rsidP="00EA0836">
            <w:pPr>
              <w:tabs>
                <w:tab w:val="center" w:pos="4680"/>
              </w:tabs>
              <w:suppressAutoHyphens/>
              <w:rPr>
                <w:spacing w:val="-2"/>
                <w:szCs w:val="22"/>
              </w:rPr>
            </w:pPr>
            <w:r>
              <w:rPr>
                <w:spacing w:val="-2"/>
                <w:szCs w:val="22"/>
              </w:rPr>
              <w:t xml:space="preserve">           </w:t>
            </w:r>
          </w:p>
          <w:p w14:paraId="0EB8C4B7" w14:textId="77777777" w:rsidR="00F90BE8" w:rsidRDefault="00595360">
            <w:pPr>
              <w:pStyle w:val="EndnoteText"/>
              <w:tabs>
                <w:tab w:val="center" w:pos="4680"/>
              </w:tabs>
              <w:suppressAutoHyphens/>
              <w:spacing w:after="0"/>
              <w:rPr>
                <w:spacing w:val="-2"/>
                <w:szCs w:val="22"/>
              </w:rPr>
            </w:pPr>
            <w:r>
              <w:rPr>
                <w:spacing w:val="-2"/>
                <w:szCs w:val="22"/>
              </w:rPr>
              <w:t xml:space="preserve">       </w:t>
            </w:r>
            <w:r w:rsidR="002C1739">
              <w:rPr>
                <w:spacing w:val="-2"/>
                <w:szCs w:val="22"/>
              </w:rPr>
              <w:t xml:space="preserve">    MB Docket No. 12-308, CSR 8733-E</w:t>
            </w:r>
            <w:r>
              <w:rPr>
                <w:spacing w:val="-2"/>
                <w:szCs w:val="22"/>
              </w:rPr>
              <w:t xml:space="preserve">    </w:t>
            </w:r>
          </w:p>
        </w:tc>
      </w:tr>
    </w:tbl>
    <w:p w14:paraId="218F0AE5" w14:textId="77777777" w:rsidR="00F90BE8" w:rsidRDefault="00F90BE8">
      <w:pPr>
        <w:pStyle w:val="Title"/>
        <w:rPr>
          <w:szCs w:val="22"/>
        </w:rPr>
      </w:pPr>
    </w:p>
    <w:p w14:paraId="07A1A732" w14:textId="77777777" w:rsidR="00F90BE8" w:rsidRDefault="00595360">
      <w:pPr>
        <w:pStyle w:val="Title"/>
        <w:rPr>
          <w:szCs w:val="22"/>
        </w:rPr>
      </w:pPr>
      <w:r>
        <w:rPr>
          <w:szCs w:val="22"/>
        </w:rPr>
        <w:fldChar w:fldCharType="begin"/>
      </w:r>
      <w:r>
        <w:rPr>
          <w:szCs w:val="22"/>
        </w:rPr>
        <w:instrText xml:space="preserve"> AUTOTEXTLIST  \* MERGEFORMAT </w:instrText>
      </w:r>
      <w:r>
        <w:rPr>
          <w:szCs w:val="22"/>
        </w:rPr>
        <w:fldChar w:fldCharType="separate"/>
      </w:r>
      <w:r>
        <w:rPr>
          <w:szCs w:val="22"/>
        </w:rPr>
        <w:t>MEMORANDUM OPINION AND ORDER</w:t>
      </w:r>
      <w:r>
        <w:rPr>
          <w:szCs w:val="22"/>
        </w:rPr>
        <w:fldChar w:fldCharType="end"/>
      </w:r>
    </w:p>
    <w:p w14:paraId="5F97DEE3" w14:textId="77777777" w:rsidR="00F90BE8" w:rsidRDefault="00F90BE8">
      <w:pPr>
        <w:tabs>
          <w:tab w:val="left" w:pos="720"/>
          <w:tab w:val="left" w:pos="5760"/>
        </w:tabs>
        <w:suppressAutoHyphens/>
        <w:spacing w:line="227" w:lineRule="auto"/>
        <w:rPr>
          <w:b/>
          <w:spacing w:val="-2"/>
          <w:szCs w:val="22"/>
        </w:rPr>
      </w:pPr>
    </w:p>
    <w:p w14:paraId="604E8D5E" w14:textId="41848372" w:rsidR="00F90BE8" w:rsidRDefault="00595360">
      <w:pPr>
        <w:tabs>
          <w:tab w:val="left" w:pos="720"/>
          <w:tab w:val="left" w:pos="5760"/>
        </w:tabs>
        <w:suppressAutoHyphens/>
        <w:spacing w:line="227" w:lineRule="auto"/>
        <w:rPr>
          <w:b/>
          <w:spacing w:val="-2"/>
          <w:szCs w:val="22"/>
        </w:rPr>
      </w:pPr>
      <w:r>
        <w:rPr>
          <w:b/>
          <w:spacing w:val="-2"/>
          <w:szCs w:val="22"/>
        </w:rPr>
        <w:t xml:space="preserve">Adopted:  </w:t>
      </w:r>
      <w:r w:rsidR="005D12F8">
        <w:rPr>
          <w:b/>
          <w:spacing w:val="-2"/>
          <w:szCs w:val="22"/>
        </w:rPr>
        <w:t>April 29, 2016</w:t>
      </w:r>
      <w:r>
        <w:rPr>
          <w:b/>
          <w:spacing w:val="-2"/>
          <w:szCs w:val="22"/>
        </w:rPr>
        <w:t xml:space="preserve">         </w:t>
      </w:r>
      <w:r w:rsidR="00FD54DD">
        <w:rPr>
          <w:b/>
          <w:spacing w:val="-2"/>
          <w:szCs w:val="22"/>
        </w:rPr>
        <w:tab/>
      </w:r>
      <w:r>
        <w:rPr>
          <w:b/>
          <w:spacing w:val="-2"/>
          <w:szCs w:val="22"/>
        </w:rPr>
        <w:t xml:space="preserve">Released:  </w:t>
      </w:r>
      <w:r w:rsidR="005D12F8">
        <w:rPr>
          <w:b/>
          <w:spacing w:val="-2"/>
          <w:szCs w:val="22"/>
        </w:rPr>
        <w:t>April 29</w:t>
      </w:r>
      <w:r>
        <w:rPr>
          <w:b/>
          <w:spacing w:val="-2"/>
          <w:szCs w:val="22"/>
        </w:rPr>
        <w:t>, 2016</w:t>
      </w:r>
    </w:p>
    <w:p w14:paraId="4092465C" w14:textId="77777777" w:rsidR="00F90BE8" w:rsidRDefault="00F90BE8">
      <w:pPr>
        <w:rPr>
          <w:szCs w:val="22"/>
        </w:rPr>
      </w:pPr>
    </w:p>
    <w:p w14:paraId="46A210E3" w14:textId="77777777" w:rsidR="00F90BE8" w:rsidRDefault="00595360">
      <w:pPr>
        <w:rPr>
          <w:spacing w:val="-2"/>
          <w:szCs w:val="22"/>
        </w:rPr>
      </w:pPr>
      <w:r>
        <w:rPr>
          <w:szCs w:val="22"/>
        </w:rPr>
        <w:t xml:space="preserve">By the Senior </w:t>
      </w:r>
      <w:r>
        <w:rPr>
          <w:spacing w:val="-2"/>
          <w:szCs w:val="22"/>
        </w:rPr>
        <w:t>Deputy Chief, Policy Division, Media Bureau:</w:t>
      </w:r>
    </w:p>
    <w:p w14:paraId="526EA9A8" w14:textId="77777777" w:rsidR="00F90BE8" w:rsidRDefault="00F90BE8">
      <w:pPr>
        <w:rPr>
          <w:spacing w:val="-2"/>
          <w:szCs w:val="22"/>
        </w:rPr>
      </w:pPr>
    </w:p>
    <w:p w14:paraId="7A6F8006" w14:textId="77777777" w:rsidR="00F90BE8" w:rsidRDefault="00595360">
      <w:pPr>
        <w:pStyle w:val="Heading1"/>
        <w:jc w:val="left"/>
        <w:rPr>
          <w:szCs w:val="22"/>
        </w:rPr>
      </w:pPr>
      <w:r>
        <w:rPr>
          <w:szCs w:val="22"/>
        </w:rPr>
        <w:t>introduction and Background</w:t>
      </w:r>
    </w:p>
    <w:p w14:paraId="228F58E6" w14:textId="27155A91" w:rsidR="00F90BE8" w:rsidRDefault="00AF02D7">
      <w:pPr>
        <w:pStyle w:val="ParaNum"/>
        <w:jc w:val="left"/>
      </w:pPr>
      <w:r>
        <w:t>Comcast of Potomac, LLC (</w:t>
      </w:r>
      <w:r w:rsidR="00162122">
        <w:t xml:space="preserve">the </w:t>
      </w:r>
      <w:r>
        <w:t>“Petitioner”</w:t>
      </w:r>
      <w:r w:rsidR="00595360">
        <w:t>) has filed with the Commission</w:t>
      </w:r>
      <w:r w:rsidR="00886589">
        <w:t xml:space="preserve"> a petition </w:t>
      </w:r>
      <w:r w:rsidR="00595360">
        <w:t xml:space="preserve">pursuant to </w:t>
      </w:r>
      <w:r w:rsidR="00595360" w:rsidRPr="00886589">
        <w:t>Sections 76.7, 76.905(b)(2)</w:t>
      </w:r>
      <w:r w:rsidRPr="00886589">
        <w:t xml:space="preserve">, 76.905(b)(4), </w:t>
      </w:r>
      <w:r w:rsidR="00595360" w:rsidRPr="00886589">
        <w:t xml:space="preserve"> and 76.907</w:t>
      </w:r>
      <w:r w:rsidR="00595360">
        <w:t xml:space="preserve"> of the Commission’s rul</w:t>
      </w:r>
      <w:r w:rsidR="00162122">
        <w:t xml:space="preserve">es for a determination that Petitioner </w:t>
      </w:r>
      <w:r w:rsidR="00595360">
        <w:t>is subject to effective competition in the communities listed on Att</w:t>
      </w:r>
      <w:r w:rsidR="00D47702">
        <w:t xml:space="preserve">achment A (the “Communities”).  </w:t>
      </w:r>
      <w:r w:rsidR="00162122">
        <w:t>Petitioner</w:t>
      </w:r>
      <w:r w:rsidR="00595360">
        <w:rPr>
          <w:b/>
        </w:rPr>
        <w:t xml:space="preserve"> </w:t>
      </w:r>
      <w:r w:rsidR="00595360">
        <w:t>alleges that its cable syst</w:t>
      </w:r>
      <w:r w:rsidR="00162122">
        <w:t>em serving the Communities is</w:t>
      </w:r>
      <w:r w:rsidR="00595360">
        <w:t xml:space="preserve"> subject to effective compe</w:t>
      </w:r>
      <w:r w:rsidR="00847D71">
        <w:t>tition pursuant to Section 623(l</w:t>
      </w:r>
      <w:r w:rsidR="00595360">
        <w:t>)(1)(B) of the Communications Act of 1934, as amended (“Communications Act”),</w:t>
      </w:r>
      <w:r w:rsidR="00595360">
        <w:rPr>
          <w:rStyle w:val="FootnoteReference"/>
          <w:szCs w:val="22"/>
        </w:rPr>
        <w:footnoteReference w:id="2"/>
      </w:r>
      <w:r w:rsidR="00595360">
        <w:t xml:space="preserve"> and the Commission’s implementing rules,</w:t>
      </w:r>
      <w:r w:rsidR="00595360">
        <w:rPr>
          <w:rStyle w:val="FootnoteReference"/>
          <w:szCs w:val="22"/>
        </w:rPr>
        <w:footnoteReference w:id="3"/>
      </w:r>
      <w:r w:rsidR="00595360">
        <w:t xml:space="preserve"> and is therefore exempt from cable rate regulation in the Communities because of the competing service provided by two direct broadcast satellite (“DBS”) providers, DIRECTV, Inc. (“DIRECTV”) and DISH Network (“DISH”)</w:t>
      </w:r>
      <w:r w:rsidR="00813D76">
        <w:t>, as well as Verizon</w:t>
      </w:r>
      <w:r w:rsidR="00D47702">
        <w:t xml:space="preserve">.  </w:t>
      </w:r>
      <w:r w:rsidR="00162122" w:rsidRPr="008E7EC6">
        <w:t xml:space="preserve">Montgomery County, Maryland (“Montgomery County”) filed an opposition to the petition </w:t>
      </w:r>
      <w:r w:rsidR="00654E4E">
        <w:t>with regard to</w:t>
      </w:r>
      <w:r w:rsidR="00162122" w:rsidRPr="008E7EC6">
        <w:t xml:space="preserve"> two </w:t>
      </w:r>
      <w:r w:rsidR="00654E4E">
        <w:t xml:space="preserve">of the </w:t>
      </w:r>
      <w:r w:rsidR="00162122" w:rsidRPr="008E7EC6">
        <w:t>Communities, Laytonsville and Poolesville, to w</w:t>
      </w:r>
      <w:r w:rsidR="00D47702">
        <w:t xml:space="preserve">hich Petitioner filed a reply.  </w:t>
      </w:r>
      <w:r w:rsidR="00162122" w:rsidRPr="008E7EC6">
        <w:t xml:space="preserve">Montgomery County then filed a </w:t>
      </w:r>
      <w:r w:rsidR="00BD02AE">
        <w:t>m</w:t>
      </w:r>
      <w:r w:rsidR="00162122" w:rsidRPr="008E7EC6">
        <w:t xml:space="preserve">otion for </w:t>
      </w:r>
      <w:r w:rsidR="00BD02AE">
        <w:t>l</w:t>
      </w:r>
      <w:r w:rsidR="00162122" w:rsidRPr="008E7EC6">
        <w:t xml:space="preserve">eave to </w:t>
      </w:r>
      <w:r w:rsidR="00BD02AE">
        <w:t>f</w:t>
      </w:r>
      <w:r w:rsidR="00162122" w:rsidRPr="008E7EC6">
        <w:t xml:space="preserve">ile </w:t>
      </w:r>
      <w:r w:rsidR="00BD02AE">
        <w:t>a s</w:t>
      </w:r>
      <w:r w:rsidR="00162122" w:rsidRPr="008E7EC6">
        <w:t xml:space="preserve">urreply as well as a </w:t>
      </w:r>
      <w:r w:rsidR="00BD02AE">
        <w:t>s</w:t>
      </w:r>
      <w:r w:rsidR="00162122" w:rsidRPr="008E7EC6">
        <w:t xml:space="preserve">urreply, to which Petitioner filed a </w:t>
      </w:r>
      <w:r w:rsidR="00BD02AE">
        <w:t>r</w:t>
      </w:r>
      <w:r w:rsidR="00162122" w:rsidRPr="008E7EC6">
        <w:t>esponse.</w:t>
      </w:r>
      <w:r w:rsidR="00B80826">
        <w:t xml:space="preserve">  We deny the request for leave to file the </w:t>
      </w:r>
      <w:r w:rsidR="0056148F">
        <w:t>s</w:t>
      </w:r>
      <w:r w:rsidR="00B80826">
        <w:t xml:space="preserve">urreply </w:t>
      </w:r>
      <w:r w:rsidR="0056148F">
        <w:t>as discussed below</w:t>
      </w:r>
      <w:r w:rsidR="006D5AF8">
        <w:t>.</w:t>
      </w:r>
      <w:r w:rsidR="006D5AF8">
        <w:rPr>
          <w:rStyle w:val="FootnoteReference"/>
        </w:rPr>
        <w:footnoteReference w:id="4"/>
      </w:r>
      <w:r w:rsidR="00DC056E">
        <w:t xml:space="preserve"> </w:t>
      </w:r>
      <w:r w:rsidR="006D5AF8">
        <w:t xml:space="preserve"> </w:t>
      </w:r>
    </w:p>
    <w:p w14:paraId="705226A0" w14:textId="5E5857F5" w:rsidR="008E7EC6" w:rsidRDefault="008E7EC6" w:rsidP="00D73D52">
      <w:pPr>
        <w:pStyle w:val="ParaNum"/>
        <w:jc w:val="left"/>
      </w:pPr>
      <w:r w:rsidRPr="00716C58">
        <w:t xml:space="preserve">Petitioner </w:t>
      </w:r>
      <w:r>
        <w:t xml:space="preserve">also </w:t>
      </w:r>
      <w:r w:rsidRPr="00716C58">
        <w:t xml:space="preserve">claims that its cable system serving </w:t>
      </w:r>
      <w:r>
        <w:t xml:space="preserve">two of the Communities, Chevy Chase Village and Chevy Chase Section 3, </w:t>
      </w:r>
      <w:r w:rsidR="00F75EB3">
        <w:t>is</w:t>
      </w:r>
      <w:r>
        <w:t xml:space="preserve"> </w:t>
      </w:r>
      <w:r w:rsidRPr="00716C58">
        <w:t>subject to effective competition pursuant to Section 623(l)(1)(D) of the Communications Act</w:t>
      </w:r>
      <w:r w:rsidRPr="00716C58">
        <w:rPr>
          <w:rStyle w:val="FootnoteReference"/>
        </w:rPr>
        <w:footnoteReference w:id="5"/>
      </w:r>
      <w:r w:rsidRPr="00716C58">
        <w:t xml:space="preserve"> and Section 76.905(b)(4) of the Commission’s rules,</w:t>
      </w:r>
      <w:r w:rsidRPr="00716C58">
        <w:rPr>
          <w:rStyle w:val="FootnoteReference"/>
        </w:rPr>
        <w:footnoteReference w:id="6"/>
      </w:r>
      <w:r w:rsidRPr="00716C58">
        <w:t xml:space="preserve"> because of the service provided by </w:t>
      </w:r>
      <w:r w:rsidR="002C6A96">
        <w:t>a local exchange carrier</w:t>
      </w:r>
      <w:r w:rsidR="007776FF">
        <w:t xml:space="preserve"> (“LEC”)</w:t>
      </w:r>
      <w:r w:rsidR="002C6A96">
        <w:t xml:space="preserve">, </w:t>
      </w:r>
      <w:r w:rsidRPr="00716C58">
        <w:t>Verizon.</w:t>
      </w:r>
      <w:r w:rsidR="00D47702">
        <w:t xml:space="preserve">  </w:t>
      </w:r>
      <w:r>
        <w:t>This claim is unopposed.</w:t>
      </w:r>
    </w:p>
    <w:p w14:paraId="1AA0B560" w14:textId="2F0B102E" w:rsidR="00F90BE8" w:rsidRDefault="00595360" w:rsidP="00D73D52">
      <w:pPr>
        <w:pStyle w:val="ParaNum"/>
        <w:jc w:val="left"/>
      </w:pPr>
      <w:r>
        <w:t>In June 2015, a Commission order adopted a rebuttable presumption that cable operators are subject to one type of effective competition, commonly referred to as competing provider effective competition.</w:t>
      </w:r>
      <w:r>
        <w:rPr>
          <w:rStyle w:val="FootnoteReference"/>
        </w:rPr>
        <w:footnoteReference w:id="7"/>
      </w:r>
      <w:r w:rsidR="00D47702">
        <w:t xml:space="preserve">  </w:t>
      </w:r>
      <w:r>
        <w:t xml:space="preserve">Accordingly, in the absence of a demonstration to the contrary, the Commission now presumes that cable systems are subject to competing provider effective competition, and it continues to presume that cable systems are not subject to any of the other three types of effective competition, as </w:t>
      </w:r>
      <w:r>
        <w:lastRenderedPageBreak/>
        <w:t>defined by Section 623(l) of the Communications Act and Section 76.905 of the Commission’s rules.</w:t>
      </w:r>
      <w:r>
        <w:rPr>
          <w:vertAlign w:val="superscript"/>
        </w:rPr>
        <w:footnoteReference w:id="8"/>
      </w:r>
      <w:r w:rsidR="00D47702">
        <w:t xml:space="preserve">  </w:t>
      </w:r>
      <w:r>
        <w:t xml:space="preserve">For the reasons set forth below, we grant </w:t>
      </w:r>
      <w:r w:rsidR="00D871D4">
        <w:t>Petitioner’s petition</w:t>
      </w:r>
      <w:r w:rsidR="00CF3E07">
        <w:t xml:space="preserve">. </w:t>
      </w:r>
    </w:p>
    <w:p w14:paraId="225AD10F" w14:textId="77777777" w:rsidR="00F90BE8" w:rsidRDefault="00595360">
      <w:pPr>
        <w:pStyle w:val="Heading1"/>
        <w:jc w:val="left"/>
        <w:rPr>
          <w:szCs w:val="22"/>
        </w:rPr>
      </w:pPr>
      <w:r>
        <w:rPr>
          <w:caps w:val="0"/>
          <w:szCs w:val="22"/>
        </w:rPr>
        <w:t>T</w:t>
      </w:r>
      <w:r>
        <w:rPr>
          <w:szCs w:val="22"/>
        </w:rPr>
        <w:t>he COMPETING PROVIDER TEST</w:t>
      </w:r>
    </w:p>
    <w:p w14:paraId="1112F43C" w14:textId="77777777" w:rsidR="00F90BE8" w:rsidRPr="00065DEA" w:rsidRDefault="00595360">
      <w:pPr>
        <w:pStyle w:val="ParaNum"/>
        <w:jc w:val="left"/>
      </w:pPr>
      <w:r>
        <w:t>Section 623(l)(1)(B) of the Communications Act provides that a cable operator is subject to effective competition if the franchise area is (a) served by at least two unaffiliated multichannel video programming distributors (“MVPDs”), each of which offers comparable video programming to at least 50 percent of the households in the franchise area; and (b) the number of households subscribing to programming services offered by MVPDs other than the largest MVPD exceeds 15 percent of the households in the franchise area.</w:t>
      </w:r>
      <w:r>
        <w:rPr>
          <w:rStyle w:val="FootnoteReference"/>
          <w:szCs w:val="22"/>
        </w:rPr>
        <w:footnoteReference w:id="9"/>
      </w:r>
      <w:r w:rsidR="00D47702">
        <w:t xml:space="preserve">  </w:t>
      </w:r>
      <w:r>
        <w:t xml:space="preserve">This test is referred to as </w:t>
      </w:r>
      <w:r w:rsidR="00D47702">
        <w:t xml:space="preserve">the “competing provider” test.  </w:t>
      </w:r>
      <w:r>
        <w:t xml:space="preserve">Pursuant to the </w:t>
      </w:r>
      <w:r>
        <w:rPr>
          <w:i/>
        </w:rPr>
        <w:t>Effective Competition Order</w:t>
      </w:r>
      <w:r>
        <w:t xml:space="preserve">, absent evidence to the contrary, the Commission presumes that the </w:t>
      </w:r>
      <w:r w:rsidRPr="00065DEA">
        <w:t>competing provider test is met.</w:t>
      </w:r>
    </w:p>
    <w:p w14:paraId="1F3055B9" w14:textId="77777777" w:rsidR="00F90BE8" w:rsidRPr="00065DEA" w:rsidRDefault="00595360">
      <w:pPr>
        <w:pStyle w:val="Heading2"/>
        <w:jc w:val="left"/>
      </w:pPr>
      <w:r w:rsidRPr="00065DEA">
        <w:t>The First Part</w:t>
      </w:r>
    </w:p>
    <w:p w14:paraId="1C556F54" w14:textId="530A617E" w:rsidR="00FF1A64" w:rsidRPr="00DA4838" w:rsidRDefault="00595360" w:rsidP="00D73D52">
      <w:pPr>
        <w:pStyle w:val="ParaNum"/>
        <w:jc w:val="left"/>
      </w:pPr>
      <w:r w:rsidRPr="00E2165A">
        <w:t>The first part of this test has three elements:  the franchise area must be “served by” at least two unaffiliated MVPDs who offer “comparable programming” to at least “50 percent” of the households in the franchise area.</w:t>
      </w:r>
      <w:r w:rsidRPr="00E2165A">
        <w:rPr>
          <w:rStyle w:val="FootnoteReference"/>
          <w:szCs w:val="22"/>
        </w:rPr>
        <w:footnoteReference w:id="10"/>
      </w:r>
      <w:r w:rsidR="00237807" w:rsidRPr="00D871D4">
        <w:rPr>
          <w:b/>
        </w:rPr>
        <w:t xml:space="preserve">  </w:t>
      </w:r>
      <w:r w:rsidRPr="00E2165A">
        <w:t xml:space="preserve">As explained in the </w:t>
      </w:r>
      <w:r w:rsidRPr="00D871D4">
        <w:rPr>
          <w:i/>
        </w:rPr>
        <w:t>Effective Competition Order</w:t>
      </w:r>
      <w:r w:rsidRPr="00E2165A">
        <w:t>, “we find that the ubiquitous nationwide presence of DBS providers, DIRECTV and DISH, presumptively satisfies the” first part of the test for competing provider effective competition, absent evidence to the contrary.</w:t>
      </w:r>
      <w:r w:rsidRPr="00E2165A">
        <w:rPr>
          <w:rStyle w:val="FootnoteReference"/>
        </w:rPr>
        <w:footnoteReference w:id="11"/>
      </w:r>
      <w:r w:rsidR="00A90C1C">
        <w:t xml:space="preserve">  Montgomery County has not put forth any information to rebut the first </w:t>
      </w:r>
      <w:r w:rsidR="00BD1882">
        <w:t xml:space="preserve">part </w:t>
      </w:r>
      <w:r w:rsidR="00A90C1C">
        <w:t>of the competing provider effective competition test.</w:t>
      </w:r>
      <w:r w:rsidR="001B3D09">
        <w:t xml:space="preserve">  </w:t>
      </w:r>
      <w:r w:rsidRPr="00E2165A">
        <w:t>In accordance with the presumption of competing</w:t>
      </w:r>
      <w:r w:rsidR="00ED6289">
        <w:t xml:space="preserve"> provider effective competition</w:t>
      </w:r>
      <w:r w:rsidR="00997560">
        <w:t>,</w:t>
      </w:r>
      <w:r w:rsidRPr="00E2165A">
        <w:t xml:space="preserve"> and </w:t>
      </w:r>
      <w:r w:rsidR="00997560">
        <w:t>based on the information submitted by Petitioner</w:t>
      </w:r>
      <w:r w:rsidRPr="00E2165A">
        <w:t>, we thus find that the first part of the test is satisfied.</w:t>
      </w:r>
      <w:r w:rsidR="00037BDC">
        <w:t xml:space="preserve"> </w:t>
      </w:r>
    </w:p>
    <w:p w14:paraId="149CAA2F" w14:textId="77777777" w:rsidR="00F90BE8" w:rsidRPr="00065DEA" w:rsidRDefault="00595360">
      <w:pPr>
        <w:pStyle w:val="Heading2"/>
        <w:jc w:val="left"/>
      </w:pPr>
      <w:r w:rsidRPr="00065DEA">
        <w:t>The Second Part</w:t>
      </w:r>
    </w:p>
    <w:p w14:paraId="0C9E2310" w14:textId="63D66A3F" w:rsidR="00DB1D6B" w:rsidRDefault="00595360" w:rsidP="00D73D52">
      <w:pPr>
        <w:pStyle w:val="ParaNum"/>
        <w:jc w:val="left"/>
      </w:pPr>
      <w:r w:rsidRPr="00065DEA">
        <w:t>The second part of the competing provider test requires that the number of households subscribing to MVPDs, other than the largest MVPD, exceed</w:t>
      </w:r>
      <w:r w:rsidR="00AE76C3" w:rsidRPr="00065DEA">
        <w:t>s</w:t>
      </w:r>
      <w:r w:rsidRPr="00065DEA">
        <w:t xml:space="preserve"> 15 percent of the households in a franchise area.</w:t>
      </w:r>
      <w:r w:rsidRPr="00065DEA">
        <w:rPr>
          <w:rStyle w:val="FootnoteReference"/>
        </w:rPr>
        <w:footnoteReference w:id="12"/>
      </w:r>
      <w:r w:rsidR="00D47702">
        <w:t xml:space="preserve">  </w:t>
      </w:r>
      <w:r w:rsidRPr="00065DEA">
        <w:t xml:space="preserve">As explained in the </w:t>
      </w:r>
      <w:r w:rsidRPr="00065DEA">
        <w:rPr>
          <w:i/>
        </w:rPr>
        <w:t>Effective Competition Order</w:t>
      </w:r>
      <w:r w:rsidRPr="00065DEA">
        <w:t>, “[w]ith regard to the second prong of the test, we will presume that more than 15 percent of the households in a franchise area subscribe to programming services offered by MVPDs other than the largest MVPD.”</w:t>
      </w:r>
      <w:r w:rsidRPr="00065DEA">
        <w:rPr>
          <w:rStyle w:val="FootnoteReference"/>
        </w:rPr>
        <w:footnoteReference w:id="13"/>
      </w:r>
      <w:r w:rsidR="00D47702">
        <w:t xml:space="preserve">  </w:t>
      </w:r>
      <w:r w:rsidR="00065DEA" w:rsidRPr="00C86C18">
        <w:t xml:space="preserve">Montgomery County </w:t>
      </w:r>
      <w:r w:rsidRPr="00C86C18">
        <w:t xml:space="preserve">argues that </w:t>
      </w:r>
      <w:r w:rsidR="00ED6289" w:rsidRPr="00C86C18">
        <w:t>Petitioner</w:t>
      </w:r>
      <w:r w:rsidRPr="00C86C18">
        <w:t xml:space="preserve"> has not satisfied the second part of the competing provider effective competi</w:t>
      </w:r>
      <w:r w:rsidR="00D47702" w:rsidRPr="00C86C18">
        <w:t xml:space="preserve">tion test </w:t>
      </w:r>
      <w:r w:rsidR="00A372B4">
        <w:t>in</w:t>
      </w:r>
      <w:r w:rsidR="00FE39FC">
        <w:t xml:space="preserve"> </w:t>
      </w:r>
      <w:r w:rsidR="00A372B4">
        <w:t xml:space="preserve">the communities of </w:t>
      </w:r>
      <w:r w:rsidR="00FE39FC">
        <w:t>Laytonsville and Poolesville.</w:t>
      </w:r>
      <w:r w:rsidR="00A372B4">
        <w:rPr>
          <w:rStyle w:val="FootnoteReference"/>
        </w:rPr>
        <w:footnoteReference w:id="14"/>
      </w:r>
      <w:r w:rsidR="00FE39FC">
        <w:t xml:space="preserve">  Rather</w:t>
      </w:r>
      <w:r w:rsidR="00A372B4">
        <w:t xml:space="preserve"> than objecting to Petitioner’s application of the second prong of the statutory test for competing provider effective competition</w:t>
      </w:r>
      <w:r w:rsidR="00FE39FC">
        <w:t xml:space="preserve">, Montgomery County argues that DBS competition </w:t>
      </w:r>
      <w:r w:rsidR="00A372B4">
        <w:t>should not</w:t>
      </w:r>
      <w:r w:rsidR="00FE39FC">
        <w:t xml:space="preserve"> justify </w:t>
      </w:r>
      <w:r w:rsidR="00A372B4">
        <w:t xml:space="preserve">a </w:t>
      </w:r>
      <w:r w:rsidR="00FE39FC">
        <w:t>finding of effective competition.</w:t>
      </w:r>
      <w:r w:rsidR="00FE39FC">
        <w:rPr>
          <w:rStyle w:val="FootnoteReference"/>
        </w:rPr>
        <w:footnoteReference w:id="15"/>
      </w:r>
      <w:r w:rsidR="00FE39FC">
        <w:t xml:space="preserve">  </w:t>
      </w:r>
      <w:r w:rsidR="004D5D99">
        <w:t>Montgomery County</w:t>
      </w:r>
      <w:r w:rsidR="00FE39FC">
        <w:t xml:space="preserve"> also argues that the Commission’s general duty to act in the public interest justifies denying the Petition and suspending our effective competition rules that permit petitions to rely solely on DBS penetration.</w:t>
      </w:r>
      <w:r w:rsidR="00FE39FC" w:rsidRPr="002650B4">
        <w:rPr>
          <w:rStyle w:val="FootnoteReference"/>
        </w:rPr>
        <w:t xml:space="preserve"> </w:t>
      </w:r>
      <w:r w:rsidR="00FE39FC">
        <w:rPr>
          <w:rStyle w:val="FootnoteReference"/>
        </w:rPr>
        <w:footnoteReference w:id="16"/>
      </w:r>
      <w:r w:rsidR="009566C2">
        <w:t xml:space="preserve">  </w:t>
      </w:r>
      <w:r w:rsidR="00A8752E">
        <w:lastRenderedPageBreak/>
        <w:t>Petitioner responds, and we agree, that this argument lacks merit because Petitioner has satisfied the statutory effective competition test.</w:t>
      </w:r>
      <w:r w:rsidR="00A8752E">
        <w:rPr>
          <w:rStyle w:val="FootnoteReference"/>
        </w:rPr>
        <w:footnoteReference w:id="17"/>
      </w:r>
      <w:r w:rsidR="00A8752E">
        <w:t xml:space="preserve">  Where we determine the existence of effective competition as defined by Congress, our inquiry is at an end.  In addition, the Commission has recognized that the effective competition provisions of the Communications Act “contain</w:t>
      </w:r>
      <w:r w:rsidR="009C173B">
        <w:t xml:space="preserve">[] </w:t>
      </w:r>
      <w:r w:rsidR="00A8752E">
        <w:t>a clear and explicit preference for [competition].”</w:t>
      </w:r>
      <w:r w:rsidR="00A8752E">
        <w:rPr>
          <w:rStyle w:val="FootnoteReference"/>
        </w:rPr>
        <w:footnoteReference w:id="18"/>
      </w:r>
      <w:r w:rsidR="00A8752E">
        <w:t xml:space="preserve">  Petitioner’s satisfaction of the effective competition test demonstrates that the public interest will be met through Congress’s preference for competition.  </w:t>
      </w:r>
      <w:r w:rsidR="00DB1D6B">
        <w:t xml:space="preserve">We also reject </w:t>
      </w:r>
      <w:r w:rsidR="00A8752E">
        <w:t>Montgomery</w:t>
      </w:r>
      <w:r w:rsidR="00DB1D6B">
        <w:t xml:space="preserve"> County’s request to modify our rules in this adjudicatory proceeding.</w:t>
      </w:r>
      <w:r w:rsidR="00A8752E">
        <w:rPr>
          <w:rStyle w:val="FootnoteReference"/>
        </w:rPr>
        <w:footnoteReference w:id="19"/>
      </w:r>
      <w:r w:rsidR="00DB1D6B">
        <w:t xml:space="preserve">  </w:t>
      </w:r>
      <w:r w:rsidR="009C2932">
        <w:t>W</w:t>
      </w:r>
      <w:r w:rsidR="00DB1D6B">
        <w:t xml:space="preserve">e </w:t>
      </w:r>
      <w:r w:rsidR="009C2932">
        <w:t>must implement the statutory effective competition test</w:t>
      </w:r>
      <w:r w:rsidR="005B6F80">
        <w:t xml:space="preserve"> as directed by Congress.  I</w:t>
      </w:r>
      <w:r w:rsidR="009C2932">
        <w:t>n addition</w:t>
      </w:r>
      <w:r w:rsidR="00DB1D6B">
        <w:t xml:space="preserve">, the appropriate procedural vehicle for a </w:t>
      </w:r>
      <w:r w:rsidR="009C2932">
        <w:t>rule change</w:t>
      </w:r>
      <w:r w:rsidR="00DB1D6B">
        <w:t xml:space="preserve"> is a petition for rulemaking</w:t>
      </w:r>
      <w:r w:rsidR="009C2932">
        <w:t xml:space="preserve"> and</w:t>
      </w:r>
      <w:r w:rsidR="00DB1D6B">
        <w:t xml:space="preserve"> not an opposition filed in a proceeding initiated pursuant to Section 76.7 of the</w:t>
      </w:r>
      <w:r w:rsidR="009C2932">
        <w:t xml:space="preserve"> Commission’s </w:t>
      </w:r>
      <w:r w:rsidR="00DB1D6B">
        <w:t>rules.</w:t>
      </w:r>
      <w:r w:rsidR="00DB1D6B">
        <w:rPr>
          <w:rStyle w:val="FootnoteReference"/>
        </w:rPr>
        <w:footnoteReference w:id="20"/>
      </w:r>
    </w:p>
    <w:p w14:paraId="39EB2262" w14:textId="31F8E05C" w:rsidR="00922306" w:rsidRDefault="009C2932" w:rsidP="00D73D52">
      <w:pPr>
        <w:pStyle w:val="ParaNum"/>
        <w:jc w:val="left"/>
      </w:pPr>
      <w:r>
        <w:t xml:space="preserve">For the above reasons, the arguments put forth by </w:t>
      </w:r>
      <w:r w:rsidR="00A41744">
        <w:t xml:space="preserve">Montgomery County fail to </w:t>
      </w:r>
      <w:r>
        <w:t>rebut the presumption of competing provider effective competition</w:t>
      </w:r>
      <w:r w:rsidR="00A41744">
        <w:t>.</w:t>
      </w:r>
      <w:r w:rsidR="00EA70C2">
        <w:t xml:space="preserve">  </w:t>
      </w:r>
      <w:r>
        <w:t>In accordance with the presumption of competing provider effective competition</w:t>
      </w:r>
      <w:r w:rsidR="00DB1D6B">
        <w:t xml:space="preserve">, </w:t>
      </w:r>
      <w:r>
        <w:t>and based on the information submitted by Petitioner and Montgomery County</w:t>
      </w:r>
      <w:r w:rsidR="00DB1D6B">
        <w:t xml:space="preserve">, we </w:t>
      </w:r>
      <w:r>
        <w:t>thus find that the second prong of the test is satisfied</w:t>
      </w:r>
      <w:r w:rsidR="00267332">
        <w:t xml:space="preserve">. </w:t>
      </w:r>
      <w:r w:rsidR="00DB1D6B">
        <w:t xml:space="preserve"> </w:t>
      </w:r>
    </w:p>
    <w:p w14:paraId="00F2BE0D" w14:textId="50D9BA51" w:rsidR="00922306" w:rsidRDefault="00922306" w:rsidP="00D73D52">
      <w:pPr>
        <w:pStyle w:val="Heading1"/>
      </w:pPr>
      <w:r>
        <w:t>The local exchange carrier test</w:t>
      </w:r>
    </w:p>
    <w:p w14:paraId="5D99230C" w14:textId="53577B22" w:rsidR="00197647" w:rsidRPr="00DB1D6B" w:rsidRDefault="00817E0D" w:rsidP="008F32AC">
      <w:pPr>
        <w:pStyle w:val="ParaNum"/>
        <w:jc w:val="left"/>
      </w:pPr>
      <w:r>
        <w:t>Petitioner</w:t>
      </w:r>
      <w:r w:rsidR="00922306">
        <w:t xml:space="preserve"> </w:t>
      </w:r>
      <w:r w:rsidR="00502F96">
        <w:t xml:space="preserve">also </w:t>
      </w:r>
      <w:r w:rsidR="00922306">
        <w:t xml:space="preserve">seeks a finding of LEC effective competition for </w:t>
      </w:r>
      <w:r w:rsidR="00BD1882">
        <w:t xml:space="preserve">two of </w:t>
      </w:r>
      <w:r w:rsidR="00922306">
        <w:t>the</w:t>
      </w:r>
      <w:r>
        <w:t xml:space="preserve"> </w:t>
      </w:r>
      <w:r w:rsidR="00BD1882">
        <w:t xml:space="preserve">Communities, </w:t>
      </w:r>
      <w:r>
        <w:t xml:space="preserve">Chevy Chase Village and Chevy Chase Section 3.  </w:t>
      </w:r>
      <w:r w:rsidR="00922306">
        <w:t>The statutory test for a finding of LEC effective competition requires that the LEC or its</w:t>
      </w:r>
      <w:r>
        <w:t xml:space="preserve"> </w:t>
      </w:r>
      <w:r w:rsidR="00922306">
        <w:t>affiliate offers video programming services directly to subscribers by any means (other than direct-to</w:t>
      </w:r>
      <w:r>
        <w:t>-</w:t>
      </w:r>
      <w:r w:rsidR="00922306">
        <w:t>home</w:t>
      </w:r>
      <w:r>
        <w:t xml:space="preserve"> </w:t>
      </w:r>
      <w:r w:rsidR="00922306">
        <w:t>satellite services) in the franchise area of an unaffiliated cable operator which is providing cable</w:t>
      </w:r>
      <w:r>
        <w:t xml:space="preserve"> </w:t>
      </w:r>
      <w:r w:rsidR="00922306">
        <w:t>service in that franchise area, provided the video programming services thus offered are comparable to the</w:t>
      </w:r>
      <w:r>
        <w:t xml:space="preserve"> </w:t>
      </w:r>
      <w:r w:rsidR="00922306">
        <w:t>video programming services provided by the unaffiliated cable operator in that area.</w:t>
      </w:r>
      <w:r>
        <w:rPr>
          <w:rStyle w:val="FootnoteReference"/>
          <w:rFonts w:ascii="TimesNewRoman" w:hAnsi="TimesNewRoman" w:cs="TimesNewRoman"/>
          <w:szCs w:val="22"/>
        </w:rPr>
        <w:footnoteReference w:id="21"/>
      </w:r>
      <w:r w:rsidRPr="0039725B">
        <w:rPr>
          <w:sz w:val="13"/>
          <w:szCs w:val="13"/>
        </w:rPr>
        <w:t xml:space="preserve">   </w:t>
      </w:r>
      <w:r>
        <w:t xml:space="preserve">The </w:t>
      </w:r>
      <w:r w:rsidR="00922306">
        <w:t>Commission</w:t>
      </w:r>
      <w:r>
        <w:t xml:space="preserve"> </w:t>
      </w:r>
      <w:r w:rsidR="00922306">
        <w:t>has stated that an incumbent cable operator could satisfy the LEC effective competition test by showing</w:t>
      </w:r>
      <w:r>
        <w:t xml:space="preserve"> </w:t>
      </w:r>
      <w:r w:rsidR="00922306">
        <w:t>that the LEC is technically and actually able to provide services that substantially overlap the incumbent</w:t>
      </w:r>
      <w:r>
        <w:t xml:space="preserve"> </w:t>
      </w:r>
      <w:r w:rsidR="00922306">
        <w:t>operator</w:t>
      </w:r>
      <w:r w:rsidR="00922306">
        <w:rPr>
          <w:rFonts w:hint="cs"/>
        </w:rPr>
        <w:t>’</w:t>
      </w:r>
      <w:r w:rsidR="00922306">
        <w:t>s service in the franchise area.</w:t>
      </w:r>
      <w:r>
        <w:rPr>
          <w:rStyle w:val="FootnoteReference"/>
          <w:rFonts w:ascii="TimesNewRoman" w:hAnsi="TimesNewRoman" w:cs="TimesNewRoman"/>
          <w:szCs w:val="22"/>
        </w:rPr>
        <w:footnoteReference w:id="22"/>
      </w:r>
      <w:r w:rsidR="00BF7CFD">
        <w:t xml:space="preserve">  </w:t>
      </w:r>
      <w:r w:rsidR="00BF42C7" w:rsidRPr="0039725B">
        <w:rPr>
          <w:rFonts w:ascii="TimesNewRoman" w:hAnsi="TimesNewRoman" w:cs="TimesNewRoman"/>
          <w:szCs w:val="22"/>
        </w:rPr>
        <w:t xml:space="preserve">It is undisputed that </w:t>
      </w:r>
      <w:r w:rsidR="00BF7CFD" w:rsidRPr="0039725B">
        <w:rPr>
          <w:rFonts w:ascii="TimesNewRoman" w:hAnsi="TimesNewRoman" w:cs="TimesNewRoman"/>
          <w:szCs w:val="22"/>
        </w:rPr>
        <w:t xml:space="preserve">the Communities </w:t>
      </w:r>
      <w:r w:rsidR="0039725B">
        <w:rPr>
          <w:rFonts w:ascii="TimesNewRoman" w:hAnsi="TimesNewRoman" w:cs="TimesNewRoman"/>
          <w:szCs w:val="22"/>
        </w:rPr>
        <w:t xml:space="preserve">of Chevy Chase Village and Chevy Chase Section 3 </w:t>
      </w:r>
      <w:r w:rsidR="00BF42C7" w:rsidRPr="0039725B">
        <w:rPr>
          <w:rFonts w:ascii="TimesNewRoman" w:hAnsi="TimesNewRoman" w:cs="TimesNewRoman"/>
          <w:szCs w:val="22"/>
        </w:rPr>
        <w:t xml:space="preserve">are served by </w:t>
      </w:r>
      <w:r w:rsidR="00BD1882" w:rsidRPr="0039725B">
        <w:rPr>
          <w:rFonts w:ascii="TimesNewRoman" w:hAnsi="TimesNewRoman" w:cs="TimesNewRoman"/>
          <w:szCs w:val="22"/>
        </w:rPr>
        <w:t xml:space="preserve">both </w:t>
      </w:r>
      <w:r w:rsidR="00BF7CFD" w:rsidRPr="0039725B">
        <w:rPr>
          <w:rFonts w:ascii="TimesNewRoman" w:hAnsi="TimesNewRoman" w:cs="TimesNewRoman"/>
          <w:szCs w:val="22"/>
        </w:rPr>
        <w:t>Comcast</w:t>
      </w:r>
      <w:r w:rsidR="00BF42C7" w:rsidRPr="0039725B">
        <w:rPr>
          <w:rFonts w:ascii="TimesNewRoman" w:hAnsi="TimesNewRoman" w:cs="TimesNewRoman"/>
          <w:szCs w:val="22"/>
        </w:rPr>
        <w:t xml:space="preserve"> and Verizon</w:t>
      </w:r>
      <w:r w:rsidR="00D73D52" w:rsidRPr="0039725B">
        <w:rPr>
          <w:rFonts w:ascii="TimesNewRoman" w:hAnsi="TimesNewRoman" w:cs="TimesNewRoman"/>
          <w:szCs w:val="22"/>
        </w:rPr>
        <w:t xml:space="preserve">, a local exchange carrier </w:t>
      </w:r>
      <w:r w:rsidR="00922306" w:rsidRPr="0039725B">
        <w:rPr>
          <w:rFonts w:ascii="TimesNewRoman" w:hAnsi="TimesNewRoman" w:cs="TimesNewRoman"/>
          <w:szCs w:val="22"/>
        </w:rPr>
        <w:t xml:space="preserve">that these two MVPDs are unaffiliated, and that </w:t>
      </w:r>
      <w:r w:rsidR="00BF42C7" w:rsidRPr="0039725B">
        <w:rPr>
          <w:rFonts w:ascii="TimesNewRoman" w:hAnsi="TimesNewRoman" w:cs="TimesNewRoman"/>
          <w:szCs w:val="22"/>
        </w:rPr>
        <w:t>Verizon</w:t>
      </w:r>
      <w:r w:rsidR="00D73D52" w:rsidRPr="0039725B">
        <w:rPr>
          <w:rFonts w:ascii="TimesNewRoman" w:hAnsi="TimesNewRoman" w:cs="TimesNewRoman"/>
          <w:szCs w:val="22"/>
        </w:rPr>
        <w:t xml:space="preserve"> </w:t>
      </w:r>
      <w:r w:rsidR="00922306" w:rsidRPr="0039725B">
        <w:rPr>
          <w:rFonts w:ascii="TimesNewRoman" w:hAnsi="TimesNewRoman" w:cs="TimesNewRoman"/>
          <w:szCs w:val="22"/>
        </w:rPr>
        <w:t xml:space="preserve">provides comparable programming to </w:t>
      </w:r>
      <w:r w:rsidR="00BF7CFD" w:rsidRPr="0039725B">
        <w:rPr>
          <w:rFonts w:ascii="TimesNewRoman" w:hAnsi="TimesNewRoman" w:cs="TimesNewRoman"/>
          <w:szCs w:val="22"/>
        </w:rPr>
        <w:t>Comcast</w:t>
      </w:r>
      <w:r w:rsidR="00922306" w:rsidRPr="0039725B">
        <w:rPr>
          <w:rFonts w:ascii="TimesNewRoman" w:hAnsi="TimesNewRoman" w:cs="TimesNewRoman"/>
          <w:szCs w:val="22"/>
        </w:rPr>
        <w:t>.</w:t>
      </w:r>
      <w:r w:rsidR="00D73D52">
        <w:rPr>
          <w:rStyle w:val="FootnoteReference"/>
          <w:rFonts w:ascii="TimesNewRoman" w:hAnsi="TimesNewRoman" w:cs="TimesNewRoman"/>
          <w:szCs w:val="22"/>
        </w:rPr>
        <w:footnoteReference w:id="23"/>
      </w:r>
      <w:r w:rsidR="006F63E5" w:rsidRPr="0039725B">
        <w:rPr>
          <w:rFonts w:ascii="TimesNewRoman" w:hAnsi="TimesNewRoman" w:cs="TimesNewRoman"/>
          <w:szCs w:val="22"/>
        </w:rPr>
        <w:t xml:space="preserve">  </w:t>
      </w:r>
      <w:r w:rsidR="00BF7CFD" w:rsidRPr="0039725B">
        <w:rPr>
          <w:rFonts w:ascii="TimesNewRoman" w:hAnsi="TimesNewRoman" w:cs="TimesNewRoman"/>
          <w:szCs w:val="22"/>
        </w:rPr>
        <w:t xml:space="preserve">Comcast </w:t>
      </w:r>
      <w:r w:rsidR="00922306" w:rsidRPr="0039725B">
        <w:rPr>
          <w:rFonts w:ascii="TimesNewRoman" w:hAnsi="TimesNewRoman" w:cs="TimesNewRoman"/>
          <w:szCs w:val="22"/>
        </w:rPr>
        <w:t xml:space="preserve">has demonstrated that </w:t>
      </w:r>
      <w:r w:rsidR="00BF42C7" w:rsidRPr="0039725B">
        <w:rPr>
          <w:rFonts w:ascii="TimesNewRoman" w:hAnsi="TimesNewRoman" w:cs="TimesNewRoman"/>
          <w:szCs w:val="22"/>
        </w:rPr>
        <w:t xml:space="preserve">Verizon otherwise satisfies the LEC effective competition evidentiary requirements set forth in the </w:t>
      </w:r>
      <w:r w:rsidR="00BF42C7" w:rsidRPr="0039725B">
        <w:rPr>
          <w:rFonts w:ascii="TimesNewRoman" w:hAnsi="TimesNewRoman" w:cs="TimesNewRoman"/>
          <w:i/>
          <w:szCs w:val="22"/>
        </w:rPr>
        <w:t>Cable Reform Order</w:t>
      </w:r>
      <w:r w:rsidR="00BF42C7" w:rsidRPr="0039725B">
        <w:rPr>
          <w:rFonts w:ascii="TimesNewRoman" w:hAnsi="TimesNewRoman" w:cs="TimesNewRoman"/>
          <w:szCs w:val="22"/>
        </w:rPr>
        <w:t>.</w:t>
      </w:r>
      <w:r w:rsidR="00BF42C7" w:rsidRPr="00BF42C7">
        <w:rPr>
          <w:rStyle w:val="FootnoteReference"/>
          <w:rFonts w:ascii="TimesNewRoman" w:hAnsi="TimesNewRoman" w:cs="TimesNewRoman"/>
          <w:szCs w:val="22"/>
        </w:rPr>
        <w:footnoteReference w:id="24"/>
      </w:r>
      <w:r w:rsidR="006F63E5">
        <w:t xml:space="preserve">  </w:t>
      </w:r>
      <w:r w:rsidR="00BF7CFD">
        <w:t>Comcast has satisfied the LEC effective competition test by showing that</w:t>
      </w:r>
      <w:r w:rsidR="00BF7CFD" w:rsidRPr="0039725B">
        <w:rPr>
          <w:rFonts w:ascii="TimesNewRoman" w:hAnsi="TimesNewRoman" w:cs="TimesNewRoman"/>
          <w:szCs w:val="22"/>
        </w:rPr>
        <w:t xml:space="preserve"> </w:t>
      </w:r>
      <w:r w:rsidR="006F63E5" w:rsidRPr="0039725B">
        <w:rPr>
          <w:rFonts w:ascii="TimesNewRoman" w:hAnsi="TimesNewRoman" w:cs="TimesNewRoman"/>
          <w:szCs w:val="22"/>
        </w:rPr>
        <w:t>Verizon holds a franchise to serve the Communities and</w:t>
      </w:r>
      <w:r w:rsidR="00F81228" w:rsidRPr="0039725B">
        <w:rPr>
          <w:rFonts w:ascii="TimesNewRoman" w:hAnsi="TimesNewRoman" w:cs="TimesNewRoman"/>
          <w:szCs w:val="22"/>
        </w:rPr>
        <w:t xml:space="preserve"> </w:t>
      </w:r>
      <w:r w:rsidR="0056148F" w:rsidRPr="0039725B">
        <w:rPr>
          <w:rFonts w:ascii="TimesNewRoman" w:hAnsi="TimesNewRoman" w:cs="TimesNewRoman"/>
          <w:szCs w:val="22"/>
        </w:rPr>
        <w:t>its video programming</w:t>
      </w:r>
      <w:r w:rsidR="006F63E5" w:rsidRPr="0039725B">
        <w:rPr>
          <w:rFonts w:ascii="TimesNewRoman" w:hAnsi="TimesNewRoman" w:cs="TimesNewRoman"/>
          <w:szCs w:val="22"/>
        </w:rPr>
        <w:t xml:space="preserve"> services</w:t>
      </w:r>
      <w:r w:rsidR="0056148F" w:rsidRPr="0039725B">
        <w:rPr>
          <w:rFonts w:ascii="TimesNewRoman" w:hAnsi="TimesNewRoman" w:cs="TimesNewRoman"/>
          <w:szCs w:val="22"/>
        </w:rPr>
        <w:t xml:space="preserve"> </w:t>
      </w:r>
      <w:r w:rsidR="00BF7CFD" w:rsidRPr="0039725B">
        <w:rPr>
          <w:rFonts w:ascii="TimesNewRoman" w:hAnsi="TimesNewRoman" w:cs="TimesNewRoman"/>
          <w:szCs w:val="22"/>
        </w:rPr>
        <w:t xml:space="preserve">are </w:t>
      </w:r>
      <w:r w:rsidR="00F81228" w:rsidRPr="0039725B">
        <w:rPr>
          <w:rFonts w:ascii="TimesNewRoman" w:hAnsi="TimesNewRoman" w:cs="TimesNewRoman"/>
          <w:szCs w:val="22"/>
        </w:rPr>
        <w:t xml:space="preserve">available throughout the </w:t>
      </w:r>
      <w:r w:rsidR="006F63E5" w:rsidRPr="0039725B">
        <w:rPr>
          <w:rFonts w:ascii="TimesNewRoman" w:hAnsi="TimesNewRoman" w:cs="TimesNewRoman"/>
          <w:szCs w:val="22"/>
        </w:rPr>
        <w:t>Communities.</w:t>
      </w:r>
      <w:r w:rsidR="006F63E5">
        <w:rPr>
          <w:rStyle w:val="FootnoteReference"/>
          <w:rFonts w:ascii="TimesNewRoman" w:hAnsi="TimesNewRoman" w:cs="TimesNewRoman"/>
          <w:szCs w:val="22"/>
        </w:rPr>
        <w:footnoteReference w:id="25"/>
      </w:r>
      <w:r w:rsidR="006F63E5" w:rsidRPr="0039725B">
        <w:rPr>
          <w:rFonts w:ascii="TimesNewRoman" w:hAnsi="TimesNewRoman" w:cs="TimesNewRoman"/>
          <w:szCs w:val="22"/>
        </w:rPr>
        <w:t xml:space="preserve">  Moreover, </w:t>
      </w:r>
      <w:r w:rsidR="00BF7CFD" w:rsidRPr="0039725B">
        <w:rPr>
          <w:rFonts w:ascii="TimesNewRoman" w:hAnsi="TimesNewRoman" w:cs="TimesNewRoman"/>
          <w:szCs w:val="22"/>
        </w:rPr>
        <w:t>Comcast</w:t>
      </w:r>
      <w:r w:rsidR="006F63E5" w:rsidRPr="0039725B">
        <w:rPr>
          <w:rFonts w:ascii="TimesNewRoman" w:hAnsi="TimesNewRoman" w:cs="TimesNewRoman"/>
          <w:szCs w:val="22"/>
        </w:rPr>
        <w:t xml:space="preserve"> has demonstrated that potential subscribers are reasonably aware of Verizon</w:t>
      </w:r>
      <w:r w:rsidR="006C7C8B" w:rsidRPr="0039725B">
        <w:rPr>
          <w:rFonts w:ascii="TimesNewRoman" w:hAnsi="TimesNewRoman" w:cs="TimesNewRoman"/>
          <w:szCs w:val="22"/>
        </w:rPr>
        <w:t>’s</w:t>
      </w:r>
      <w:r w:rsidR="006F63E5" w:rsidRPr="0039725B">
        <w:rPr>
          <w:rFonts w:ascii="TimesNewRoman" w:hAnsi="TimesNewRoman" w:cs="TimesNewRoman"/>
          <w:szCs w:val="22"/>
        </w:rPr>
        <w:t xml:space="preserve"> FIOS service </w:t>
      </w:r>
      <w:r w:rsidR="00F57171" w:rsidRPr="0039725B">
        <w:rPr>
          <w:rFonts w:ascii="TimesNewRoman" w:hAnsi="TimesNewRoman" w:cs="TimesNewRoman"/>
          <w:szCs w:val="22"/>
        </w:rPr>
        <w:t>as a result of</w:t>
      </w:r>
      <w:r w:rsidR="006F63E5" w:rsidRPr="0039725B">
        <w:rPr>
          <w:rFonts w:ascii="TimesNewRoman" w:hAnsi="TimesNewRoman" w:cs="TimesNewRoman"/>
          <w:szCs w:val="22"/>
        </w:rPr>
        <w:t xml:space="preserve"> </w:t>
      </w:r>
      <w:r w:rsidR="00F57171" w:rsidRPr="0039725B">
        <w:rPr>
          <w:rFonts w:ascii="TimesNewRoman" w:hAnsi="TimesNewRoman" w:cs="TimesNewRoman"/>
          <w:szCs w:val="22"/>
        </w:rPr>
        <w:t xml:space="preserve">local </w:t>
      </w:r>
      <w:r w:rsidR="006F63E5" w:rsidRPr="0039725B">
        <w:rPr>
          <w:rFonts w:ascii="TimesNewRoman" w:hAnsi="TimesNewRoman" w:cs="TimesNewRoman"/>
          <w:szCs w:val="22"/>
        </w:rPr>
        <w:t>television and radio advertisements.</w:t>
      </w:r>
      <w:r w:rsidR="006F63E5">
        <w:rPr>
          <w:rStyle w:val="FootnoteReference"/>
          <w:rFonts w:ascii="TimesNewRoman" w:hAnsi="TimesNewRoman" w:cs="TimesNewRoman"/>
          <w:szCs w:val="22"/>
        </w:rPr>
        <w:footnoteReference w:id="26"/>
      </w:r>
      <w:r w:rsidR="006F63E5" w:rsidRPr="0039725B">
        <w:rPr>
          <w:rFonts w:ascii="TimesNewRoman" w:hAnsi="TimesNewRoman" w:cs="TimesNewRoman"/>
          <w:szCs w:val="22"/>
        </w:rPr>
        <w:t xml:space="preserve">  Lastly, Verizon offer</w:t>
      </w:r>
      <w:r w:rsidR="00F57171" w:rsidRPr="0039725B">
        <w:rPr>
          <w:rFonts w:ascii="TimesNewRoman" w:hAnsi="TimesNewRoman" w:cs="TimesNewRoman"/>
          <w:szCs w:val="22"/>
        </w:rPr>
        <w:t>s</w:t>
      </w:r>
      <w:r w:rsidR="006F63E5" w:rsidRPr="0039725B">
        <w:rPr>
          <w:rFonts w:ascii="TimesNewRoman" w:hAnsi="TimesNewRoman" w:cs="TimesNewRoman"/>
          <w:szCs w:val="22"/>
        </w:rPr>
        <w:t xml:space="preserve"> comparable programming to </w:t>
      </w:r>
      <w:r w:rsidR="0056148F" w:rsidRPr="0039725B">
        <w:rPr>
          <w:rFonts w:ascii="TimesNewRoman" w:hAnsi="TimesNewRoman" w:cs="TimesNewRoman"/>
          <w:szCs w:val="22"/>
        </w:rPr>
        <w:t xml:space="preserve">that offered by </w:t>
      </w:r>
      <w:r w:rsidR="00F57171" w:rsidRPr="0039725B">
        <w:rPr>
          <w:rFonts w:ascii="TimesNewRoman" w:hAnsi="TimesNewRoman" w:cs="TimesNewRoman"/>
          <w:szCs w:val="22"/>
        </w:rPr>
        <w:t>Comcast</w:t>
      </w:r>
      <w:r w:rsidR="006F63E5" w:rsidRPr="0039725B">
        <w:rPr>
          <w:rFonts w:ascii="TimesNewRoman" w:hAnsi="TimesNewRoman" w:cs="TimesNewRoman"/>
          <w:szCs w:val="22"/>
        </w:rPr>
        <w:t>, with an offering of several hundred channels</w:t>
      </w:r>
      <w:r w:rsidR="0056148F" w:rsidRPr="0039725B">
        <w:rPr>
          <w:rFonts w:ascii="TimesNewRoman" w:hAnsi="TimesNewRoman" w:cs="TimesNewRoman"/>
          <w:szCs w:val="22"/>
        </w:rPr>
        <w:t xml:space="preserve"> including both</w:t>
      </w:r>
      <w:r w:rsidR="006F63E5" w:rsidRPr="0039725B">
        <w:rPr>
          <w:rFonts w:ascii="TimesNewRoman" w:hAnsi="TimesNewRoman" w:cs="TimesNewRoman"/>
          <w:szCs w:val="22"/>
        </w:rPr>
        <w:t xml:space="preserve"> nonbroadcast and broadcast channels.</w:t>
      </w:r>
      <w:r w:rsidR="006F63E5">
        <w:rPr>
          <w:rStyle w:val="FootnoteReference"/>
          <w:rFonts w:ascii="TimesNewRoman" w:hAnsi="TimesNewRoman" w:cs="TimesNewRoman"/>
          <w:szCs w:val="22"/>
        </w:rPr>
        <w:footnoteReference w:id="27"/>
      </w:r>
      <w:r w:rsidR="006F63E5" w:rsidRPr="0039725B">
        <w:rPr>
          <w:rFonts w:ascii="TimesNewRoman" w:hAnsi="TimesNewRoman" w:cs="TimesNewRoman"/>
          <w:szCs w:val="22"/>
        </w:rPr>
        <w:t xml:space="preserve">  </w:t>
      </w:r>
      <w:r w:rsidR="00BD1882">
        <w:t>Accordingly, in addition to our finding of</w:t>
      </w:r>
      <w:r w:rsidR="00197647" w:rsidRPr="00D73D52">
        <w:t xml:space="preserve"> competing provider effective competition in </w:t>
      </w:r>
      <w:r w:rsidR="00BD1882">
        <w:t>all of the</w:t>
      </w:r>
      <w:r w:rsidR="00197647" w:rsidRPr="00D73D52">
        <w:t xml:space="preserve"> </w:t>
      </w:r>
      <w:r w:rsidR="00BD1882">
        <w:t>C</w:t>
      </w:r>
      <w:r w:rsidR="00197647" w:rsidRPr="00D73D52">
        <w:t xml:space="preserve">ommunities, </w:t>
      </w:r>
      <w:r w:rsidR="00BD1882">
        <w:t>we find that the Petitioner</w:t>
      </w:r>
      <w:r w:rsidR="00197647" w:rsidRPr="00D73D52">
        <w:t xml:space="preserve"> </w:t>
      </w:r>
      <w:r w:rsidR="00BD1882">
        <w:t xml:space="preserve">has </w:t>
      </w:r>
      <w:r w:rsidR="00197647" w:rsidRPr="00D73D52">
        <w:t xml:space="preserve">satisfied its burden of demonstrating </w:t>
      </w:r>
      <w:r w:rsidR="00BD1882">
        <w:t xml:space="preserve">the presence of </w:t>
      </w:r>
      <w:r w:rsidR="00197647" w:rsidRPr="00D73D52">
        <w:t>LEC effective competition</w:t>
      </w:r>
      <w:r w:rsidR="00BD1882">
        <w:t xml:space="preserve"> in Chevy Chase Village and Chevy Chase Section 3</w:t>
      </w:r>
      <w:r w:rsidR="00197647" w:rsidRPr="00D73D52">
        <w:t>.</w:t>
      </w:r>
      <w:r w:rsidR="00031F34">
        <w:t xml:space="preserve">  </w:t>
      </w:r>
    </w:p>
    <w:p w14:paraId="74AEBD01" w14:textId="77777777" w:rsidR="00F90BE8" w:rsidRDefault="00595360">
      <w:pPr>
        <w:pStyle w:val="Heading1"/>
        <w:jc w:val="left"/>
        <w:rPr>
          <w:szCs w:val="22"/>
        </w:rPr>
      </w:pPr>
      <w:r>
        <w:rPr>
          <w:szCs w:val="22"/>
        </w:rPr>
        <w:t>ordering clauses</w:t>
      </w:r>
    </w:p>
    <w:p w14:paraId="6E95D3AF" w14:textId="2B813110" w:rsidR="00F90BE8" w:rsidRDefault="00595360">
      <w:pPr>
        <w:pStyle w:val="ParaNum"/>
        <w:jc w:val="left"/>
      </w:pPr>
      <w:r>
        <w:t xml:space="preserve">Accordingly, </w:t>
      </w:r>
      <w:r>
        <w:rPr>
          <w:b/>
        </w:rPr>
        <w:t>IT IS ORDERED</w:t>
      </w:r>
      <w:r>
        <w:t xml:space="preserve"> that the petition for a determination of effective competition filed in the captioned proceeding by </w:t>
      </w:r>
      <w:r w:rsidR="00FB2483">
        <w:t>Comcast of Potomac, LLC</w:t>
      </w:r>
      <w:r>
        <w:t xml:space="preserve">, </w:t>
      </w:r>
      <w:r w:rsidR="005B22E6">
        <w:rPr>
          <w:b/>
        </w:rPr>
        <w:t>IS</w:t>
      </w:r>
      <w:r>
        <w:rPr>
          <w:b/>
        </w:rPr>
        <w:t xml:space="preserve"> GRANTED</w:t>
      </w:r>
      <w:r>
        <w:t xml:space="preserve"> as to the Communities listed on Attachment A hereto. </w:t>
      </w:r>
    </w:p>
    <w:p w14:paraId="04E6D863" w14:textId="77777777" w:rsidR="00F90BE8" w:rsidRDefault="00595360">
      <w:pPr>
        <w:pStyle w:val="ParaNum"/>
        <w:jc w:val="left"/>
      </w:pPr>
      <w:r>
        <w:rPr>
          <w:b/>
        </w:rPr>
        <w:t>IT IS FURTHER ORDERED</w:t>
      </w:r>
      <w:r>
        <w:t xml:space="preserve"> that the certification to regulate basic cable service rates granted to or on behalf of any of the Communities set forth on Attachment A </w:t>
      </w:r>
      <w:r>
        <w:rPr>
          <w:b/>
        </w:rPr>
        <w:t>IS REVOKED</w:t>
      </w:r>
      <w:r>
        <w:t xml:space="preserve">. </w:t>
      </w:r>
    </w:p>
    <w:p w14:paraId="27081287" w14:textId="77777777" w:rsidR="00F90BE8" w:rsidRDefault="00595360">
      <w:pPr>
        <w:pStyle w:val="ParaNum"/>
        <w:jc w:val="left"/>
      </w:pPr>
      <w:r>
        <w:t>This action is taken pursuant to delegated authority pursuant to Section 0.283 of the Commission’s rules.</w:t>
      </w:r>
      <w:r>
        <w:rPr>
          <w:vertAlign w:val="superscript"/>
        </w:rPr>
        <w:footnoteReference w:id="28"/>
      </w:r>
    </w:p>
    <w:p w14:paraId="7BBB803C" w14:textId="77777777" w:rsidR="00F90BE8" w:rsidRDefault="00595360">
      <w:pPr>
        <w:pStyle w:val="ParaNum"/>
        <w:numPr>
          <w:ilvl w:val="0"/>
          <w:numId w:val="0"/>
        </w:numPr>
        <w:jc w:val="left"/>
        <w:rPr>
          <w:szCs w:val="22"/>
        </w:rPr>
      </w:pPr>
      <w:r>
        <w:rPr>
          <w:szCs w:val="22"/>
        </w:rPr>
        <w:tab/>
      </w:r>
      <w:r>
        <w:rPr>
          <w:szCs w:val="22"/>
        </w:rPr>
        <w:tab/>
      </w:r>
      <w:r>
        <w:rPr>
          <w:szCs w:val="22"/>
        </w:rPr>
        <w:tab/>
      </w:r>
    </w:p>
    <w:p w14:paraId="63336AAA" w14:textId="77777777" w:rsidR="00F90BE8" w:rsidRDefault="00595360">
      <w:pPr>
        <w:pStyle w:val="ParaNum"/>
        <w:numPr>
          <w:ilvl w:val="0"/>
          <w:numId w:val="0"/>
        </w:numPr>
        <w:jc w:val="left"/>
        <w:rPr>
          <w:szCs w:val="22"/>
        </w:rPr>
      </w:pPr>
      <w:r>
        <w:rPr>
          <w:szCs w:val="22"/>
        </w:rPr>
        <w:tab/>
      </w:r>
      <w:r>
        <w:rPr>
          <w:szCs w:val="22"/>
        </w:rPr>
        <w:tab/>
      </w:r>
      <w:r>
        <w:rPr>
          <w:szCs w:val="22"/>
        </w:rPr>
        <w:tab/>
      </w:r>
      <w:r>
        <w:rPr>
          <w:szCs w:val="22"/>
        </w:rPr>
        <w:tab/>
        <w:t>FEDERAL COMMUNICATIONS COMMISSION</w:t>
      </w:r>
    </w:p>
    <w:p w14:paraId="468FF91D" w14:textId="77777777" w:rsidR="00F90BE8" w:rsidRDefault="00F90BE8">
      <w:pPr>
        <w:pStyle w:val="DocText"/>
        <w:jc w:val="left"/>
        <w:rPr>
          <w:sz w:val="22"/>
          <w:szCs w:val="22"/>
        </w:rPr>
      </w:pPr>
    </w:p>
    <w:p w14:paraId="1C54A2F5" w14:textId="77777777" w:rsidR="00F90BE8" w:rsidRDefault="00F90BE8">
      <w:pPr>
        <w:pStyle w:val="DocText"/>
        <w:ind w:left="0"/>
        <w:jc w:val="left"/>
        <w:rPr>
          <w:sz w:val="22"/>
          <w:szCs w:val="22"/>
        </w:rPr>
      </w:pPr>
    </w:p>
    <w:p w14:paraId="75FC472D" w14:textId="77777777" w:rsidR="00F90BE8" w:rsidRDefault="00595360">
      <w:pPr>
        <w:pStyle w:val="DocText"/>
        <w:jc w:val="left"/>
        <w:rPr>
          <w:sz w:val="22"/>
          <w:szCs w:val="22"/>
        </w:rPr>
      </w:pPr>
      <w:r>
        <w:rPr>
          <w:sz w:val="22"/>
          <w:szCs w:val="22"/>
        </w:rPr>
        <w:tab/>
      </w:r>
      <w:r>
        <w:rPr>
          <w:sz w:val="22"/>
          <w:szCs w:val="22"/>
        </w:rPr>
        <w:tab/>
      </w:r>
      <w:r>
        <w:rPr>
          <w:sz w:val="22"/>
          <w:szCs w:val="22"/>
        </w:rPr>
        <w:tab/>
      </w:r>
      <w:r>
        <w:rPr>
          <w:sz w:val="22"/>
          <w:szCs w:val="22"/>
        </w:rPr>
        <w:tab/>
      </w:r>
      <w:r w:rsidRPr="00C86C18">
        <w:rPr>
          <w:sz w:val="22"/>
          <w:szCs w:val="22"/>
        </w:rPr>
        <w:t>Steven A. Broeckaert</w:t>
      </w:r>
    </w:p>
    <w:p w14:paraId="6A436FB3" w14:textId="77777777" w:rsidR="00F90BE8" w:rsidRDefault="00595360">
      <w:pPr>
        <w:pStyle w:val="DocText"/>
        <w:jc w:val="left"/>
        <w:rPr>
          <w:sz w:val="22"/>
          <w:szCs w:val="22"/>
        </w:rPr>
      </w:pPr>
      <w:r>
        <w:rPr>
          <w:sz w:val="22"/>
          <w:szCs w:val="22"/>
        </w:rPr>
        <w:tab/>
      </w:r>
      <w:r>
        <w:rPr>
          <w:sz w:val="22"/>
          <w:szCs w:val="22"/>
        </w:rPr>
        <w:tab/>
      </w:r>
      <w:r>
        <w:rPr>
          <w:sz w:val="22"/>
          <w:szCs w:val="22"/>
        </w:rPr>
        <w:tab/>
      </w:r>
      <w:r>
        <w:rPr>
          <w:sz w:val="22"/>
          <w:szCs w:val="22"/>
        </w:rPr>
        <w:tab/>
        <w:t>Senior Deputy Chief, Policy Division, Media Bureau</w:t>
      </w:r>
    </w:p>
    <w:p w14:paraId="382104AA" w14:textId="77777777" w:rsidR="00FB2483" w:rsidRPr="005725AD" w:rsidRDefault="00595360" w:rsidP="00FB2483">
      <w:pPr>
        <w:pStyle w:val="ParaNum"/>
        <w:numPr>
          <w:ilvl w:val="0"/>
          <w:numId w:val="0"/>
        </w:numPr>
        <w:jc w:val="center"/>
        <w:rPr>
          <w:b/>
        </w:rPr>
      </w:pPr>
      <w:r>
        <w:rPr>
          <w:szCs w:val="22"/>
        </w:rPr>
        <w:br w:type="page"/>
      </w:r>
      <w:r w:rsidR="00FB2483" w:rsidRPr="005725AD">
        <w:rPr>
          <w:b/>
        </w:rPr>
        <w:t>ATTACHMENT A</w:t>
      </w:r>
    </w:p>
    <w:p w14:paraId="65BCB10B" w14:textId="77777777" w:rsidR="00FB2483" w:rsidRPr="00776DDD" w:rsidRDefault="00FB2483" w:rsidP="00FB2483">
      <w:pPr>
        <w:pStyle w:val="ParaNum"/>
        <w:numPr>
          <w:ilvl w:val="0"/>
          <w:numId w:val="0"/>
        </w:numPr>
        <w:jc w:val="center"/>
        <w:rPr>
          <w:b/>
        </w:rPr>
      </w:pPr>
      <w:r w:rsidRPr="00776DDD">
        <w:rPr>
          <w:b/>
        </w:rPr>
        <w:t>MB Docket No. 12-308, CSR 8733-E</w:t>
      </w:r>
    </w:p>
    <w:p w14:paraId="12E0D12F" w14:textId="77777777" w:rsidR="00FB2483" w:rsidRPr="00776DDD" w:rsidRDefault="00FB2483" w:rsidP="00FB2483">
      <w:pPr>
        <w:pStyle w:val="ParaNum"/>
        <w:numPr>
          <w:ilvl w:val="0"/>
          <w:numId w:val="0"/>
        </w:numPr>
        <w:spacing w:after="0"/>
        <w:jc w:val="center"/>
        <w:rPr>
          <w:b/>
        </w:rPr>
      </w:pPr>
      <w:r w:rsidRPr="00776DDD">
        <w:rPr>
          <w:b/>
        </w:rPr>
        <w:t>COMMUNITIES SERVED BY COMCAST OF POTOMAC, LLC</w:t>
      </w:r>
    </w:p>
    <w:p w14:paraId="55C5B7EA" w14:textId="77777777" w:rsidR="00FB2483" w:rsidRDefault="00FB2483" w:rsidP="00FB2483">
      <w:pPr>
        <w:pStyle w:val="EndnoteText"/>
        <w:spacing w:after="0"/>
        <w:rPr>
          <w:sz w:val="20"/>
        </w:rPr>
      </w:pPr>
      <w:r>
        <w:rPr>
          <w:b/>
        </w:rPr>
        <w:tab/>
      </w:r>
      <w:r>
        <w:rPr>
          <w:b/>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p>
    <w:tbl>
      <w:tblPr>
        <w:tblW w:w="900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10"/>
        <w:gridCol w:w="1260"/>
        <w:gridCol w:w="1440"/>
        <w:gridCol w:w="1800"/>
        <w:gridCol w:w="1890"/>
      </w:tblGrid>
      <w:tr w:rsidR="00FB2483" w:rsidRPr="00054B97" w14:paraId="7881E4EF" w14:textId="77777777" w:rsidTr="009748C1">
        <w:tc>
          <w:tcPr>
            <w:tcW w:w="2610" w:type="dxa"/>
            <w:tcMar>
              <w:top w:w="28" w:type="dxa"/>
              <w:left w:w="28" w:type="dxa"/>
              <w:bottom w:w="28" w:type="dxa"/>
              <w:right w:w="28" w:type="dxa"/>
            </w:tcMar>
          </w:tcPr>
          <w:p w14:paraId="1D2D5C8F" w14:textId="77777777" w:rsidR="00FB2483" w:rsidRPr="002841B8" w:rsidRDefault="00FB2483" w:rsidP="009748C1">
            <w:pPr>
              <w:autoSpaceDE w:val="0"/>
              <w:autoSpaceDN w:val="0"/>
              <w:adjustRightInd w:val="0"/>
              <w:jc w:val="center"/>
              <w:rPr>
                <w:b/>
                <w:color w:val="FF0000"/>
                <w:szCs w:val="22"/>
              </w:rPr>
            </w:pPr>
          </w:p>
          <w:p w14:paraId="7044978A" w14:textId="77777777" w:rsidR="00FB2483" w:rsidRPr="002841B8" w:rsidRDefault="00FB2483" w:rsidP="009748C1">
            <w:pPr>
              <w:autoSpaceDE w:val="0"/>
              <w:autoSpaceDN w:val="0"/>
              <w:adjustRightInd w:val="0"/>
              <w:jc w:val="center"/>
              <w:rPr>
                <w:b/>
                <w:szCs w:val="22"/>
              </w:rPr>
            </w:pPr>
            <w:r>
              <w:rPr>
                <w:b/>
                <w:szCs w:val="22"/>
              </w:rPr>
              <w:t>Communities</w:t>
            </w:r>
          </w:p>
        </w:tc>
        <w:tc>
          <w:tcPr>
            <w:tcW w:w="1260" w:type="dxa"/>
            <w:tcMar>
              <w:top w:w="28" w:type="dxa"/>
              <w:left w:w="28" w:type="dxa"/>
              <w:bottom w:w="28" w:type="dxa"/>
              <w:right w:w="28" w:type="dxa"/>
            </w:tcMar>
          </w:tcPr>
          <w:p w14:paraId="12766ED0" w14:textId="77777777" w:rsidR="00FB2483" w:rsidRPr="002841B8" w:rsidRDefault="00FB2483" w:rsidP="009748C1">
            <w:pPr>
              <w:autoSpaceDE w:val="0"/>
              <w:autoSpaceDN w:val="0"/>
              <w:adjustRightInd w:val="0"/>
              <w:jc w:val="center"/>
              <w:rPr>
                <w:b/>
                <w:szCs w:val="22"/>
              </w:rPr>
            </w:pPr>
          </w:p>
          <w:p w14:paraId="6485E7C5" w14:textId="77777777" w:rsidR="00FB2483" w:rsidRPr="002841B8" w:rsidRDefault="00FB2483" w:rsidP="009748C1">
            <w:pPr>
              <w:autoSpaceDE w:val="0"/>
              <w:autoSpaceDN w:val="0"/>
              <w:adjustRightInd w:val="0"/>
              <w:jc w:val="center"/>
              <w:rPr>
                <w:b/>
                <w:color w:val="000000"/>
                <w:szCs w:val="22"/>
              </w:rPr>
            </w:pPr>
            <w:r w:rsidRPr="002841B8">
              <w:rPr>
                <w:b/>
                <w:szCs w:val="22"/>
              </w:rPr>
              <w:t>CUID</w:t>
            </w:r>
            <w:r w:rsidRPr="00776DDD">
              <w:rPr>
                <w:b/>
                <w:szCs w:val="22"/>
              </w:rPr>
              <w:t xml:space="preserve">s </w:t>
            </w:r>
            <w:r w:rsidRPr="002841B8">
              <w:rPr>
                <w:b/>
                <w:szCs w:val="22"/>
              </w:rPr>
              <w:t xml:space="preserve"> </w:t>
            </w:r>
          </w:p>
        </w:tc>
        <w:tc>
          <w:tcPr>
            <w:tcW w:w="1440" w:type="dxa"/>
            <w:tcMar>
              <w:top w:w="28" w:type="dxa"/>
              <w:left w:w="28" w:type="dxa"/>
              <w:bottom w:w="28" w:type="dxa"/>
              <w:right w:w="28" w:type="dxa"/>
            </w:tcMar>
          </w:tcPr>
          <w:p w14:paraId="001951FA" w14:textId="77777777" w:rsidR="00FB2483" w:rsidRPr="002841B8" w:rsidRDefault="00FB2483" w:rsidP="009748C1">
            <w:pPr>
              <w:autoSpaceDE w:val="0"/>
              <w:autoSpaceDN w:val="0"/>
              <w:adjustRightInd w:val="0"/>
              <w:jc w:val="center"/>
              <w:rPr>
                <w:b/>
                <w:szCs w:val="22"/>
              </w:rPr>
            </w:pPr>
          </w:p>
          <w:p w14:paraId="666A9C64" w14:textId="77777777" w:rsidR="00FB2483" w:rsidRPr="002841B8" w:rsidRDefault="00FB2483" w:rsidP="009748C1">
            <w:pPr>
              <w:autoSpaceDE w:val="0"/>
              <w:autoSpaceDN w:val="0"/>
              <w:adjustRightInd w:val="0"/>
              <w:jc w:val="center"/>
              <w:rPr>
                <w:b/>
                <w:color w:val="000000"/>
                <w:szCs w:val="22"/>
              </w:rPr>
            </w:pPr>
            <w:r w:rsidRPr="002841B8">
              <w:rPr>
                <w:b/>
                <w:szCs w:val="22"/>
              </w:rPr>
              <w:t>CPR*</w:t>
            </w:r>
          </w:p>
        </w:tc>
        <w:tc>
          <w:tcPr>
            <w:tcW w:w="1800" w:type="dxa"/>
            <w:tcMar>
              <w:top w:w="28" w:type="dxa"/>
              <w:left w:w="28" w:type="dxa"/>
              <w:bottom w:w="28" w:type="dxa"/>
              <w:right w:w="28" w:type="dxa"/>
            </w:tcMar>
          </w:tcPr>
          <w:p w14:paraId="22FE877E" w14:textId="77777777" w:rsidR="00FB2483" w:rsidRPr="002841B8" w:rsidRDefault="00FB2483" w:rsidP="009748C1">
            <w:pPr>
              <w:autoSpaceDE w:val="0"/>
              <w:autoSpaceDN w:val="0"/>
              <w:adjustRightInd w:val="0"/>
              <w:jc w:val="center"/>
              <w:rPr>
                <w:b/>
                <w:color w:val="000000"/>
                <w:szCs w:val="22"/>
              </w:rPr>
            </w:pPr>
            <w:r w:rsidRPr="002841B8">
              <w:rPr>
                <w:b/>
                <w:color w:val="000000"/>
                <w:szCs w:val="22"/>
              </w:rPr>
              <w:t>20</w:t>
            </w:r>
            <w:r>
              <w:rPr>
                <w:b/>
                <w:color w:val="000000"/>
                <w:szCs w:val="22"/>
              </w:rPr>
              <w:t>1</w:t>
            </w:r>
            <w:r w:rsidRPr="002841B8">
              <w:rPr>
                <w:b/>
                <w:color w:val="000000"/>
                <w:szCs w:val="22"/>
              </w:rPr>
              <w:t>0 Census</w:t>
            </w:r>
          </w:p>
          <w:p w14:paraId="19A0A1C0" w14:textId="77777777" w:rsidR="00FB2483" w:rsidRPr="002841B8" w:rsidRDefault="00FB2483" w:rsidP="009748C1">
            <w:pPr>
              <w:autoSpaceDE w:val="0"/>
              <w:autoSpaceDN w:val="0"/>
              <w:adjustRightInd w:val="0"/>
              <w:jc w:val="center"/>
              <w:rPr>
                <w:b/>
                <w:color w:val="000000"/>
                <w:szCs w:val="22"/>
              </w:rPr>
            </w:pPr>
            <w:r w:rsidRPr="002841B8">
              <w:rPr>
                <w:b/>
                <w:color w:val="000000"/>
                <w:szCs w:val="22"/>
              </w:rPr>
              <w:t>Households</w:t>
            </w:r>
          </w:p>
        </w:tc>
        <w:tc>
          <w:tcPr>
            <w:tcW w:w="1890" w:type="dxa"/>
            <w:tcMar>
              <w:top w:w="28" w:type="dxa"/>
              <w:left w:w="28" w:type="dxa"/>
              <w:bottom w:w="28" w:type="dxa"/>
              <w:right w:w="28" w:type="dxa"/>
            </w:tcMar>
          </w:tcPr>
          <w:p w14:paraId="426A0656" w14:textId="77777777" w:rsidR="00FB2483" w:rsidRPr="002841B8" w:rsidRDefault="00FB2483" w:rsidP="009748C1">
            <w:pPr>
              <w:autoSpaceDE w:val="0"/>
              <w:autoSpaceDN w:val="0"/>
              <w:adjustRightInd w:val="0"/>
              <w:jc w:val="center"/>
              <w:rPr>
                <w:b/>
                <w:color w:val="000000"/>
                <w:szCs w:val="22"/>
              </w:rPr>
            </w:pPr>
            <w:r w:rsidRPr="002841B8">
              <w:rPr>
                <w:b/>
                <w:color w:val="000000"/>
                <w:szCs w:val="22"/>
              </w:rPr>
              <w:t>Estimated Subscribers</w:t>
            </w:r>
          </w:p>
        </w:tc>
      </w:tr>
      <w:tr w:rsidR="00FB2483" w:rsidRPr="00054B97" w14:paraId="70C780A1" w14:textId="77777777" w:rsidTr="009748C1">
        <w:tc>
          <w:tcPr>
            <w:tcW w:w="2610" w:type="dxa"/>
            <w:tcMar>
              <w:top w:w="28" w:type="dxa"/>
              <w:left w:w="28" w:type="dxa"/>
              <w:bottom w:w="28" w:type="dxa"/>
              <w:right w:w="28" w:type="dxa"/>
            </w:tcMar>
          </w:tcPr>
          <w:p w14:paraId="2A38A0E8" w14:textId="77777777" w:rsidR="00FB2483" w:rsidRPr="00054B97" w:rsidRDefault="00FB2483" w:rsidP="009748C1">
            <w:pPr>
              <w:autoSpaceDE w:val="0"/>
              <w:autoSpaceDN w:val="0"/>
              <w:adjustRightInd w:val="0"/>
              <w:jc w:val="center"/>
              <w:rPr>
                <w:color w:val="000000"/>
              </w:rPr>
            </w:pPr>
            <w:r>
              <w:rPr>
                <w:color w:val="000000"/>
              </w:rPr>
              <w:t>Chevy Chase Village, MD</w:t>
            </w:r>
          </w:p>
        </w:tc>
        <w:tc>
          <w:tcPr>
            <w:tcW w:w="1260" w:type="dxa"/>
            <w:tcMar>
              <w:top w:w="28" w:type="dxa"/>
              <w:left w:w="28" w:type="dxa"/>
              <w:bottom w:w="28" w:type="dxa"/>
              <w:right w:w="28" w:type="dxa"/>
            </w:tcMar>
          </w:tcPr>
          <w:p w14:paraId="5981B654" w14:textId="77777777" w:rsidR="00FB2483" w:rsidRPr="00054B97" w:rsidRDefault="00FB2483" w:rsidP="009748C1">
            <w:pPr>
              <w:autoSpaceDE w:val="0"/>
              <w:autoSpaceDN w:val="0"/>
              <w:adjustRightInd w:val="0"/>
              <w:jc w:val="center"/>
              <w:rPr>
                <w:color w:val="000000"/>
              </w:rPr>
            </w:pPr>
            <w:r>
              <w:rPr>
                <w:color w:val="000000"/>
              </w:rPr>
              <w:t>MD0277</w:t>
            </w:r>
          </w:p>
        </w:tc>
        <w:tc>
          <w:tcPr>
            <w:tcW w:w="1440" w:type="dxa"/>
            <w:tcMar>
              <w:top w:w="28" w:type="dxa"/>
              <w:left w:w="28" w:type="dxa"/>
              <w:bottom w:w="28" w:type="dxa"/>
              <w:right w:w="28" w:type="dxa"/>
            </w:tcMar>
          </w:tcPr>
          <w:p w14:paraId="603C8A62" w14:textId="77777777" w:rsidR="00FB2483" w:rsidRPr="00054B97" w:rsidRDefault="00FB2483" w:rsidP="009748C1">
            <w:pPr>
              <w:autoSpaceDE w:val="0"/>
              <w:autoSpaceDN w:val="0"/>
              <w:adjustRightInd w:val="0"/>
              <w:jc w:val="center"/>
              <w:rPr>
                <w:color w:val="000000"/>
              </w:rPr>
            </w:pPr>
            <w:r>
              <w:rPr>
                <w:color w:val="000000"/>
              </w:rPr>
              <w:t>45.77%</w:t>
            </w:r>
          </w:p>
        </w:tc>
        <w:tc>
          <w:tcPr>
            <w:tcW w:w="1800" w:type="dxa"/>
            <w:tcMar>
              <w:top w:w="28" w:type="dxa"/>
              <w:left w:w="28" w:type="dxa"/>
              <w:bottom w:w="28" w:type="dxa"/>
              <w:right w:w="28" w:type="dxa"/>
            </w:tcMar>
          </w:tcPr>
          <w:p w14:paraId="0D95B197" w14:textId="77777777" w:rsidR="00FB2483" w:rsidRPr="00054B97" w:rsidRDefault="00FB2483" w:rsidP="009748C1">
            <w:pPr>
              <w:autoSpaceDE w:val="0"/>
              <w:autoSpaceDN w:val="0"/>
              <w:adjustRightInd w:val="0"/>
              <w:jc w:val="center"/>
              <w:rPr>
                <w:color w:val="000000"/>
              </w:rPr>
            </w:pPr>
            <w:r>
              <w:rPr>
                <w:color w:val="000000"/>
              </w:rPr>
              <w:t>697</w:t>
            </w:r>
          </w:p>
        </w:tc>
        <w:tc>
          <w:tcPr>
            <w:tcW w:w="1890" w:type="dxa"/>
            <w:tcMar>
              <w:top w:w="28" w:type="dxa"/>
              <w:left w:w="28" w:type="dxa"/>
              <w:bottom w:w="28" w:type="dxa"/>
              <w:right w:w="28" w:type="dxa"/>
            </w:tcMar>
          </w:tcPr>
          <w:p w14:paraId="42CA951E" w14:textId="77777777" w:rsidR="00FB2483" w:rsidRPr="00054B97" w:rsidRDefault="00FB2483" w:rsidP="009748C1">
            <w:pPr>
              <w:autoSpaceDE w:val="0"/>
              <w:autoSpaceDN w:val="0"/>
              <w:adjustRightInd w:val="0"/>
              <w:jc w:val="center"/>
              <w:rPr>
                <w:color w:val="000000"/>
              </w:rPr>
            </w:pPr>
            <w:r>
              <w:rPr>
                <w:color w:val="000000"/>
              </w:rPr>
              <w:t>319</w:t>
            </w:r>
          </w:p>
        </w:tc>
      </w:tr>
      <w:tr w:rsidR="00FB2483" w:rsidRPr="00054B97" w14:paraId="661F38A6" w14:textId="77777777" w:rsidTr="009748C1">
        <w:tc>
          <w:tcPr>
            <w:tcW w:w="2610" w:type="dxa"/>
            <w:tcMar>
              <w:top w:w="28" w:type="dxa"/>
              <w:left w:w="28" w:type="dxa"/>
              <w:bottom w:w="28" w:type="dxa"/>
              <w:right w:w="28" w:type="dxa"/>
            </w:tcMar>
          </w:tcPr>
          <w:p w14:paraId="309E8D6F" w14:textId="77777777" w:rsidR="00FB2483" w:rsidRPr="00054B97" w:rsidRDefault="00FB2483" w:rsidP="009748C1">
            <w:pPr>
              <w:autoSpaceDE w:val="0"/>
              <w:autoSpaceDN w:val="0"/>
              <w:adjustRightInd w:val="0"/>
              <w:jc w:val="center"/>
              <w:rPr>
                <w:color w:val="000000"/>
              </w:rPr>
            </w:pPr>
            <w:r>
              <w:rPr>
                <w:color w:val="000000"/>
              </w:rPr>
              <w:t>Chevy Chase Section 3, MD</w:t>
            </w:r>
          </w:p>
        </w:tc>
        <w:tc>
          <w:tcPr>
            <w:tcW w:w="1260" w:type="dxa"/>
            <w:tcMar>
              <w:top w:w="28" w:type="dxa"/>
              <w:left w:w="28" w:type="dxa"/>
              <w:bottom w:w="28" w:type="dxa"/>
              <w:right w:w="28" w:type="dxa"/>
            </w:tcMar>
          </w:tcPr>
          <w:p w14:paraId="4DA4B95C" w14:textId="77777777" w:rsidR="00FB2483" w:rsidRPr="00054B97" w:rsidRDefault="00FB2483" w:rsidP="009748C1">
            <w:pPr>
              <w:autoSpaceDE w:val="0"/>
              <w:autoSpaceDN w:val="0"/>
              <w:adjustRightInd w:val="0"/>
              <w:jc w:val="center"/>
              <w:rPr>
                <w:color w:val="000000"/>
              </w:rPr>
            </w:pPr>
            <w:r>
              <w:rPr>
                <w:color w:val="000000"/>
              </w:rPr>
              <w:t>MD0472</w:t>
            </w:r>
          </w:p>
        </w:tc>
        <w:tc>
          <w:tcPr>
            <w:tcW w:w="1440" w:type="dxa"/>
            <w:tcMar>
              <w:top w:w="28" w:type="dxa"/>
              <w:left w:w="28" w:type="dxa"/>
              <w:bottom w:w="28" w:type="dxa"/>
              <w:right w:w="28" w:type="dxa"/>
            </w:tcMar>
          </w:tcPr>
          <w:p w14:paraId="4367D6B0" w14:textId="77777777" w:rsidR="00FB2483" w:rsidRPr="00054B97" w:rsidRDefault="00FB2483" w:rsidP="009748C1">
            <w:pPr>
              <w:autoSpaceDE w:val="0"/>
              <w:autoSpaceDN w:val="0"/>
              <w:adjustRightInd w:val="0"/>
              <w:jc w:val="center"/>
              <w:rPr>
                <w:color w:val="000000"/>
              </w:rPr>
            </w:pPr>
            <w:r>
              <w:rPr>
                <w:color w:val="000000"/>
              </w:rPr>
              <w:t>58.67%</w:t>
            </w:r>
          </w:p>
        </w:tc>
        <w:tc>
          <w:tcPr>
            <w:tcW w:w="1800" w:type="dxa"/>
            <w:tcMar>
              <w:top w:w="28" w:type="dxa"/>
              <w:left w:w="28" w:type="dxa"/>
              <w:bottom w:w="28" w:type="dxa"/>
              <w:right w:w="28" w:type="dxa"/>
            </w:tcMar>
          </w:tcPr>
          <w:p w14:paraId="01A3F6BB" w14:textId="77777777" w:rsidR="00FB2483" w:rsidRPr="00054B97" w:rsidRDefault="00FB2483" w:rsidP="009748C1">
            <w:pPr>
              <w:autoSpaceDE w:val="0"/>
              <w:autoSpaceDN w:val="0"/>
              <w:adjustRightInd w:val="0"/>
              <w:jc w:val="center"/>
              <w:rPr>
                <w:color w:val="000000"/>
              </w:rPr>
            </w:pPr>
            <w:r>
              <w:rPr>
                <w:color w:val="000000"/>
              </w:rPr>
              <w:t>271</w:t>
            </w:r>
          </w:p>
        </w:tc>
        <w:tc>
          <w:tcPr>
            <w:tcW w:w="1890" w:type="dxa"/>
            <w:tcMar>
              <w:top w:w="28" w:type="dxa"/>
              <w:left w:w="28" w:type="dxa"/>
              <w:bottom w:w="28" w:type="dxa"/>
              <w:right w:w="28" w:type="dxa"/>
            </w:tcMar>
          </w:tcPr>
          <w:p w14:paraId="0A3D20C7" w14:textId="77777777" w:rsidR="00FB2483" w:rsidRPr="00054B97" w:rsidRDefault="00FB2483" w:rsidP="009748C1">
            <w:pPr>
              <w:autoSpaceDE w:val="0"/>
              <w:autoSpaceDN w:val="0"/>
              <w:adjustRightInd w:val="0"/>
              <w:jc w:val="center"/>
              <w:rPr>
                <w:color w:val="000000"/>
              </w:rPr>
            </w:pPr>
            <w:r>
              <w:rPr>
                <w:color w:val="000000"/>
              </w:rPr>
              <w:t>159</w:t>
            </w:r>
          </w:p>
        </w:tc>
      </w:tr>
      <w:tr w:rsidR="00FB2483" w:rsidRPr="00054B97" w14:paraId="1D54A1DD" w14:textId="77777777" w:rsidTr="009748C1">
        <w:tc>
          <w:tcPr>
            <w:tcW w:w="26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CD3326" w14:textId="77777777" w:rsidR="00FB2483" w:rsidRPr="00054B97" w:rsidRDefault="00FB2483" w:rsidP="009748C1">
            <w:pPr>
              <w:autoSpaceDE w:val="0"/>
              <w:autoSpaceDN w:val="0"/>
              <w:adjustRightInd w:val="0"/>
              <w:jc w:val="center"/>
              <w:rPr>
                <w:color w:val="000000"/>
              </w:rPr>
            </w:pPr>
            <w:r>
              <w:rPr>
                <w:color w:val="000000"/>
              </w:rPr>
              <w:t>Laytonsville, MD</w:t>
            </w:r>
          </w:p>
        </w:tc>
        <w:tc>
          <w:tcPr>
            <w:tcW w:w="1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301E1C" w14:textId="77777777" w:rsidR="00FB2483" w:rsidRPr="00054B97" w:rsidRDefault="00FB2483" w:rsidP="009748C1">
            <w:pPr>
              <w:autoSpaceDE w:val="0"/>
              <w:autoSpaceDN w:val="0"/>
              <w:adjustRightInd w:val="0"/>
              <w:jc w:val="center"/>
              <w:rPr>
                <w:color w:val="000000"/>
              </w:rPr>
            </w:pPr>
            <w:r>
              <w:rPr>
                <w:color w:val="000000"/>
              </w:rPr>
              <w:t>MD0235</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FFE1D3" w14:textId="77777777" w:rsidR="00FB2483" w:rsidRPr="00054B97" w:rsidRDefault="00FB2483" w:rsidP="009748C1">
            <w:pPr>
              <w:autoSpaceDE w:val="0"/>
              <w:autoSpaceDN w:val="0"/>
              <w:adjustRightInd w:val="0"/>
              <w:jc w:val="center"/>
              <w:rPr>
                <w:color w:val="000000"/>
              </w:rPr>
            </w:pPr>
            <w:r>
              <w:rPr>
                <w:color w:val="000000"/>
              </w:rPr>
              <w:t>31.50%</w:t>
            </w:r>
          </w:p>
        </w:tc>
        <w:tc>
          <w:tcPr>
            <w:tcW w:w="18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874AB3" w14:textId="77777777" w:rsidR="00FB2483" w:rsidRPr="00054B97" w:rsidRDefault="00FB2483" w:rsidP="009748C1">
            <w:pPr>
              <w:autoSpaceDE w:val="0"/>
              <w:autoSpaceDN w:val="0"/>
              <w:adjustRightInd w:val="0"/>
              <w:jc w:val="center"/>
              <w:rPr>
                <w:color w:val="000000"/>
              </w:rPr>
            </w:pPr>
            <w:r>
              <w:rPr>
                <w:color w:val="000000"/>
              </w:rPr>
              <w:t>127</w:t>
            </w:r>
          </w:p>
        </w:tc>
        <w:tc>
          <w:tcPr>
            <w:tcW w:w="18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496FD8" w14:textId="77777777" w:rsidR="00FB2483" w:rsidRPr="00054B97" w:rsidRDefault="00FB2483" w:rsidP="009748C1">
            <w:pPr>
              <w:autoSpaceDE w:val="0"/>
              <w:autoSpaceDN w:val="0"/>
              <w:adjustRightInd w:val="0"/>
              <w:jc w:val="center"/>
              <w:rPr>
                <w:color w:val="000000"/>
              </w:rPr>
            </w:pPr>
            <w:r>
              <w:rPr>
                <w:color w:val="000000"/>
              </w:rPr>
              <w:t>40</w:t>
            </w:r>
          </w:p>
        </w:tc>
      </w:tr>
      <w:tr w:rsidR="00FB2483" w:rsidRPr="00054B97" w14:paraId="33FC2B58" w14:textId="77777777" w:rsidTr="009748C1">
        <w:trPr>
          <w:trHeight w:val="42"/>
        </w:trPr>
        <w:tc>
          <w:tcPr>
            <w:tcW w:w="26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D26071" w14:textId="77777777" w:rsidR="00FB2483" w:rsidRPr="00054B97" w:rsidRDefault="00FB2483" w:rsidP="009748C1">
            <w:pPr>
              <w:autoSpaceDE w:val="0"/>
              <w:autoSpaceDN w:val="0"/>
              <w:adjustRightInd w:val="0"/>
              <w:jc w:val="center"/>
              <w:rPr>
                <w:color w:val="000000"/>
              </w:rPr>
            </w:pPr>
            <w:r>
              <w:rPr>
                <w:color w:val="000000"/>
              </w:rPr>
              <w:t>Poolesville, MD</w:t>
            </w:r>
          </w:p>
        </w:tc>
        <w:tc>
          <w:tcPr>
            <w:tcW w:w="1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CAC1FD" w14:textId="77777777" w:rsidR="00FB2483" w:rsidRPr="00054B97" w:rsidRDefault="00FB2483" w:rsidP="009748C1">
            <w:pPr>
              <w:autoSpaceDE w:val="0"/>
              <w:autoSpaceDN w:val="0"/>
              <w:adjustRightInd w:val="0"/>
              <w:jc w:val="center"/>
              <w:rPr>
                <w:color w:val="000000"/>
              </w:rPr>
            </w:pPr>
            <w:r>
              <w:rPr>
                <w:color w:val="000000"/>
              </w:rPr>
              <w:t>MD0228</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80F92D" w14:textId="77777777" w:rsidR="00FB2483" w:rsidRPr="00054B97" w:rsidRDefault="00FB2483" w:rsidP="009748C1">
            <w:pPr>
              <w:autoSpaceDE w:val="0"/>
              <w:autoSpaceDN w:val="0"/>
              <w:adjustRightInd w:val="0"/>
              <w:jc w:val="center"/>
              <w:rPr>
                <w:color w:val="000000"/>
              </w:rPr>
            </w:pPr>
            <w:r>
              <w:rPr>
                <w:color w:val="000000"/>
              </w:rPr>
              <w:t>42.45%</w:t>
            </w:r>
          </w:p>
        </w:tc>
        <w:tc>
          <w:tcPr>
            <w:tcW w:w="18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E40D56" w14:textId="77777777" w:rsidR="00FB2483" w:rsidRPr="00054B97" w:rsidRDefault="00FB2483" w:rsidP="009748C1">
            <w:pPr>
              <w:autoSpaceDE w:val="0"/>
              <w:autoSpaceDN w:val="0"/>
              <w:adjustRightInd w:val="0"/>
              <w:jc w:val="center"/>
              <w:rPr>
                <w:color w:val="000000"/>
              </w:rPr>
            </w:pPr>
            <w:r>
              <w:rPr>
                <w:color w:val="000000"/>
              </w:rPr>
              <w:t>1,602</w:t>
            </w:r>
          </w:p>
        </w:tc>
        <w:tc>
          <w:tcPr>
            <w:tcW w:w="18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E07BD9" w14:textId="77777777" w:rsidR="00FB2483" w:rsidRPr="00054B97" w:rsidRDefault="00FB2483" w:rsidP="009748C1">
            <w:pPr>
              <w:autoSpaceDE w:val="0"/>
              <w:autoSpaceDN w:val="0"/>
              <w:adjustRightInd w:val="0"/>
              <w:jc w:val="center"/>
              <w:rPr>
                <w:color w:val="000000"/>
              </w:rPr>
            </w:pPr>
            <w:r>
              <w:rPr>
                <w:color w:val="000000"/>
              </w:rPr>
              <w:t>680</w:t>
            </w:r>
          </w:p>
        </w:tc>
      </w:tr>
    </w:tbl>
    <w:p w14:paraId="6C179E04" w14:textId="77777777" w:rsidR="00FB2483" w:rsidRDefault="00FB2483" w:rsidP="00FB2483">
      <w:pPr>
        <w:pStyle w:val="EndnoteText"/>
        <w:spacing w:after="0"/>
        <w:rPr>
          <w:sz w:val="20"/>
        </w:rPr>
      </w:pPr>
    </w:p>
    <w:p w14:paraId="6115F17E" w14:textId="77777777" w:rsidR="00FB2483" w:rsidRDefault="00FB2483" w:rsidP="00FB2483">
      <w:pPr>
        <w:pStyle w:val="EndnoteText"/>
        <w:spacing w:after="0"/>
        <w:rPr>
          <w:sz w:val="20"/>
        </w:rPr>
      </w:pPr>
      <w:r>
        <w:rPr>
          <w:sz w:val="20"/>
        </w:rPr>
        <w:t xml:space="preserve">      </w:t>
      </w:r>
    </w:p>
    <w:p w14:paraId="21DE5A4C" w14:textId="77777777" w:rsidR="00FB2483" w:rsidRDefault="00FB2483" w:rsidP="00FB2483">
      <w:pPr>
        <w:rPr>
          <w:sz w:val="20"/>
        </w:rPr>
      </w:pPr>
      <w:r w:rsidRPr="0097473B">
        <w:rPr>
          <w:sz w:val="20"/>
        </w:rPr>
        <w:t xml:space="preserve">*CPR = Percent </w:t>
      </w:r>
      <w:r>
        <w:rPr>
          <w:sz w:val="20"/>
        </w:rPr>
        <w:t xml:space="preserve">of competitive </w:t>
      </w:r>
      <w:r w:rsidRPr="0097473B">
        <w:rPr>
          <w:sz w:val="20"/>
        </w:rPr>
        <w:t>penetration rate</w:t>
      </w:r>
      <w:r>
        <w:rPr>
          <w:sz w:val="20"/>
        </w:rPr>
        <w:t>.</w:t>
      </w:r>
    </w:p>
    <w:p w14:paraId="6A3AE22F" w14:textId="77777777" w:rsidR="00FB2483" w:rsidRDefault="00FB2483" w:rsidP="00FB2483">
      <w:pPr>
        <w:rPr>
          <w:sz w:val="20"/>
        </w:rPr>
      </w:pPr>
    </w:p>
    <w:p w14:paraId="70041756" w14:textId="77777777" w:rsidR="00FB2483" w:rsidRPr="00B77779" w:rsidRDefault="00FB2483" w:rsidP="00FB2483">
      <w:pPr>
        <w:rPr>
          <w:szCs w:val="22"/>
        </w:rPr>
      </w:pPr>
      <w:r>
        <w:rPr>
          <w:b/>
          <w:sz w:val="20"/>
        </w:rPr>
        <w:t xml:space="preserve"> </w:t>
      </w:r>
    </w:p>
    <w:p w14:paraId="68003E84" w14:textId="77777777" w:rsidR="00595360" w:rsidRDefault="00595360" w:rsidP="00FB2483">
      <w:pPr>
        <w:pStyle w:val="ParaNum"/>
        <w:numPr>
          <w:ilvl w:val="0"/>
          <w:numId w:val="0"/>
        </w:numPr>
        <w:jc w:val="center"/>
        <w:rPr>
          <w:sz w:val="20"/>
        </w:rPr>
      </w:pPr>
    </w:p>
    <w:sectPr w:rsidR="005953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210F8" w14:textId="77777777" w:rsidR="005A6112" w:rsidRDefault="005A6112">
      <w:r>
        <w:separator/>
      </w:r>
    </w:p>
  </w:endnote>
  <w:endnote w:type="continuationSeparator" w:id="0">
    <w:p w14:paraId="023F4894" w14:textId="77777777" w:rsidR="005A6112" w:rsidRDefault="005A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B1"/>
    <w:family w:val="auto"/>
    <w:notTrueType/>
    <w:pitch w:val="default"/>
    <w:sig w:usb0="00000803" w:usb1="00000000" w:usb2="00000000" w:usb3="00000000" w:csb0="0000002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AED40" w14:textId="77777777" w:rsidR="00DF7BAF" w:rsidRDefault="00DF7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932B" w14:textId="77777777" w:rsidR="00F90BE8" w:rsidRDefault="00595360">
    <w:pPr>
      <w:pStyle w:val="Footer"/>
      <w:jc w:val="center"/>
    </w:pPr>
    <w:r>
      <w:rPr>
        <w:rStyle w:val="PageNumber"/>
      </w:rPr>
      <w:fldChar w:fldCharType="begin"/>
    </w:r>
    <w:r>
      <w:rPr>
        <w:rStyle w:val="PageNumber"/>
      </w:rPr>
      <w:instrText xml:space="preserve"> PAGE </w:instrText>
    </w:r>
    <w:r>
      <w:rPr>
        <w:rStyle w:val="PageNumber"/>
      </w:rPr>
      <w:fldChar w:fldCharType="separate"/>
    </w:r>
    <w:r w:rsidR="00C26EB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D41A7" w14:textId="77777777" w:rsidR="00DF7BAF" w:rsidRDefault="00DF7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B9A86" w14:textId="77777777" w:rsidR="005A6112" w:rsidRDefault="005A6112">
      <w:pPr>
        <w:rPr>
          <w:sz w:val="20"/>
        </w:rPr>
      </w:pPr>
      <w:r>
        <w:rPr>
          <w:sz w:val="20"/>
        </w:rPr>
        <w:separator/>
      </w:r>
    </w:p>
  </w:footnote>
  <w:footnote w:type="continuationSeparator" w:id="0">
    <w:p w14:paraId="5A239629" w14:textId="77777777" w:rsidR="005A6112" w:rsidRDefault="005A6112">
      <w:pPr>
        <w:rPr>
          <w:sz w:val="20"/>
        </w:rPr>
      </w:pPr>
      <w:r>
        <w:rPr>
          <w:sz w:val="20"/>
        </w:rPr>
        <w:separator/>
      </w:r>
    </w:p>
    <w:p w14:paraId="224475FE" w14:textId="77777777" w:rsidR="005A6112" w:rsidRDefault="005A6112">
      <w:pPr>
        <w:rPr>
          <w:sz w:val="20"/>
        </w:rPr>
      </w:pPr>
      <w:r>
        <w:rPr>
          <w:sz w:val="20"/>
        </w:rPr>
        <w:t>(...continued from previous page)</w:t>
      </w:r>
    </w:p>
  </w:footnote>
  <w:footnote w:type="continuationNotice" w:id="1">
    <w:p w14:paraId="45340E53" w14:textId="77777777" w:rsidR="005A6112" w:rsidRDefault="005A6112">
      <w:pPr>
        <w:jc w:val="right"/>
        <w:rPr>
          <w:sz w:val="20"/>
        </w:rPr>
      </w:pPr>
      <w:r>
        <w:rPr>
          <w:sz w:val="20"/>
        </w:rPr>
        <w:t>(continued....)</w:t>
      </w:r>
    </w:p>
  </w:footnote>
  <w:footnote w:id="2">
    <w:p w14:paraId="34D1103D" w14:textId="77777777" w:rsidR="00F90BE8" w:rsidRDefault="00595360" w:rsidP="008F18A6">
      <w:pPr>
        <w:pStyle w:val="FootnoteText"/>
        <w:jc w:val="left"/>
      </w:pPr>
      <w:r>
        <w:rPr>
          <w:rStyle w:val="FootnoteReference"/>
        </w:rPr>
        <w:footnoteRef/>
      </w:r>
      <w:r>
        <w:rPr>
          <w:i/>
        </w:rPr>
        <w:t xml:space="preserve"> See</w:t>
      </w:r>
      <w:r>
        <w:t xml:space="preserve"> 47 U.S.C. § 543(l)(1)(B).</w:t>
      </w:r>
    </w:p>
  </w:footnote>
  <w:footnote w:id="3">
    <w:p w14:paraId="5368C2C2" w14:textId="77777777" w:rsidR="00F90BE8" w:rsidRDefault="00595360" w:rsidP="008F18A6">
      <w:pPr>
        <w:pStyle w:val="FootnoteText"/>
        <w:jc w:val="left"/>
      </w:pPr>
      <w:r>
        <w:rPr>
          <w:rStyle w:val="FootnoteReference"/>
        </w:rPr>
        <w:footnoteRef/>
      </w:r>
      <w:r>
        <w:t xml:space="preserve"> 47 C.F.R. § 76.905(b)(2).</w:t>
      </w:r>
    </w:p>
  </w:footnote>
  <w:footnote w:id="4">
    <w:p w14:paraId="74CD95A0" w14:textId="68DF1E0F" w:rsidR="006D5AF8" w:rsidRPr="008F32AC" w:rsidRDefault="006D5AF8" w:rsidP="006D5AF8">
      <w:pPr>
        <w:pStyle w:val="FootnoteText"/>
      </w:pPr>
      <w:r>
        <w:rPr>
          <w:rStyle w:val="FootnoteReference"/>
        </w:rPr>
        <w:footnoteRef/>
      </w:r>
      <w:r>
        <w:t xml:space="preserve"> </w:t>
      </w:r>
      <w:r w:rsidR="00DC056E">
        <w:rPr>
          <w:i/>
        </w:rPr>
        <w:t xml:space="preserve">See </w:t>
      </w:r>
      <w:r w:rsidR="00DC056E" w:rsidRPr="008F32AC">
        <w:rPr>
          <w:i/>
        </w:rPr>
        <w:t>infra</w:t>
      </w:r>
      <w:r w:rsidR="00DC056E">
        <w:t xml:space="preserve"> note 15. </w:t>
      </w:r>
    </w:p>
  </w:footnote>
  <w:footnote w:id="5">
    <w:p w14:paraId="418B2B38" w14:textId="77777777" w:rsidR="008E7EC6" w:rsidRDefault="008E7EC6" w:rsidP="008F18A6">
      <w:pPr>
        <w:pStyle w:val="FootnoteText"/>
      </w:pPr>
      <w:r>
        <w:rPr>
          <w:rStyle w:val="FootnoteReference"/>
        </w:rPr>
        <w:footnoteRef/>
      </w:r>
      <w:r>
        <w:t xml:space="preserve"> </w:t>
      </w:r>
      <w:r w:rsidRPr="008C0B9E">
        <w:rPr>
          <w:i/>
        </w:rPr>
        <w:t>See</w:t>
      </w:r>
      <w:r>
        <w:t xml:space="preserve"> 47 U.S.C. § 543(l)(1)(D).</w:t>
      </w:r>
    </w:p>
  </w:footnote>
  <w:footnote w:id="6">
    <w:p w14:paraId="1305E0EF" w14:textId="77777777" w:rsidR="008E7EC6" w:rsidRDefault="008E7EC6" w:rsidP="008F18A6">
      <w:pPr>
        <w:pStyle w:val="FootnoteText"/>
      </w:pPr>
      <w:r>
        <w:rPr>
          <w:rStyle w:val="FootnoteReference"/>
        </w:rPr>
        <w:footnoteRef/>
      </w:r>
      <w:r>
        <w:t xml:space="preserve"> 47 C.F.R. § 76.905(b)(4).</w:t>
      </w:r>
    </w:p>
  </w:footnote>
  <w:footnote w:id="7">
    <w:p w14:paraId="6392DF47" w14:textId="77777777" w:rsidR="00F90BE8" w:rsidRDefault="00595360" w:rsidP="00997560">
      <w:pPr>
        <w:pStyle w:val="FootnoteText"/>
        <w:jc w:val="left"/>
      </w:pPr>
      <w:r>
        <w:rPr>
          <w:rStyle w:val="FootnoteReference"/>
        </w:rPr>
        <w:footnoteRef/>
      </w:r>
      <w:r>
        <w:t xml:space="preserve"> </w:t>
      </w:r>
      <w:r>
        <w:rPr>
          <w:i/>
          <w:spacing w:val="-2"/>
        </w:rPr>
        <w:t>See Amendment to the Commission’s Rules Concerning Effective Competition; Implementation of Section 111 of the STELA Reauthorization Act</w:t>
      </w:r>
      <w:r>
        <w:rPr>
          <w:spacing w:val="-2"/>
        </w:rPr>
        <w:t>, Report and Order, 30 FCC Rcd 6574 (2015) (“</w:t>
      </w:r>
      <w:r>
        <w:rPr>
          <w:i/>
          <w:spacing w:val="-2"/>
        </w:rPr>
        <w:t>Effective Competition Order</w:t>
      </w:r>
      <w:r>
        <w:rPr>
          <w:spacing w:val="-2"/>
        </w:rPr>
        <w:t>”).</w:t>
      </w:r>
    </w:p>
  </w:footnote>
  <w:footnote w:id="8">
    <w:p w14:paraId="148C9850" w14:textId="77777777" w:rsidR="00F90BE8" w:rsidRDefault="00595360" w:rsidP="00D73D52">
      <w:pPr>
        <w:pStyle w:val="FootnoteText"/>
        <w:tabs>
          <w:tab w:val="left" w:pos="-720"/>
        </w:tabs>
        <w:jc w:val="left"/>
        <w:rPr>
          <w:spacing w:val="-2"/>
        </w:rPr>
      </w:pPr>
      <w:r>
        <w:rPr>
          <w:rStyle w:val="FootnoteReference"/>
          <w:spacing w:val="-2"/>
        </w:rPr>
        <w:footnoteRef/>
      </w:r>
      <w:r>
        <w:rPr>
          <w:i/>
          <w:spacing w:val="-2"/>
        </w:rPr>
        <w:t xml:space="preserve"> See</w:t>
      </w:r>
      <w:r>
        <w:rPr>
          <w:spacing w:val="-2"/>
        </w:rPr>
        <w:t xml:space="preserve"> 47 U.S.C. § 543(l)(1); 47 C.F.R. §§ 76.905(b), 76.906.</w:t>
      </w:r>
    </w:p>
  </w:footnote>
  <w:footnote w:id="9">
    <w:p w14:paraId="70BBEFA7" w14:textId="77777777" w:rsidR="00F90BE8" w:rsidRDefault="00595360" w:rsidP="00D73D52">
      <w:pPr>
        <w:pStyle w:val="FootnoteText"/>
        <w:jc w:val="left"/>
        <w:rPr>
          <w:i/>
        </w:rPr>
      </w:pPr>
      <w:r>
        <w:rPr>
          <w:rStyle w:val="FootnoteReference"/>
        </w:rPr>
        <w:footnoteRef/>
      </w:r>
      <w:r w:rsidR="00847D71">
        <w:t xml:space="preserve"> 47 U.S.C. § 543(l</w:t>
      </w:r>
      <w:r>
        <w:t xml:space="preserve">)(1)(B); </w:t>
      </w:r>
      <w:r>
        <w:rPr>
          <w:i/>
        </w:rPr>
        <w:t>see</w:t>
      </w:r>
      <w:r>
        <w:t xml:space="preserve"> </w:t>
      </w:r>
      <w:r>
        <w:rPr>
          <w:i/>
        </w:rPr>
        <w:t>also</w:t>
      </w:r>
      <w:r>
        <w:t xml:space="preserve"> 47 C.F.R. § 76.905(b)(2).</w:t>
      </w:r>
    </w:p>
  </w:footnote>
  <w:footnote w:id="10">
    <w:p w14:paraId="74E5DB84" w14:textId="77777777" w:rsidR="00F90BE8" w:rsidRDefault="00595360" w:rsidP="00997560">
      <w:pPr>
        <w:pStyle w:val="FootnoteText"/>
        <w:jc w:val="left"/>
      </w:pPr>
      <w:r>
        <w:rPr>
          <w:rStyle w:val="FootnoteReference"/>
        </w:rPr>
        <w:footnoteRef/>
      </w:r>
      <w:r>
        <w:t xml:space="preserve"> 47 C.F.R. § 76.905(b)(2)(i).</w:t>
      </w:r>
    </w:p>
  </w:footnote>
  <w:footnote w:id="11">
    <w:p w14:paraId="31234EEA" w14:textId="77777777" w:rsidR="00F90BE8" w:rsidRDefault="00595360" w:rsidP="00E37622">
      <w:pPr>
        <w:pStyle w:val="FootnoteText"/>
        <w:jc w:val="left"/>
      </w:pPr>
      <w:r>
        <w:rPr>
          <w:rStyle w:val="FootnoteReference"/>
        </w:rPr>
        <w:footnoteRef/>
      </w:r>
      <w:r>
        <w:t xml:space="preserve"> </w:t>
      </w:r>
      <w:r>
        <w:rPr>
          <w:i/>
        </w:rPr>
        <w:t>Effective Competition Order</w:t>
      </w:r>
      <w:r>
        <w:t>, 30 FCC Rcd at 6580-81, ¶ 8.</w:t>
      </w:r>
    </w:p>
  </w:footnote>
  <w:footnote w:id="12">
    <w:p w14:paraId="32973981" w14:textId="77777777" w:rsidR="00F90BE8" w:rsidRDefault="00595360" w:rsidP="00A372B4">
      <w:pPr>
        <w:pStyle w:val="FootnoteText"/>
        <w:jc w:val="left"/>
      </w:pPr>
      <w:r>
        <w:rPr>
          <w:rStyle w:val="FootnoteReference"/>
        </w:rPr>
        <w:footnoteRef/>
      </w:r>
      <w:r>
        <w:t xml:space="preserve"> 47 C.F.R. § 76.905(b)(2)(ii).</w:t>
      </w:r>
    </w:p>
  </w:footnote>
  <w:footnote w:id="13">
    <w:p w14:paraId="6E85E32D" w14:textId="77777777" w:rsidR="00F90BE8" w:rsidRDefault="00595360" w:rsidP="00A8752E">
      <w:pPr>
        <w:pStyle w:val="FootnoteText"/>
        <w:jc w:val="left"/>
      </w:pPr>
      <w:r>
        <w:rPr>
          <w:rStyle w:val="FootnoteReference"/>
        </w:rPr>
        <w:footnoteRef/>
      </w:r>
      <w:r>
        <w:t xml:space="preserve"> </w:t>
      </w:r>
      <w:r>
        <w:rPr>
          <w:i/>
        </w:rPr>
        <w:t>Effective Competition Order</w:t>
      </w:r>
      <w:r>
        <w:t>, 30 FCC Rcd at 6581-82, ¶ 9.</w:t>
      </w:r>
    </w:p>
  </w:footnote>
  <w:footnote w:id="14">
    <w:p w14:paraId="7C6BB59A" w14:textId="6C145920" w:rsidR="00A372B4" w:rsidRPr="00A372B4" w:rsidRDefault="00A372B4">
      <w:pPr>
        <w:pStyle w:val="FootnoteText"/>
      </w:pPr>
      <w:r>
        <w:rPr>
          <w:rStyle w:val="FootnoteReference"/>
        </w:rPr>
        <w:footnoteRef/>
      </w:r>
      <w:r>
        <w:t xml:space="preserve"> </w:t>
      </w:r>
      <w:r>
        <w:rPr>
          <w:i/>
        </w:rPr>
        <w:t xml:space="preserve">See </w:t>
      </w:r>
      <w:r w:rsidR="00D73D52">
        <w:t>Opposition</w:t>
      </w:r>
      <w:r w:rsidR="00D73D52" w:rsidRPr="00131EAF" w:rsidDel="00131EAF">
        <w:t xml:space="preserve"> </w:t>
      </w:r>
      <w:r w:rsidR="00D73D52" w:rsidRPr="00131EAF">
        <w:t>at</w:t>
      </w:r>
      <w:r w:rsidRPr="00131EAF">
        <w:t xml:space="preserve"> </w:t>
      </w:r>
      <w:r w:rsidR="00131EAF" w:rsidRPr="00D73D52">
        <w:t>3-6.</w:t>
      </w:r>
    </w:p>
  </w:footnote>
  <w:footnote w:id="15">
    <w:p w14:paraId="216922F8" w14:textId="197DC1B9" w:rsidR="00FE39FC" w:rsidRPr="00BA650F" w:rsidRDefault="00FE39FC" w:rsidP="00D73D52">
      <w:pPr>
        <w:pStyle w:val="FootnoteText"/>
        <w:jc w:val="left"/>
      </w:pPr>
      <w:r>
        <w:rPr>
          <w:rStyle w:val="FootnoteReference"/>
        </w:rPr>
        <w:footnoteRef/>
      </w:r>
      <w:r>
        <w:t xml:space="preserve"> </w:t>
      </w:r>
      <w:r w:rsidR="00131EAF" w:rsidRPr="00D73D52">
        <w:rPr>
          <w:i/>
        </w:rPr>
        <w:t>Id.</w:t>
      </w:r>
      <w:r w:rsidR="00131EAF">
        <w:t xml:space="preserve"> </w:t>
      </w:r>
      <w:r>
        <w:t>at 2-7.</w:t>
      </w:r>
    </w:p>
  </w:footnote>
  <w:footnote w:id="16">
    <w:p w14:paraId="596F540A" w14:textId="126FA367" w:rsidR="00FE39FC" w:rsidRPr="00817E0D" w:rsidRDefault="00FE39FC" w:rsidP="00D73D52">
      <w:pPr>
        <w:pStyle w:val="FootnoteText"/>
        <w:jc w:val="left"/>
      </w:pPr>
      <w:r>
        <w:rPr>
          <w:rStyle w:val="FootnoteReference"/>
        </w:rPr>
        <w:footnoteRef/>
      </w:r>
      <w:r>
        <w:t xml:space="preserve"> </w:t>
      </w:r>
      <w:r>
        <w:rPr>
          <w:i/>
        </w:rPr>
        <w:t>Id.</w:t>
      </w:r>
      <w:r>
        <w:t xml:space="preserve"> at 7.</w:t>
      </w:r>
      <w:r w:rsidR="00197647">
        <w:t xml:space="preserve">  Mon</w:t>
      </w:r>
      <w:r w:rsidR="005835C4">
        <w:t>tgomery County filed a Surreply</w:t>
      </w:r>
      <w:r w:rsidR="00197647">
        <w:t xml:space="preserve"> </w:t>
      </w:r>
      <w:r w:rsidR="005835C4">
        <w:t>to address the Commission’s discretion regarding whether DBS should be included in the competing provider effective competition test.  Surreply at</w:t>
      </w:r>
      <w:r w:rsidR="00BB6E3D">
        <w:t xml:space="preserve"> 1-2</w:t>
      </w:r>
      <w:r w:rsidR="005835C4">
        <w:t xml:space="preserve">.  Montgomery County claimed that the Surreply was needed </w:t>
      </w:r>
      <w:r w:rsidR="005835C4" w:rsidRPr="00503D51">
        <w:t>because Petitioner raised this new issue in its Reply.  Surreply at 1 (citing Reply at 3).</w:t>
      </w:r>
      <w:r w:rsidR="005835C4" w:rsidRPr="00817E0D">
        <w:t xml:space="preserve">  We find that this was not a new issue Petitioner raised in its </w:t>
      </w:r>
      <w:r w:rsidR="00BD02AE" w:rsidRPr="00817E0D">
        <w:t>R</w:t>
      </w:r>
      <w:r w:rsidR="005835C4" w:rsidRPr="00817E0D">
        <w:t xml:space="preserve">eply, but rather, Petitioner was properly responding to Montgomery County’s arguments in its Opposition that DBS operators alone do not provide effective competition to cable operators.  </w:t>
      </w:r>
      <w:r w:rsidR="00BD02AE" w:rsidRPr="00817E0D">
        <w:rPr>
          <w:i/>
        </w:rPr>
        <w:t xml:space="preserve">See </w:t>
      </w:r>
      <w:r w:rsidR="005835C4" w:rsidRPr="00817E0D">
        <w:t>Opposition at 4, 7.  Therefore, we deny the request for leave to file the Surreply.  Nonetheless, we reach the merits of this issue as it was properly raised in Montgomery County’s Opposition and Petitioner’s Reply, as discussed herein.</w:t>
      </w:r>
    </w:p>
  </w:footnote>
  <w:footnote w:id="17">
    <w:p w14:paraId="100606AE" w14:textId="381E2CE9" w:rsidR="00A8752E" w:rsidRPr="00817E0D" w:rsidRDefault="00A8752E" w:rsidP="00D73D52">
      <w:pPr>
        <w:pStyle w:val="FootnoteText"/>
        <w:jc w:val="left"/>
      </w:pPr>
      <w:r w:rsidRPr="00503D51">
        <w:rPr>
          <w:rStyle w:val="FootnoteReference"/>
        </w:rPr>
        <w:footnoteRef/>
      </w:r>
      <w:r w:rsidRPr="00503D51">
        <w:t xml:space="preserve"> </w:t>
      </w:r>
      <w:r w:rsidRPr="00503D51">
        <w:rPr>
          <w:i/>
        </w:rPr>
        <w:t xml:space="preserve">See </w:t>
      </w:r>
      <w:r w:rsidRPr="00817E0D">
        <w:t xml:space="preserve">Reply at </w:t>
      </w:r>
      <w:r w:rsidR="00D73D52" w:rsidRPr="0059427E">
        <w:t>2.</w:t>
      </w:r>
      <w:r w:rsidR="00D73D52">
        <w:rPr>
          <w:b/>
        </w:rPr>
        <w:t xml:space="preserve"> </w:t>
      </w:r>
      <w:r w:rsidR="00BD1882">
        <w:rPr>
          <w:b/>
        </w:rPr>
        <w:t xml:space="preserve"> </w:t>
      </w:r>
      <w:r w:rsidR="005835C4" w:rsidRPr="00817E0D">
        <w:rPr>
          <w:i/>
        </w:rPr>
        <w:t xml:space="preserve">See also </w:t>
      </w:r>
      <w:r w:rsidR="005835C4" w:rsidRPr="00817E0D">
        <w:t>47 U.S.C. § 522(13) (defini</w:t>
      </w:r>
      <w:r w:rsidR="00BD02AE" w:rsidRPr="00817E0D">
        <w:t>ng an</w:t>
      </w:r>
      <w:r w:rsidR="005835C4" w:rsidRPr="00817E0D">
        <w:t xml:space="preserve"> MVPD</w:t>
      </w:r>
      <w:r w:rsidR="00BD02AE" w:rsidRPr="00817E0D">
        <w:t xml:space="preserve"> to include a DBS provider</w:t>
      </w:r>
      <w:r w:rsidR="005835C4" w:rsidRPr="00817E0D">
        <w:t>).</w:t>
      </w:r>
    </w:p>
  </w:footnote>
  <w:footnote w:id="18">
    <w:p w14:paraId="6C594939" w14:textId="77471B74" w:rsidR="00A8752E" w:rsidRPr="00817E0D" w:rsidRDefault="00A8752E" w:rsidP="00D73D52">
      <w:pPr>
        <w:pStyle w:val="FootnoteText"/>
        <w:jc w:val="left"/>
      </w:pPr>
      <w:r w:rsidRPr="00503D51">
        <w:rPr>
          <w:rStyle w:val="FootnoteReference"/>
        </w:rPr>
        <w:footnoteRef/>
      </w:r>
      <w:r w:rsidRPr="00503D51">
        <w:t xml:space="preserve"> </w:t>
      </w:r>
      <w:r w:rsidRPr="00503D51">
        <w:rPr>
          <w:i/>
        </w:rPr>
        <w:t>See Implementation of Sections of the Cable Television Consumer Protection</w:t>
      </w:r>
      <w:r w:rsidRPr="00817E0D">
        <w:rPr>
          <w:i/>
        </w:rPr>
        <w:t xml:space="preserve"> and Competition Act of 1992: Rate Regulation</w:t>
      </w:r>
      <w:r w:rsidRPr="00817E0D">
        <w:t xml:space="preserve">, </w:t>
      </w:r>
      <w:r w:rsidR="00BD02AE" w:rsidRPr="00817E0D">
        <w:t xml:space="preserve">Report and Order and Further Notice of Proposed Rulemaking, </w:t>
      </w:r>
      <w:r w:rsidRPr="00817E0D">
        <w:t xml:space="preserve">8 FCC Rcd 5631, 5636 at ¶ 2 (1993); </w:t>
      </w:r>
      <w:r w:rsidRPr="00817E0D">
        <w:rPr>
          <w:i/>
        </w:rPr>
        <w:t>see</w:t>
      </w:r>
      <w:r w:rsidRPr="00817E0D">
        <w:t xml:space="preserve"> H.R. Rep. No. 102-628, at 30 (1992) (Congress “strongly prefers competition and the development of a competitive marketplace to [rate] regulation.”).</w:t>
      </w:r>
    </w:p>
  </w:footnote>
  <w:footnote w:id="19">
    <w:p w14:paraId="24883E66" w14:textId="4BBAF362" w:rsidR="00A8752E" w:rsidRPr="00817E0D" w:rsidRDefault="00A8752E">
      <w:pPr>
        <w:pStyle w:val="FootnoteText"/>
      </w:pPr>
      <w:r w:rsidRPr="00503D51">
        <w:rPr>
          <w:rStyle w:val="FootnoteReference"/>
        </w:rPr>
        <w:footnoteRef/>
      </w:r>
      <w:r w:rsidRPr="00503D51">
        <w:t xml:space="preserve"> </w:t>
      </w:r>
      <w:r w:rsidRPr="00817E0D">
        <w:rPr>
          <w:i/>
        </w:rPr>
        <w:t xml:space="preserve">See </w:t>
      </w:r>
      <w:r w:rsidR="00963D89">
        <w:t>Opposition</w:t>
      </w:r>
      <w:r w:rsidRPr="00817E0D">
        <w:t xml:space="preserve"> at</w:t>
      </w:r>
      <w:r w:rsidR="00963D89">
        <w:t xml:space="preserve"> 7-8.</w:t>
      </w:r>
    </w:p>
  </w:footnote>
  <w:footnote w:id="20">
    <w:p w14:paraId="257C1B1D" w14:textId="5E17C55A" w:rsidR="00DB1D6B" w:rsidRPr="00817E0D" w:rsidRDefault="00DB1D6B" w:rsidP="00D73D52">
      <w:pPr>
        <w:pStyle w:val="FootnoteText"/>
        <w:jc w:val="left"/>
      </w:pPr>
      <w:r w:rsidRPr="00503D51">
        <w:rPr>
          <w:rStyle w:val="FootnoteReference"/>
        </w:rPr>
        <w:footnoteRef/>
      </w:r>
      <w:r w:rsidRPr="00503D51">
        <w:t xml:space="preserve"> </w:t>
      </w:r>
      <w:r w:rsidRPr="00503D51">
        <w:rPr>
          <w:i/>
        </w:rPr>
        <w:t xml:space="preserve">Comcast Cable </w:t>
      </w:r>
      <w:r w:rsidRPr="00817E0D">
        <w:rPr>
          <w:i/>
        </w:rPr>
        <w:t>Communications, LLC Six Petitions for Determination of Effective Competition in Forty-Two Local Franchise Areas in Texas</w:t>
      </w:r>
      <w:r w:rsidRPr="00817E0D">
        <w:t xml:space="preserve">, </w:t>
      </w:r>
      <w:r w:rsidR="00BD02AE" w:rsidRPr="00817E0D">
        <w:t xml:space="preserve">Memorandum Opinion and Order, </w:t>
      </w:r>
      <w:r w:rsidRPr="00817E0D">
        <w:t>20 FCC Rcd 20438, ¶ 5 (2005).</w:t>
      </w:r>
    </w:p>
  </w:footnote>
  <w:footnote w:id="21">
    <w:p w14:paraId="140C9782" w14:textId="6DB0365D" w:rsidR="00817E0D" w:rsidRPr="00503D51" w:rsidRDefault="00817E0D">
      <w:pPr>
        <w:pStyle w:val="FootnoteText"/>
      </w:pPr>
      <w:r w:rsidRPr="00503D51">
        <w:rPr>
          <w:rStyle w:val="FootnoteReference"/>
        </w:rPr>
        <w:footnoteRef/>
      </w:r>
      <w:r w:rsidRPr="00503D51">
        <w:t xml:space="preserve"> </w:t>
      </w:r>
      <w:r w:rsidRPr="00D73D52">
        <w:t xml:space="preserve">47 U.S.C. </w:t>
      </w:r>
      <w:r w:rsidRPr="00D73D52">
        <w:rPr>
          <w:rFonts w:hint="eastAsia"/>
        </w:rPr>
        <w:t>§</w:t>
      </w:r>
      <w:r w:rsidRPr="00D73D52">
        <w:t xml:space="preserve"> 543(1)(1)(D); </w:t>
      </w:r>
      <w:r w:rsidRPr="00D73D52">
        <w:rPr>
          <w:i/>
          <w:iCs/>
        </w:rPr>
        <w:t xml:space="preserve">see also </w:t>
      </w:r>
      <w:r w:rsidRPr="00D73D52">
        <w:t xml:space="preserve">47 C.F.R. </w:t>
      </w:r>
      <w:r w:rsidRPr="00D73D52">
        <w:rPr>
          <w:rFonts w:hint="eastAsia"/>
        </w:rPr>
        <w:t>§</w:t>
      </w:r>
      <w:r w:rsidRPr="00D73D52">
        <w:t xml:space="preserve"> 76.905(b)(4).</w:t>
      </w:r>
    </w:p>
  </w:footnote>
  <w:footnote w:id="22">
    <w:p w14:paraId="6853EAD7" w14:textId="68BFC6FB" w:rsidR="00817E0D" w:rsidRPr="00D73D52" w:rsidRDefault="00817E0D" w:rsidP="00817E0D">
      <w:pPr>
        <w:autoSpaceDE w:val="0"/>
        <w:autoSpaceDN w:val="0"/>
        <w:adjustRightInd w:val="0"/>
        <w:rPr>
          <w:sz w:val="20"/>
        </w:rPr>
      </w:pPr>
      <w:r w:rsidRPr="00503D51">
        <w:rPr>
          <w:rStyle w:val="FootnoteReference"/>
        </w:rPr>
        <w:footnoteRef/>
      </w:r>
      <w:r w:rsidRPr="00503D51">
        <w:t xml:space="preserve"> </w:t>
      </w:r>
      <w:r w:rsidRPr="00D73D52">
        <w:rPr>
          <w:i/>
          <w:iCs/>
          <w:sz w:val="20"/>
        </w:rPr>
        <w:t>See Implementation of Cable Act Reform Provisions of the Telecommunications Act of 1996</w:t>
      </w:r>
      <w:r w:rsidRPr="00D73D52">
        <w:rPr>
          <w:sz w:val="20"/>
        </w:rPr>
        <w:t>, 14 FCC Rcd 5296, 5305 (1999) (</w:t>
      </w:r>
      <w:r w:rsidRPr="00D73D52">
        <w:rPr>
          <w:rFonts w:hint="eastAsia"/>
          <w:sz w:val="20"/>
        </w:rPr>
        <w:t>“</w:t>
      </w:r>
      <w:r w:rsidRPr="00D73D52">
        <w:rPr>
          <w:i/>
          <w:iCs/>
          <w:sz w:val="20"/>
        </w:rPr>
        <w:t>Cable Reform Order</w:t>
      </w:r>
      <w:r w:rsidRPr="00D73D52">
        <w:rPr>
          <w:rFonts w:hint="eastAsia"/>
          <w:sz w:val="20"/>
        </w:rPr>
        <w:t>”</w:t>
      </w:r>
      <w:r w:rsidRPr="00D73D52">
        <w:rPr>
          <w:sz w:val="20"/>
        </w:rPr>
        <w:t>). The incumbent also must show that the LEC intends to build-out its cable system within a reasonable period of time if it has not already done so, that no regulatory, technical or other</w:t>
      </w:r>
    </w:p>
    <w:p w14:paraId="7665173D" w14:textId="77777777" w:rsidR="00817E0D" w:rsidRPr="00D73D52" w:rsidRDefault="00817E0D" w:rsidP="00817E0D">
      <w:pPr>
        <w:autoSpaceDE w:val="0"/>
        <w:autoSpaceDN w:val="0"/>
        <w:adjustRightInd w:val="0"/>
        <w:rPr>
          <w:sz w:val="20"/>
        </w:rPr>
      </w:pPr>
      <w:r w:rsidRPr="00D73D52">
        <w:rPr>
          <w:sz w:val="20"/>
        </w:rPr>
        <w:t>impediments to household service exist, that the LEC is marketing its services so that potential customers are aware</w:t>
      </w:r>
    </w:p>
    <w:p w14:paraId="1F3976E6" w14:textId="77777777" w:rsidR="00817E0D" w:rsidRPr="00D73D52" w:rsidRDefault="00817E0D" w:rsidP="00817E0D">
      <w:pPr>
        <w:autoSpaceDE w:val="0"/>
        <w:autoSpaceDN w:val="0"/>
        <w:adjustRightInd w:val="0"/>
        <w:rPr>
          <w:sz w:val="20"/>
        </w:rPr>
      </w:pPr>
      <w:r w:rsidRPr="00D73D52">
        <w:rPr>
          <w:sz w:val="20"/>
        </w:rPr>
        <w:t>that the LEC</w:t>
      </w:r>
      <w:r w:rsidRPr="00D73D52">
        <w:rPr>
          <w:rFonts w:hint="eastAsia"/>
          <w:sz w:val="20"/>
        </w:rPr>
        <w:t>’</w:t>
      </w:r>
      <w:r w:rsidRPr="00D73D52">
        <w:rPr>
          <w:sz w:val="20"/>
        </w:rPr>
        <w:t>s services may be purchased, that the LEC has actually begun to provide services, the extent of such</w:t>
      </w:r>
    </w:p>
    <w:p w14:paraId="7A931338" w14:textId="77777777" w:rsidR="00817E0D" w:rsidRPr="00D73D52" w:rsidRDefault="00817E0D" w:rsidP="00817E0D">
      <w:pPr>
        <w:autoSpaceDE w:val="0"/>
        <w:autoSpaceDN w:val="0"/>
        <w:adjustRightInd w:val="0"/>
        <w:rPr>
          <w:sz w:val="20"/>
        </w:rPr>
      </w:pPr>
      <w:r w:rsidRPr="00D73D52">
        <w:rPr>
          <w:sz w:val="20"/>
        </w:rPr>
        <w:t>services, the ease with which service may be expanded, and the expected date for completion of construction in the</w:t>
      </w:r>
    </w:p>
    <w:p w14:paraId="4F142397" w14:textId="775537FD" w:rsidR="00817E0D" w:rsidRDefault="00817E0D" w:rsidP="00817E0D">
      <w:pPr>
        <w:pStyle w:val="FootnoteText"/>
      </w:pPr>
      <w:r w:rsidRPr="00D73D52">
        <w:t xml:space="preserve">franchise area. </w:t>
      </w:r>
      <w:r w:rsidRPr="00D73D52">
        <w:rPr>
          <w:i/>
          <w:iCs/>
        </w:rPr>
        <w:t>Id</w:t>
      </w:r>
      <w:r w:rsidRPr="00D73D52">
        <w:t>. at 5305.</w:t>
      </w:r>
    </w:p>
  </w:footnote>
  <w:footnote w:id="23">
    <w:p w14:paraId="52A7F3DB" w14:textId="4CD7849E" w:rsidR="00D73D52" w:rsidRPr="00D73D52" w:rsidRDefault="00D73D52">
      <w:pPr>
        <w:pStyle w:val="FootnoteText"/>
      </w:pPr>
      <w:r>
        <w:rPr>
          <w:rStyle w:val="FootnoteReference"/>
        </w:rPr>
        <w:footnoteRef/>
      </w:r>
      <w:r>
        <w:t xml:space="preserve"> </w:t>
      </w:r>
      <w:r>
        <w:rPr>
          <w:i/>
        </w:rPr>
        <w:t xml:space="preserve">See </w:t>
      </w:r>
      <w:r>
        <w:t>Petition at 12-15</w:t>
      </w:r>
      <w:r w:rsidR="00BD1882">
        <w:t>.</w:t>
      </w:r>
    </w:p>
  </w:footnote>
  <w:footnote w:id="24">
    <w:p w14:paraId="4A4310CA" w14:textId="2B43A391" w:rsidR="00BF42C7" w:rsidRPr="00503D51" w:rsidRDefault="00BF42C7">
      <w:pPr>
        <w:pStyle w:val="FootnoteText"/>
      </w:pPr>
      <w:r w:rsidRPr="00503D51">
        <w:rPr>
          <w:rStyle w:val="FootnoteReference"/>
        </w:rPr>
        <w:footnoteRef/>
      </w:r>
      <w:r w:rsidRPr="00503D51">
        <w:t xml:space="preserve"> </w:t>
      </w:r>
      <w:r w:rsidRPr="00D73D52">
        <w:rPr>
          <w:i/>
          <w:iCs/>
        </w:rPr>
        <w:t>See Cable Reform Order</w:t>
      </w:r>
      <w:r w:rsidRPr="00D73D52">
        <w:t xml:space="preserve">, 14 FCC Rcd at 5305-06, </w:t>
      </w:r>
      <w:r w:rsidRPr="00D73D52">
        <w:rPr>
          <w:rFonts w:hint="eastAsia"/>
        </w:rPr>
        <w:t>¶¶</w:t>
      </w:r>
      <w:r w:rsidRPr="00D73D52">
        <w:t xml:space="preserve"> 13-15. </w:t>
      </w:r>
      <w:r w:rsidR="0056148F">
        <w:t xml:space="preserve"> </w:t>
      </w:r>
      <w:r w:rsidRPr="00D73D52">
        <w:rPr>
          <w:i/>
          <w:iCs/>
        </w:rPr>
        <w:t xml:space="preserve">See </w:t>
      </w:r>
      <w:r w:rsidR="00D73D52" w:rsidRPr="008F32AC">
        <w:rPr>
          <w:i/>
        </w:rPr>
        <w:t>also</w:t>
      </w:r>
      <w:r w:rsidR="00D73D52" w:rsidRPr="00D73D52">
        <w:t xml:space="preserve"> Petition at 12-1</w:t>
      </w:r>
      <w:r w:rsidR="004708B1">
        <w:t>6</w:t>
      </w:r>
      <w:r w:rsidRPr="00D73D52">
        <w:t>.</w:t>
      </w:r>
    </w:p>
  </w:footnote>
  <w:footnote w:id="25">
    <w:p w14:paraId="57ED966B" w14:textId="44D7B3A7" w:rsidR="006F63E5" w:rsidRPr="006F63E5" w:rsidRDefault="006F63E5">
      <w:pPr>
        <w:pStyle w:val="FootnoteText"/>
      </w:pPr>
      <w:r>
        <w:rPr>
          <w:rStyle w:val="FootnoteReference"/>
        </w:rPr>
        <w:footnoteRef/>
      </w:r>
      <w:r>
        <w:t xml:space="preserve"> </w:t>
      </w:r>
      <w:r>
        <w:rPr>
          <w:i/>
        </w:rPr>
        <w:t xml:space="preserve">See </w:t>
      </w:r>
      <w:r>
        <w:t>Petition at 14.</w:t>
      </w:r>
    </w:p>
  </w:footnote>
  <w:footnote w:id="26">
    <w:p w14:paraId="714630A7" w14:textId="7C8DE9CC" w:rsidR="006F63E5" w:rsidRPr="008F32AC" w:rsidRDefault="006F63E5">
      <w:pPr>
        <w:pStyle w:val="FootnoteText"/>
        <w:rPr>
          <w:i/>
        </w:rPr>
      </w:pPr>
      <w:r>
        <w:rPr>
          <w:rStyle w:val="FootnoteReference"/>
        </w:rPr>
        <w:footnoteRef/>
      </w:r>
      <w:r>
        <w:t xml:space="preserve"> </w:t>
      </w:r>
      <w:r>
        <w:rPr>
          <w:i/>
        </w:rPr>
        <w:t>Id.</w:t>
      </w:r>
      <w:r w:rsidRPr="008F32AC">
        <w:t xml:space="preserve"> at 15.</w:t>
      </w:r>
    </w:p>
  </w:footnote>
  <w:footnote w:id="27">
    <w:p w14:paraId="5896CEFB" w14:textId="04A39D63" w:rsidR="006F63E5" w:rsidRPr="006F63E5" w:rsidRDefault="006F63E5">
      <w:pPr>
        <w:pStyle w:val="FootnoteText"/>
      </w:pPr>
      <w:r>
        <w:rPr>
          <w:rStyle w:val="FootnoteReference"/>
        </w:rPr>
        <w:footnoteRef/>
      </w:r>
      <w:r>
        <w:t xml:space="preserve"> </w:t>
      </w:r>
      <w:r>
        <w:rPr>
          <w:i/>
        </w:rPr>
        <w:t>Id.</w:t>
      </w:r>
      <w:r>
        <w:t xml:space="preserve"> at 16. </w:t>
      </w:r>
    </w:p>
  </w:footnote>
  <w:footnote w:id="28">
    <w:p w14:paraId="2528EF9E" w14:textId="77777777" w:rsidR="00F90BE8" w:rsidRDefault="00595360" w:rsidP="00997560">
      <w:pPr>
        <w:pStyle w:val="FootnoteText"/>
        <w:jc w:val="left"/>
      </w:pPr>
      <w:r w:rsidRPr="00503D51">
        <w:rPr>
          <w:rStyle w:val="FootnoteReference"/>
        </w:rPr>
        <w:footnoteRef/>
      </w:r>
      <w:r w:rsidRPr="00BF42C7">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F60B" w14:textId="77777777" w:rsidR="00DF7BAF" w:rsidRDefault="00DF7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DF43F" w14:textId="25F9ECC6" w:rsidR="00F90BE8" w:rsidRDefault="00595360">
    <w:pPr>
      <w:pStyle w:val="Header"/>
      <w:tabs>
        <w:tab w:val="clear" w:pos="4320"/>
        <w:tab w:val="clear" w:pos="8640"/>
        <w:tab w:val="center" w:pos="4680"/>
        <w:tab w:val="right" w:pos="9360"/>
      </w:tabs>
      <w:rPr>
        <w:b/>
      </w:rPr>
    </w:pPr>
    <w:r>
      <w:rPr>
        <w:b/>
      </w:rPr>
      <w:tab/>
      <w:t>Federal Communications Commission</w:t>
    </w:r>
    <w:r>
      <w:rPr>
        <w:b/>
      </w:rPr>
      <w:tab/>
      <w:t>DA 16-</w:t>
    </w:r>
    <w:r w:rsidR="00DF4D9D">
      <w:rPr>
        <w:b/>
      </w:rPr>
      <w:t>474</w:t>
    </w:r>
    <w:r>
      <w:rPr>
        <w:b/>
      </w:rPr>
      <w:t xml:space="preserve"> </w:t>
    </w:r>
  </w:p>
  <w:p w14:paraId="5AAFE223" w14:textId="77777777" w:rsidR="00F90BE8" w:rsidRDefault="005F21A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94D6F78" wp14:editId="7AB9F42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0B7B4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28833CF8" w14:textId="77777777" w:rsidR="00F90BE8" w:rsidRDefault="00F90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A6EA" w14:textId="42FA4FC4" w:rsidR="004E5D79" w:rsidRDefault="004E5D79" w:rsidP="004E5D79">
    <w:pPr>
      <w:pStyle w:val="Header"/>
      <w:tabs>
        <w:tab w:val="clear" w:pos="4320"/>
        <w:tab w:val="clear" w:pos="8640"/>
        <w:tab w:val="center" w:pos="4680"/>
        <w:tab w:val="right" w:pos="9360"/>
      </w:tabs>
      <w:rPr>
        <w:b/>
      </w:rPr>
    </w:pPr>
    <w:r>
      <w:rPr>
        <w:b/>
      </w:rPr>
      <w:tab/>
      <w:t>Federal</w:t>
    </w:r>
    <w:r w:rsidR="00FB2483">
      <w:rPr>
        <w:b/>
      </w:rPr>
      <w:t xml:space="preserve"> </w:t>
    </w:r>
    <w:r w:rsidR="000D3EDE">
      <w:rPr>
        <w:b/>
      </w:rPr>
      <w:t>Communications Commission</w:t>
    </w:r>
    <w:r w:rsidR="000D3EDE">
      <w:rPr>
        <w:b/>
      </w:rPr>
      <w:tab/>
      <w:t>DA 1</w:t>
    </w:r>
    <w:r w:rsidR="002C1739">
      <w:rPr>
        <w:b/>
      </w:rPr>
      <w:t>6</w:t>
    </w:r>
    <w:r w:rsidR="00FB2483">
      <w:rPr>
        <w:b/>
      </w:rPr>
      <w:t>-</w:t>
    </w:r>
    <w:r w:rsidR="00DF4D9D">
      <w:rPr>
        <w:b/>
      </w:rPr>
      <w:t>474</w:t>
    </w:r>
    <w:r>
      <w:rPr>
        <w:b/>
      </w:rPr>
      <w:t xml:space="preserve"> </w:t>
    </w:r>
  </w:p>
  <w:p w14:paraId="71FC5E75" w14:textId="77777777" w:rsidR="00F90BE8" w:rsidRPr="004E5D79" w:rsidRDefault="004E5D79" w:rsidP="004E5D79">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4AD79644" wp14:editId="4BAC8758">
              <wp:simplePos x="0" y="0"/>
              <wp:positionH relativeFrom="column">
                <wp:posOffset>0</wp:posOffset>
              </wp:positionH>
              <wp:positionV relativeFrom="paragraph">
                <wp:posOffset>22225</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4CB53B"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T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WtpOI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BodyText"/>
      <w:lvlText w:val="%1."/>
      <w:lvlJc w:val="left"/>
      <w:pPr>
        <w:tabs>
          <w:tab w:val="num" w:pos="1080"/>
        </w:tabs>
        <w:ind w:left="0" w:firstLine="720"/>
      </w:pPr>
      <w:rPr>
        <w:b w:val="0"/>
        <w:i w:val="0"/>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20886EB0"/>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DD55291"/>
    <w:multiLevelType w:val="hybridMultilevel"/>
    <w:tmpl w:val="EB20CA4A"/>
    <w:lvl w:ilvl="0" w:tplc="855ED04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4"/>
  </w:num>
  <w:num w:numId="4">
    <w:abstractNumId w:val="17"/>
  </w:num>
  <w:num w:numId="5">
    <w:abstractNumId w:val="5"/>
  </w:num>
  <w:num w:numId="6">
    <w:abstractNumId w:val="20"/>
  </w:num>
  <w:num w:numId="7">
    <w:abstractNumId w:val="14"/>
  </w:num>
  <w:num w:numId="8">
    <w:abstractNumId w:val="6"/>
  </w:num>
  <w:num w:numId="9">
    <w:abstractNumId w:val="19"/>
  </w:num>
  <w:num w:numId="10">
    <w:abstractNumId w:val="11"/>
  </w:num>
  <w:num w:numId="11">
    <w:abstractNumId w:val="10"/>
  </w:num>
  <w:num w:numId="12">
    <w:abstractNumId w:val="7"/>
  </w:num>
  <w:num w:numId="13">
    <w:abstractNumId w:val="12"/>
  </w:num>
  <w:num w:numId="14">
    <w:abstractNumId w:val="18"/>
  </w:num>
  <w:num w:numId="15">
    <w:abstractNumId w:val="2"/>
  </w:num>
  <w:num w:numId="16">
    <w:abstractNumId w:val="3"/>
  </w:num>
  <w:num w:numId="17">
    <w:abstractNumId w:val="8"/>
  </w:num>
  <w:num w:numId="18">
    <w:abstractNumId w:val="1"/>
  </w:num>
  <w:num w:numId="19">
    <w:abstractNumId w:val="9"/>
  </w:num>
  <w:num w:numId="20">
    <w:abstractNumId w:val="15"/>
  </w:num>
  <w:num w:numId="21">
    <w:abstractNumId w:val="16"/>
  </w:num>
  <w:num w:numId="22">
    <w:abstractNumId w:val="0"/>
  </w:num>
  <w:num w:numId="23">
    <w:abstractNumId w:val="13"/>
  </w:num>
  <w:num w:numId="24">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A2"/>
    <w:rsid w:val="00021244"/>
    <w:rsid w:val="00031F34"/>
    <w:rsid w:val="00037BDC"/>
    <w:rsid w:val="00065DEA"/>
    <w:rsid w:val="000C3F80"/>
    <w:rsid w:val="000D3EDE"/>
    <w:rsid w:val="00131EAF"/>
    <w:rsid w:val="00162122"/>
    <w:rsid w:val="00197647"/>
    <w:rsid w:val="001B3D09"/>
    <w:rsid w:val="00237807"/>
    <w:rsid w:val="00267332"/>
    <w:rsid w:val="002C1739"/>
    <w:rsid w:val="002C6A96"/>
    <w:rsid w:val="0036447F"/>
    <w:rsid w:val="00364C8C"/>
    <w:rsid w:val="00381BAC"/>
    <w:rsid w:val="0038310E"/>
    <w:rsid w:val="0039725B"/>
    <w:rsid w:val="003A7CD4"/>
    <w:rsid w:val="003F0523"/>
    <w:rsid w:val="00430DFD"/>
    <w:rsid w:val="004708B1"/>
    <w:rsid w:val="004863CA"/>
    <w:rsid w:val="004B275C"/>
    <w:rsid w:val="004C04E4"/>
    <w:rsid w:val="004D5B34"/>
    <w:rsid w:val="004D5D99"/>
    <w:rsid w:val="004E5D79"/>
    <w:rsid w:val="00502F96"/>
    <w:rsid w:val="00503D51"/>
    <w:rsid w:val="00511D1C"/>
    <w:rsid w:val="00525F04"/>
    <w:rsid w:val="0056148F"/>
    <w:rsid w:val="005835C4"/>
    <w:rsid w:val="0059427E"/>
    <w:rsid w:val="00595360"/>
    <w:rsid w:val="005A2C46"/>
    <w:rsid w:val="005A6112"/>
    <w:rsid w:val="005B22E6"/>
    <w:rsid w:val="005B6F80"/>
    <w:rsid w:val="005D12F8"/>
    <w:rsid w:val="005F21A2"/>
    <w:rsid w:val="00603B00"/>
    <w:rsid w:val="00617790"/>
    <w:rsid w:val="006411DA"/>
    <w:rsid w:val="00653264"/>
    <w:rsid w:val="00654E4E"/>
    <w:rsid w:val="00655D6A"/>
    <w:rsid w:val="00680061"/>
    <w:rsid w:val="006A0831"/>
    <w:rsid w:val="006B3921"/>
    <w:rsid w:val="006C7C8B"/>
    <w:rsid w:val="006D5AF8"/>
    <w:rsid w:val="006F63E5"/>
    <w:rsid w:val="007776FF"/>
    <w:rsid w:val="00813D76"/>
    <w:rsid w:val="00817E0D"/>
    <w:rsid w:val="00847D71"/>
    <w:rsid w:val="00886589"/>
    <w:rsid w:val="008865B6"/>
    <w:rsid w:val="008E104B"/>
    <w:rsid w:val="008E7EC6"/>
    <w:rsid w:val="008F18A6"/>
    <w:rsid w:val="008F32AC"/>
    <w:rsid w:val="008F4329"/>
    <w:rsid w:val="009036E7"/>
    <w:rsid w:val="0091193B"/>
    <w:rsid w:val="009138B0"/>
    <w:rsid w:val="00922306"/>
    <w:rsid w:val="009566C2"/>
    <w:rsid w:val="00963D89"/>
    <w:rsid w:val="00997560"/>
    <w:rsid w:val="009B1D47"/>
    <w:rsid w:val="009C173B"/>
    <w:rsid w:val="009C2932"/>
    <w:rsid w:val="00A372B4"/>
    <w:rsid w:val="00A41744"/>
    <w:rsid w:val="00A63F70"/>
    <w:rsid w:val="00A731AC"/>
    <w:rsid w:val="00A8752E"/>
    <w:rsid w:val="00A90C1C"/>
    <w:rsid w:val="00AA032E"/>
    <w:rsid w:val="00AA4FA5"/>
    <w:rsid w:val="00AC4A54"/>
    <w:rsid w:val="00AE76C3"/>
    <w:rsid w:val="00AF02D7"/>
    <w:rsid w:val="00B126C7"/>
    <w:rsid w:val="00B21D0C"/>
    <w:rsid w:val="00B71E5C"/>
    <w:rsid w:val="00B80826"/>
    <w:rsid w:val="00B8183D"/>
    <w:rsid w:val="00B8265E"/>
    <w:rsid w:val="00BB6E3D"/>
    <w:rsid w:val="00BD02AE"/>
    <w:rsid w:val="00BD1882"/>
    <w:rsid w:val="00BF42C7"/>
    <w:rsid w:val="00BF7CFD"/>
    <w:rsid w:val="00C26EB8"/>
    <w:rsid w:val="00C86C18"/>
    <w:rsid w:val="00C94E4A"/>
    <w:rsid w:val="00CC78F0"/>
    <w:rsid w:val="00CF3E07"/>
    <w:rsid w:val="00D031BD"/>
    <w:rsid w:val="00D358E8"/>
    <w:rsid w:val="00D47702"/>
    <w:rsid w:val="00D51740"/>
    <w:rsid w:val="00D73D52"/>
    <w:rsid w:val="00D871D4"/>
    <w:rsid w:val="00DA4838"/>
    <w:rsid w:val="00DB1D6B"/>
    <w:rsid w:val="00DC056E"/>
    <w:rsid w:val="00DF4D9D"/>
    <w:rsid w:val="00DF7BAF"/>
    <w:rsid w:val="00E11609"/>
    <w:rsid w:val="00E2165A"/>
    <w:rsid w:val="00E22D70"/>
    <w:rsid w:val="00E37622"/>
    <w:rsid w:val="00EA0836"/>
    <w:rsid w:val="00EA70C2"/>
    <w:rsid w:val="00ED6289"/>
    <w:rsid w:val="00F57171"/>
    <w:rsid w:val="00F75EB3"/>
    <w:rsid w:val="00F81228"/>
    <w:rsid w:val="00F90BE8"/>
    <w:rsid w:val="00FB2483"/>
    <w:rsid w:val="00FC5F57"/>
    <w:rsid w:val="00FC62E5"/>
    <w:rsid w:val="00FD54DD"/>
    <w:rsid w:val="00FE39FC"/>
    <w:rsid w:val="00FF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F6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link w:val="EndnoteTextChar"/>
    <w:semiHidden/>
    <w:pPr>
      <w:widowControl w:val="0"/>
      <w:spacing w:after="120"/>
      <w:jc w:val="both"/>
    </w:pPr>
    <w:rPr>
      <w:snapToGrid w:val="0"/>
      <w:kern w:val="28"/>
    </w:rPr>
  </w:style>
  <w:style w:type="paragraph" w:customStyle="1" w:styleId="DocText">
    <w:name w:val="DocText"/>
    <w:autoRedefine/>
    <w:pPr>
      <w:tabs>
        <w:tab w:val="left" w:pos="1440"/>
      </w:tabs>
      <w:ind w:left="360"/>
      <w:jc w:val="both"/>
    </w:pPr>
    <w:rPr>
      <w:spacing w:val="-2"/>
      <w:sz w:val="24"/>
    </w:rPr>
  </w:style>
  <w:style w:type="paragraph" w:styleId="BodyText">
    <w:name w:val="Body Text"/>
    <w:basedOn w:val="Normal"/>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italics1">
    <w:name w:val="italics1"/>
    <w:rPr>
      <w:i/>
      <w:iCs/>
    </w:rPr>
  </w:style>
  <w:style w:type="paragraph" w:styleId="Revision">
    <w:name w:val="Revision"/>
    <w:hidden/>
    <w:uiPriority w:val="99"/>
    <w:semiHidden/>
    <w:rPr>
      <w:sz w:val="22"/>
    </w:rPr>
  </w:style>
  <w:style w:type="character" w:customStyle="1" w:styleId="EndnoteTextChar">
    <w:name w:val="Endnote Text Char"/>
    <w:basedOn w:val="DefaultParagraphFont"/>
    <w:link w:val="EndnoteText"/>
    <w:semiHidden/>
    <w:rsid w:val="00FB2483"/>
    <w:rPr>
      <w:snapToGrid w:val="0"/>
      <w:kern w:val="28"/>
      <w:sz w:val="22"/>
    </w:rPr>
  </w:style>
  <w:style w:type="paragraph" w:styleId="ListParagraph">
    <w:name w:val="List Paragraph"/>
    <w:basedOn w:val="Normal"/>
    <w:uiPriority w:val="34"/>
    <w:qFormat/>
    <w:rsid w:val="00FF1A64"/>
    <w:pPr>
      <w:spacing w:after="160" w:line="259" w:lineRule="auto"/>
      <w:ind w:left="720"/>
      <w:contextualSpacing/>
    </w:pPr>
    <w:rPr>
      <w:rFonts w:asciiTheme="minorHAnsi" w:eastAsiaTheme="minorHAnsi" w:hAnsiTheme="minorHAnsi" w:cstheme="minorBidi"/>
      <w:szCs w:val="22"/>
    </w:rPr>
  </w:style>
  <w:style w:type="character" w:styleId="EndnoteReference">
    <w:name w:val="endnote reference"/>
    <w:basedOn w:val="DefaultParagraphFont"/>
    <w:rsid w:val="002673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link w:val="EndnoteTextChar"/>
    <w:semiHidden/>
    <w:pPr>
      <w:widowControl w:val="0"/>
      <w:spacing w:after="120"/>
      <w:jc w:val="both"/>
    </w:pPr>
    <w:rPr>
      <w:snapToGrid w:val="0"/>
      <w:kern w:val="28"/>
    </w:rPr>
  </w:style>
  <w:style w:type="paragraph" w:customStyle="1" w:styleId="DocText">
    <w:name w:val="DocText"/>
    <w:autoRedefine/>
    <w:pPr>
      <w:tabs>
        <w:tab w:val="left" w:pos="1440"/>
      </w:tabs>
      <w:ind w:left="360"/>
      <w:jc w:val="both"/>
    </w:pPr>
    <w:rPr>
      <w:spacing w:val="-2"/>
      <w:sz w:val="24"/>
    </w:rPr>
  </w:style>
  <w:style w:type="paragraph" w:styleId="BodyText">
    <w:name w:val="Body Text"/>
    <w:basedOn w:val="Normal"/>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italics1">
    <w:name w:val="italics1"/>
    <w:rPr>
      <w:i/>
      <w:iCs/>
    </w:rPr>
  </w:style>
  <w:style w:type="paragraph" w:styleId="Revision">
    <w:name w:val="Revision"/>
    <w:hidden/>
    <w:uiPriority w:val="99"/>
    <w:semiHidden/>
    <w:rPr>
      <w:sz w:val="22"/>
    </w:rPr>
  </w:style>
  <w:style w:type="character" w:customStyle="1" w:styleId="EndnoteTextChar">
    <w:name w:val="Endnote Text Char"/>
    <w:basedOn w:val="DefaultParagraphFont"/>
    <w:link w:val="EndnoteText"/>
    <w:semiHidden/>
    <w:rsid w:val="00FB2483"/>
    <w:rPr>
      <w:snapToGrid w:val="0"/>
      <w:kern w:val="28"/>
      <w:sz w:val="22"/>
    </w:rPr>
  </w:style>
  <w:style w:type="paragraph" w:styleId="ListParagraph">
    <w:name w:val="List Paragraph"/>
    <w:basedOn w:val="Normal"/>
    <w:uiPriority w:val="34"/>
    <w:qFormat/>
    <w:rsid w:val="00FF1A64"/>
    <w:pPr>
      <w:spacing w:after="160" w:line="259" w:lineRule="auto"/>
      <w:ind w:left="720"/>
      <w:contextualSpacing/>
    </w:pPr>
    <w:rPr>
      <w:rFonts w:asciiTheme="minorHAnsi" w:eastAsiaTheme="minorHAnsi" w:hAnsiTheme="minorHAnsi" w:cstheme="minorBidi"/>
      <w:szCs w:val="22"/>
    </w:rPr>
  </w:style>
  <w:style w:type="character" w:styleId="EndnoteReference">
    <w:name w:val="endnote reference"/>
    <w:basedOn w:val="DefaultParagraphFont"/>
    <w:rsid w:val="00267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1486</Words>
  <Characters>8362</Characters>
  <Application>Microsoft Office Word</Application>
  <DocSecurity>0</DocSecurity>
  <Lines>172</Lines>
  <Paragraphs>66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9909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2016-04-11T16:25:00Z</cp:lastPrinted>
  <dcterms:created xsi:type="dcterms:W3CDTF">2016-04-29T17:37:00Z</dcterms:created>
  <dcterms:modified xsi:type="dcterms:W3CDTF">2016-04-29T17:37:00Z</dcterms:modified>
  <cp:category> </cp:category>
  <cp:contentStatus> </cp:contentStatus>
</cp:coreProperties>
</file>