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90734" w14:textId="77777777" w:rsidR="00353DED" w:rsidRDefault="00353DED">
      <w:pPr>
        <w:keepNext/>
        <w:widowControl/>
        <w:jc w:val="center"/>
        <w:rPr>
          <w:b/>
        </w:rPr>
      </w:pPr>
      <w:bookmarkStart w:id="0" w:name="_GoBack"/>
      <w:bookmarkEnd w:id="0"/>
      <w:r>
        <w:rPr>
          <w:b/>
        </w:rPr>
        <w:t>Before the</w:t>
      </w:r>
    </w:p>
    <w:p w14:paraId="5F961906" w14:textId="77777777" w:rsidR="00353DED" w:rsidRDefault="00353DED">
      <w:pPr>
        <w:keepNext/>
        <w:widowControl/>
        <w:jc w:val="center"/>
        <w:rPr>
          <w:b/>
        </w:rPr>
      </w:pPr>
      <w:r>
        <w:rPr>
          <w:b/>
        </w:rPr>
        <w:t>Federal Communications Commission</w:t>
      </w:r>
    </w:p>
    <w:p w14:paraId="1C4AF1CB" w14:textId="77777777" w:rsidR="00353DED" w:rsidRDefault="00353DED">
      <w:pPr>
        <w:keepNext/>
        <w:widowControl/>
        <w:jc w:val="center"/>
        <w:rPr>
          <w:b/>
        </w:rPr>
      </w:pPr>
      <w:r>
        <w:rPr>
          <w:b/>
        </w:rPr>
        <w:t>Washington, D.C. 20554</w:t>
      </w:r>
    </w:p>
    <w:p w14:paraId="022AC0D5" w14:textId="77777777" w:rsidR="00353DED" w:rsidRDefault="00353DED">
      <w:pPr>
        <w:keepNext/>
        <w:widowControl/>
        <w:tabs>
          <w:tab w:val="left" w:pos="-720"/>
        </w:tabs>
        <w:suppressAutoHyphens/>
        <w:spacing w:line="227" w:lineRule="auto"/>
        <w:jc w:val="left"/>
      </w:pPr>
    </w:p>
    <w:p w14:paraId="3D3454D1" w14:textId="77777777" w:rsidR="004F2C3E" w:rsidRDefault="004F2C3E">
      <w:pPr>
        <w:keepNext/>
        <w:widowControl/>
        <w:tabs>
          <w:tab w:val="left" w:pos="-720"/>
        </w:tabs>
        <w:suppressAutoHyphens/>
        <w:spacing w:line="227" w:lineRule="auto"/>
        <w:jc w:val="left"/>
      </w:pPr>
    </w:p>
    <w:tbl>
      <w:tblPr>
        <w:tblW w:w="0" w:type="auto"/>
        <w:tblLayout w:type="fixed"/>
        <w:tblLook w:val="0000" w:firstRow="0" w:lastRow="0" w:firstColumn="0" w:lastColumn="0" w:noHBand="0" w:noVBand="0"/>
      </w:tblPr>
      <w:tblGrid>
        <w:gridCol w:w="4698"/>
        <w:gridCol w:w="630"/>
        <w:gridCol w:w="4248"/>
      </w:tblGrid>
      <w:tr w:rsidR="00353DED" w14:paraId="495D6256" w14:textId="77777777">
        <w:trPr>
          <w:trHeight w:val="1017"/>
        </w:trPr>
        <w:tc>
          <w:tcPr>
            <w:tcW w:w="4698" w:type="dxa"/>
          </w:tcPr>
          <w:p w14:paraId="1BA69A91" w14:textId="77777777" w:rsidR="00353DED" w:rsidRDefault="00353DED">
            <w:pPr>
              <w:keepNext/>
              <w:widowControl/>
              <w:tabs>
                <w:tab w:val="center" w:pos="4680"/>
              </w:tabs>
              <w:suppressAutoHyphens/>
              <w:jc w:val="left"/>
            </w:pPr>
            <w:r>
              <w:t>In the Matter of</w:t>
            </w:r>
          </w:p>
          <w:p w14:paraId="61845F7A" w14:textId="77777777" w:rsidR="00353DED" w:rsidRDefault="00353DED">
            <w:pPr>
              <w:keepNext/>
              <w:widowControl/>
              <w:tabs>
                <w:tab w:val="center" w:pos="4680"/>
              </w:tabs>
              <w:suppressAutoHyphens/>
              <w:jc w:val="left"/>
            </w:pPr>
          </w:p>
          <w:p w14:paraId="2E4FAB01" w14:textId="77777777" w:rsidR="00353DED" w:rsidRDefault="00353DED">
            <w:pPr>
              <w:keepNext/>
              <w:widowControl/>
              <w:tabs>
                <w:tab w:val="center" w:pos="4680"/>
              </w:tabs>
              <w:suppressAutoHyphens/>
              <w:jc w:val="left"/>
            </w:pPr>
            <w:r>
              <w:t>National Exchange Carrier Association, Inc.</w:t>
            </w:r>
          </w:p>
          <w:p w14:paraId="41601D7B" w14:textId="77777777" w:rsidR="00353DED" w:rsidRDefault="00353DED" w:rsidP="00DA3A4F">
            <w:pPr>
              <w:keepNext/>
              <w:widowControl/>
              <w:tabs>
                <w:tab w:val="center" w:pos="4680"/>
              </w:tabs>
              <w:suppressAutoHyphens/>
              <w:jc w:val="left"/>
            </w:pPr>
            <w:r>
              <w:t>201</w:t>
            </w:r>
            <w:r w:rsidR="00DA3A4F">
              <w:t>6</w:t>
            </w:r>
            <w:r>
              <w:t xml:space="preserve"> Modification of Average Schedules</w:t>
            </w:r>
          </w:p>
        </w:tc>
        <w:tc>
          <w:tcPr>
            <w:tcW w:w="630" w:type="dxa"/>
          </w:tcPr>
          <w:p w14:paraId="1F57C28A" w14:textId="77777777" w:rsidR="00353DED" w:rsidRDefault="00353DED">
            <w:pPr>
              <w:keepNext/>
              <w:widowControl/>
              <w:tabs>
                <w:tab w:val="center" w:pos="4680"/>
              </w:tabs>
              <w:suppressAutoHyphens/>
              <w:jc w:val="left"/>
              <w:rPr>
                <w:b/>
              </w:rPr>
            </w:pPr>
            <w:r>
              <w:rPr>
                <w:b/>
              </w:rPr>
              <w:t>)</w:t>
            </w:r>
          </w:p>
          <w:p w14:paraId="04CEED38" w14:textId="77777777" w:rsidR="00353DED" w:rsidRDefault="00353DED">
            <w:pPr>
              <w:keepNext/>
              <w:widowControl/>
              <w:tabs>
                <w:tab w:val="center" w:pos="4680"/>
              </w:tabs>
              <w:suppressAutoHyphens/>
              <w:jc w:val="left"/>
              <w:rPr>
                <w:b/>
              </w:rPr>
            </w:pPr>
            <w:r>
              <w:rPr>
                <w:b/>
              </w:rPr>
              <w:t>)</w:t>
            </w:r>
          </w:p>
          <w:p w14:paraId="116F42F5" w14:textId="77777777" w:rsidR="00353DED" w:rsidRDefault="00353DED">
            <w:pPr>
              <w:keepNext/>
              <w:widowControl/>
              <w:tabs>
                <w:tab w:val="center" w:pos="4680"/>
              </w:tabs>
              <w:suppressAutoHyphens/>
              <w:jc w:val="left"/>
              <w:rPr>
                <w:b/>
              </w:rPr>
            </w:pPr>
            <w:r>
              <w:rPr>
                <w:b/>
              </w:rPr>
              <w:t>)</w:t>
            </w:r>
          </w:p>
          <w:p w14:paraId="74685AA9" w14:textId="77777777" w:rsidR="00353DED" w:rsidRDefault="00353DED">
            <w:pPr>
              <w:keepNext/>
              <w:widowControl/>
              <w:tabs>
                <w:tab w:val="center" w:pos="4680"/>
              </w:tabs>
              <w:suppressAutoHyphens/>
              <w:jc w:val="left"/>
              <w:rPr>
                <w:b/>
              </w:rPr>
            </w:pPr>
            <w:r>
              <w:rPr>
                <w:b/>
              </w:rPr>
              <w:t>)</w:t>
            </w:r>
          </w:p>
          <w:p w14:paraId="626B054C" w14:textId="77777777" w:rsidR="00353DED" w:rsidRDefault="00353DED">
            <w:pPr>
              <w:keepNext/>
              <w:widowControl/>
              <w:tabs>
                <w:tab w:val="center" w:pos="4680"/>
              </w:tabs>
              <w:suppressAutoHyphens/>
              <w:jc w:val="left"/>
              <w:rPr>
                <w:b/>
              </w:rPr>
            </w:pPr>
            <w:r>
              <w:rPr>
                <w:b/>
              </w:rPr>
              <w:t>)</w:t>
            </w:r>
          </w:p>
        </w:tc>
        <w:tc>
          <w:tcPr>
            <w:tcW w:w="4248" w:type="dxa"/>
          </w:tcPr>
          <w:p w14:paraId="3EB710D9" w14:textId="77777777" w:rsidR="00353DED" w:rsidRDefault="00353DED">
            <w:pPr>
              <w:keepNext/>
              <w:widowControl/>
              <w:tabs>
                <w:tab w:val="center" w:pos="4680"/>
              </w:tabs>
              <w:suppressAutoHyphens/>
              <w:jc w:val="left"/>
            </w:pPr>
          </w:p>
          <w:p w14:paraId="100E1F50" w14:textId="77777777" w:rsidR="00353DED" w:rsidRDefault="00353DED">
            <w:pPr>
              <w:keepNext/>
              <w:widowControl/>
              <w:tabs>
                <w:tab w:val="center" w:pos="4680"/>
              </w:tabs>
              <w:suppressAutoHyphens/>
              <w:jc w:val="left"/>
            </w:pPr>
          </w:p>
          <w:p w14:paraId="08D408AC" w14:textId="77777777" w:rsidR="00353DED" w:rsidRDefault="00353DED" w:rsidP="00DA3A4F">
            <w:pPr>
              <w:keepNext/>
              <w:widowControl/>
              <w:tabs>
                <w:tab w:val="center" w:pos="4680"/>
              </w:tabs>
              <w:suppressAutoHyphens/>
              <w:jc w:val="left"/>
            </w:pPr>
            <w:r>
              <w:t>WC Docket No. 1</w:t>
            </w:r>
            <w:r w:rsidR="00DA3A4F">
              <w:t>5-298</w:t>
            </w:r>
          </w:p>
        </w:tc>
      </w:tr>
    </w:tbl>
    <w:p w14:paraId="1E924B65" w14:textId="77777777" w:rsidR="00353DED" w:rsidRDefault="00353DED">
      <w:pPr>
        <w:keepNext/>
        <w:widowControl/>
        <w:jc w:val="left"/>
      </w:pPr>
    </w:p>
    <w:p w14:paraId="0FC7E66C" w14:textId="77777777" w:rsidR="00353DED" w:rsidRDefault="00353DED">
      <w:pPr>
        <w:pStyle w:val="Heading1"/>
        <w:widowControl/>
        <w:numPr>
          <w:ilvl w:val="0"/>
          <w:numId w:val="0"/>
        </w:numPr>
      </w:pPr>
      <w:r>
        <w:t>order</w:t>
      </w:r>
    </w:p>
    <w:p w14:paraId="02DF7775" w14:textId="4D2D7F79" w:rsidR="00353DED" w:rsidRDefault="00353DED">
      <w:pPr>
        <w:keepNext/>
        <w:widowControl/>
        <w:tabs>
          <w:tab w:val="left" w:pos="720"/>
          <w:tab w:val="left" w:pos="5760"/>
        </w:tabs>
        <w:suppressAutoHyphens/>
        <w:spacing w:line="227" w:lineRule="auto"/>
        <w:jc w:val="left"/>
      </w:pPr>
      <w:r>
        <w:rPr>
          <w:b/>
        </w:rPr>
        <w:t xml:space="preserve">Adopted: </w:t>
      </w:r>
      <w:r w:rsidR="00123E8A">
        <w:rPr>
          <w:b/>
        </w:rPr>
        <w:t xml:space="preserve">May </w:t>
      </w:r>
      <w:r w:rsidR="004F2C3E">
        <w:rPr>
          <w:b/>
        </w:rPr>
        <w:t>3</w:t>
      </w:r>
      <w:r>
        <w:rPr>
          <w:b/>
        </w:rPr>
        <w:t>, 201</w:t>
      </w:r>
      <w:r w:rsidR="00DA3A4F">
        <w:rPr>
          <w:b/>
        </w:rPr>
        <w:t>6</w:t>
      </w:r>
      <w:r>
        <w:rPr>
          <w:b/>
        </w:rPr>
        <w:tab/>
      </w:r>
      <w:r>
        <w:rPr>
          <w:b/>
        </w:rPr>
        <w:tab/>
      </w:r>
      <w:r>
        <w:rPr>
          <w:b/>
        </w:rPr>
        <w:tab/>
      </w:r>
      <w:r>
        <w:rPr>
          <w:b/>
        </w:rPr>
        <w:tab/>
        <w:t xml:space="preserve">Released: </w:t>
      </w:r>
      <w:r w:rsidR="00123E8A">
        <w:rPr>
          <w:b/>
        </w:rPr>
        <w:t xml:space="preserve">May </w:t>
      </w:r>
      <w:r w:rsidR="004F2C3E">
        <w:rPr>
          <w:b/>
        </w:rPr>
        <w:t>3</w:t>
      </w:r>
      <w:r>
        <w:rPr>
          <w:b/>
        </w:rPr>
        <w:t>, 201</w:t>
      </w:r>
      <w:r w:rsidR="00DA3A4F">
        <w:rPr>
          <w:b/>
        </w:rPr>
        <w:t>6</w:t>
      </w:r>
    </w:p>
    <w:p w14:paraId="51F67C26" w14:textId="77777777" w:rsidR="00353DED" w:rsidRDefault="00353DED">
      <w:pPr>
        <w:keepNext/>
        <w:widowControl/>
        <w:jc w:val="left"/>
      </w:pPr>
    </w:p>
    <w:p w14:paraId="7805A3EE" w14:textId="77777777" w:rsidR="00353DED" w:rsidRDefault="00353DED">
      <w:pPr>
        <w:keepNext/>
        <w:widowControl/>
        <w:jc w:val="left"/>
      </w:pPr>
      <w:r>
        <w:t>By the Chief, Pricing Policy Division</w:t>
      </w:r>
      <w:r w:rsidR="005F53F7">
        <w:t>, Wireline Competition Bureau</w:t>
      </w:r>
      <w:r>
        <w:t>:</w:t>
      </w:r>
    </w:p>
    <w:p w14:paraId="0B6EE869" w14:textId="77777777" w:rsidR="00353DED" w:rsidRDefault="00353DED">
      <w:pPr>
        <w:keepNext/>
        <w:widowControl/>
        <w:jc w:val="left"/>
      </w:pPr>
    </w:p>
    <w:p w14:paraId="38D6BCDE" w14:textId="77777777" w:rsidR="006A704A" w:rsidRDefault="006A704A" w:rsidP="006A704A">
      <w:pPr>
        <w:pStyle w:val="ParaNum"/>
        <w:jc w:val="left"/>
      </w:pPr>
      <w:r w:rsidRPr="00B10D3F">
        <w:t>On December 2</w:t>
      </w:r>
      <w:r>
        <w:t>3</w:t>
      </w:r>
      <w:r w:rsidRPr="00B10D3F">
        <w:t>, 201</w:t>
      </w:r>
      <w:r w:rsidR="0096439D">
        <w:t>5</w:t>
      </w:r>
      <w:r w:rsidRPr="00B10D3F">
        <w:t>, the National Exchange Carrier Association, Inc. (NECA) filed with the Commission its proposed modification of average schedule formulas for interstate settlements, pursuant to section 69.606 of the Commission’s rules.</w:t>
      </w:r>
      <w:r w:rsidRPr="00B10D3F">
        <w:rPr>
          <w:rStyle w:val="FootnoteReference"/>
          <w:color w:val="000000"/>
          <w:szCs w:val="22"/>
        </w:rPr>
        <w:footnoteReference w:id="2"/>
      </w:r>
      <w:r w:rsidRPr="00B10D3F">
        <w:t xml:space="preserve">  NECA proposes to revise the formulas for average schedule interstate settlement disbursements in connection with the provision of interstate access services for the period beginning July 1, 201</w:t>
      </w:r>
      <w:r w:rsidR="0096439D">
        <w:t>6</w:t>
      </w:r>
      <w:r w:rsidRPr="00B10D3F">
        <w:t>, through June 30, 201</w:t>
      </w:r>
      <w:r w:rsidR="0096439D">
        <w:t>7</w:t>
      </w:r>
      <w:r w:rsidRPr="00B10D3F">
        <w:t>.</w:t>
      </w:r>
      <w:r>
        <w:t xml:space="preserve">  </w:t>
      </w:r>
      <w:r w:rsidRPr="00B10D3F">
        <w:t>Overall,</w:t>
      </w:r>
      <w:r>
        <w:t xml:space="preserve"> </w:t>
      </w:r>
      <w:r w:rsidRPr="00B10D3F">
        <w:t>NECA</w:t>
      </w:r>
      <w:r>
        <w:t xml:space="preserve"> </w:t>
      </w:r>
      <w:r w:rsidRPr="00B10D3F">
        <w:t xml:space="preserve">proposes formula changes that would </w:t>
      </w:r>
      <w:r>
        <w:t xml:space="preserve">increase </w:t>
      </w:r>
      <w:r w:rsidRPr="00B10D3F">
        <w:t xml:space="preserve">settlement rates by </w:t>
      </w:r>
      <w:r w:rsidR="0096439D">
        <w:t>2</w:t>
      </w:r>
      <w:r>
        <w:t>.6 percent</w:t>
      </w:r>
      <w:r w:rsidRPr="00B10D3F">
        <w:t>, at constant demand.</w:t>
      </w:r>
      <w:r w:rsidRPr="00B10D3F">
        <w:rPr>
          <w:rStyle w:val="FootnoteReference"/>
          <w:szCs w:val="22"/>
        </w:rPr>
        <w:footnoteReference w:id="3"/>
      </w:r>
      <w:r w:rsidRPr="00B10D3F">
        <w:t xml:space="preserve"> </w:t>
      </w:r>
      <w:r>
        <w:t xml:space="preserve"> </w:t>
      </w:r>
      <w:r w:rsidRPr="00B10D3F">
        <w:t>The proposed settlement formulas reflect the same general structures and methods as current formulas.</w:t>
      </w:r>
      <w:r>
        <w:t xml:space="preserve">  For the reasons set forth below, we approve the average schedule formulas as proposed by NECA. </w:t>
      </w:r>
    </w:p>
    <w:p w14:paraId="21185762" w14:textId="77777777" w:rsidR="006A704A" w:rsidRDefault="00850A44" w:rsidP="00A853D4">
      <w:pPr>
        <w:pStyle w:val="ParaNum"/>
        <w:jc w:val="left"/>
      </w:pPr>
      <w:r>
        <w:t>According to NECA, t</w:t>
      </w:r>
      <w:r w:rsidRPr="00B10D3F">
        <w:t>he effects of the</w:t>
      </w:r>
      <w:r>
        <w:t xml:space="preserve"> proposed</w:t>
      </w:r>
      <w:r w:rsidRPr="00B10D3F">
        <w:t xml:space="preserve"> formula changes on individual average schedule companies will vary depending on each company’s size and demand characteristics.</w:t>
      </w:r>
      <w:r w:rsidRPr="00B10D3F">
        <w:rPr>
          <w:rStyle w:val="FootnoteReference"/>
          <w:szCs w:val="22"/>
        </w:rPr>
        <w:footnoteReference w:id="4"/>
      </w:r>
      <w:r w:rsidR="006A704A">
        <w:t xml:space="preserve">  </w:t>
      </w:r>
      <w:r w:rsidR="006A704A" w:rsidRPr="00B10D3F">
        <w:t xml:space="preserve">NECA calculates that </w:t>
      </w:r>
      <w:r w:rsidR="006A704A">
        <w:t>2</w:t>
      </w:r>
      <w:r w:rsidR="001871D6">
        <w:t>67</w:t>
      </w:r>
      <w:r w:rsidR="006A704A">
        <w:t xml:space="preserve"> companies </w:t>
      </w:r>
      <w:r w:rsidR="006A704A" w:rsidRPr="00B10D3F">
        <w:t xml:space="preserve">are expected to experience increases </w:t>
      </w:r>
      <w:r w:rsidR="006A704A">
        <w:t xml:space="preserve">in settlement rates </w:t>
      </w:r>
      <w:r w:rsidR="006A704A" w:rsidRPr="00B10D3F">
        <w:t xml:space="preserve">and </w:t>
      </w:r>
      <w:r w:rsidR="001871D6">
        <w:t>46</w:t>
      </w:r>
      <w:r w:rsidR="006A704A" w:rsidRPr="00B10D3F">
        <w:t xml:space="preserve"> study areas are expected to experience decreases in settlement rates</w:t>
      </w:r>
      <w:r w:rsidR="006A704A">
        <w:t>,</w:t>
      </w:r>
      <w:r w:rsidR="006A704A" w:rsidRPr="00B10D3F">
        <w:t xml:space="preserve"> at constant demand.</w:t>
      </w:r>
      <w:r w:rsidR="006A704A" w:rsidRPr="00B10D3F">
        <w:rPr>
          <w:rStyle w:val="FootnoteReference"/>
          <w:szCs w:val="22"/>
        </w:rPr>
        <w:footnoteReference w:id="5"/>
      </w:r>
      <w:r w:rsidR="002750A3">
        <w:t xml:space="preserve">  </w:t>
      </w:r>
      <w:r w:rsidR="006A704A" w:rsidRPr="006A704A">
        <w:rPr>
          <w:color w:val="231F20"/>
          <w:szCs w:val="22"/>
        </w:rPr>
        <w:t xml:space="preserve">According to NECA, </w:t>
      </w:r>
      <w:r w:rsidR="001871D6">
        <w:rPr>
          <w:color w:val="231F20"/>
          <w:szCs w:val="22"/>
        </w:rPr>
        <w:t>“</w:t>
      </w:r>
      <w:r w:rsidR="006A704A" w:rsidRPr="006A704A">
        <w:rPr>
          <w:color w:val="231F20"/>
          <w:szCs w:val="22"/>
        </w:rPr>
        <w:t>most of the settlement increases are attributed to</w:t>
      </w:r>
      <w:r w:rsidR="001871D6">
        <w:rPr>
          <w:color w:val="231F20"/>
          <w:szCs w:val="22"/>
        </w:rPr>
        <w:t xml:space="preserve"> special access formulas across all line</w:t>
      </w:r>
      <w:r w:rsidR="002750A3">
        <w:rPr>
          <w:color w:val="231F20"/>
          <w:szCs w:val="22"/>
        </w:rPr>
        <w:t>-</w:t>
      </w:r>
      <w:r w:rsidR="001871D6">
        <w:rPr>
          <w:color w:val="231F20"/>
          <w:szCs w:val="22"/>
        </w:rPr>
        <w:t>size groups,” and the “increases in special access DSL and Non-DSL formulas are attr</w:t>
      </w:r>
      <w:r w:rsidR="00795460">
        <w:rPr>
          <w:color w:val="231F20"/>
          <w:szCs w:val="22"/>
        </w:rPr>
        <w:t>ibuted to higher account growth</w:t>
      </w:r>
      <w:r w:rsidR="001871D6">
        <w:rPr>
          <w:color w:val="231F20"/>
          <w:szCs w:val="22"/>
        </w:rPr>
        <w:t xml:space="preserve"> and a continued increase in account allocations to the special access category especially for account COE 4.2.”</w:t>
      </w:r>
      <w:r w:rsidR="001871D6" w:rsidRPr="00B10D3F">
        <w:rPr>
          <w:rStyle w:val="FootnoteReference"/>
          <w:szCs w:val="22"/>
        </w:rPr>
        <w:footnoteReference w:id="6"/>
      </w:r>
      <w:r w:rsidR="002750A3">
        <w:rPr>
          <w:color w:val="231F20"/>
          <w:szCs w:val="22"/>
        </w:rPr>
        <w:t xml:space="preserve">  </w:t>
      </w:r>
      <w:r w:rsidR="001871D6">
        <w:rPr>
          <w:szCs w:val="22"/>
        </w:rPr>
        <w:t>NECA also states that a “projected significant reduction in Non-DSL demand has contributed to an increase of the Non-DSL formula, while a projected increase in DSL demand has partially offset the increase of the DSL formula.”</w:t>
      </w:r>
      <w:r w:rsidR="001871D6" w:rsidRPr="00B10D3F">
        <w:rPr>
          <w:rStyle w:val="FootnoteReference"/>
          <w:szCs w:val="22"/>
        </w:rPr>
        <w:footnoteReference w:id="7"/>
      </w:r>
    </w:p>
    <w:p w14:paraId="3DDD1010" w14:textId="77777777" w:rsidR="00353DED" w:rsidRDefault="00353DED">
      <w:pPr>
        <w:pStyle w:val="ParaNum"/>
        <w:widowControl/>
        <w:jc w:val="left"/>
      </w:pPr>
      <w:r>
        <w:lastRenderedPageBreak/>
        <w:t xml:space="preserve">By Public Notice </w:t>
      </w:r>
      <w:r w:rsidR="00E87A9B">
        <w:t xml:space="preserve">released January </w:t>
      </w:r>
      <w:r w:rsidR="006A704A">
        <w:t>2</w:t>
      </w:r>
      <w:r w:rsidR="001871D6">
        <w:t>1</w:t>
      </w:r>
      <w:r w:rsidR="00E87A9B">
        <w:t>, 201</w:t>
      </w:r>
      <w:r w:rsidR="001871D6">
        <w:t>6</w:t>
      </w:r>
      <w:r>
        <w:t xml:space="preserve">, we sought comment on NECA’s </w:t>
      </w:r>
      <w:r w:rsidR="00E87A9B">
        <w:t>filing</w:t>
      </w:r>
      <w:r>
        <w:t>.</w:t>
      </w:r>
      <w:r>
        <w:rPr>
          <w:rStyle w:val="FootnoteReference"/>
        </w:rPr>
        <w:footnoteReference w:id="8"/>
      </w:r>
      <w:r>
        <w:t xml:space="preserve">  No comments were filed. </w:t>
      </w:r>
    </w:p>
    <w:p w14:paraId="64BDF7E6" w14:textId="77777777" w:rsidR="00353DED" w:rsidRDefault="00353DED">
      <w:pPr>
        <w:pStyle w:val="ParaNum"/>
        <w:widowControl/>
        <w:jc w:val="left"/>
      </w:pPr>
      <w:r>
        <w:t xml:space="preserve">We have reviewed the unopposed NECA filing and find that its proposed formulas are reasonable.  NECA revised the average schedule formulas using procedures </w:t>
      </w:r>
      <w:r w:rsidR="00766DB6">
        <w:t>that reflect the same general structures and methods as current formulas</w:t>
      </w:r>
      <w:r>
        <w:t>.</w:t>
      </w:r>
      <w:r w:rsidR="00E03057">
        <w:rPr>
          <w:rStyle w:val="FootnoteReference"/>
        </w:rPr>
        <w:footnoteReference w:id="9"/>
      </w:r>
    </w:p>
    <w:p w14:paraId="66DC1456" w14:textId="77777777" w:rsidR="00353DED" w:rsidRDefault="00353DED">
      <w:pPr>
        <w:pStyle w:val="ParaNum"/>
        <w:widowControl/>
        <w:jc w:val="left"/>
      </w:pPr>
      <w:r>
        <w:t xml:space="preserve">Accordingly, IT IS ORDERED, </w:t>
      </w:r>
      <w:r w:rsidR="00874B31">
        <w:t>pursuant to sections 0.91, 0.291, and 69.606(a) of the Commission’s rules, 47 CFR §§ 0.91, 0.291, and 69.606(a), that the average schedule formulas proposed by the National Exchange Carrier Association, Inc., on December 23, 2015, SHALL BECOME EFFECTIVE July 1, 2016, and remain in effect through June 30, 2017</w:t>
      </w:r>
      <w:r>
        <w:t>.</w:t>
      </w:r>
    </w:p>
    <w:p w14:paraId="240502A8" w14:textId="0914DA98" w:rsidR="00353DED" w:rsidRDefault="00353DED">
      <w:pPr>
        <w:pStyle w:val="ParaNum"/>
        <w:widowControl/>
        <w:jc w:val="left"/>
      </w:pPr>
      <w:r>
        <w:t>I</w:t>
      </w:r>
      <w:r w:rsidR="00474DB6">
        <w:t>T IS FURTHER ORDERED</w:t>
      </w:r>
      <w:r w:rsidR="00146799">
        <w:t xml:space="preserve">, pursuant to section 1.102(b) of the Commission’s rules, 47 CFR § 1.102(b), </w:t>
      </w:r>
      <w:r w:rsidR="00474DB6">
        <w:t>that this O</w:t>
      </w:r>
      <w:r>
        <w:t>rder SHALL BE EFFECTIVE upon release.</w:t>
      </w:r>
    </w:p>
    <w:p w14:paraId="6F43B195" w14:textId="77777777" w:rsidR="00353DED" w:rsidRDefault="00353DED">
      <w:pPr>
        <w:widowControl/>
        <w:ind w:left="4320"/>
        <w:jc w:val="left"/>
        <w:rPr>
          <w:color w:val="000000"/>
        </w:rPr>
      </w:pPr>
    </w:p>
    <w:p w14:paraId="13009712" w14:textId="77777777" w:rsidR="00353DED" w:rsidRDefault="00353DED">
      <w:pPr>
        <w:widowControl/>
        <w:ind w:left="4320"/>
        <w:jc w:val="left"/>
        <w:rPr>
          <w:color w:val="000000"/>
        </w:rPr>
      </w:pPr>
      <w:r>
        <w:rPr>
          <w:color w:val="000000"/>
        </w:rPr>
        <w:t>FEDERAL COMMUNICATIONS COMMISSION</w:t>
      </w:r>
    </w:p>
    <w:p w14:paraId="18B03D6C" w14:textId="77777777" w:rsidR="00353DED" w:rsidRDefault="00353DED">
      <w:pPr>
        <w:widowControl/>
        <w:ind w:left="4320"/>
        <w:jc w:val="left"/>
        <w:rPr>
          <w:color w:val="000000"/>
        </w:rPr>
      </w:pPr>
    </w:p>
    <w:p w14:paraId="3C310E55" w14:textId="77777777" w:rsidR="00353DED" w:rsidRDefault="00353DED">
      <w:pPr>
        <w:widowControl/>
        <w:ind w:left="4320"/>
        <w:jc w:val="left"/>
      </w:pPr>
    </w:p>
    <w:p w14:paraId="40FFB243" w14:textId="77777777" w:rsidR="00353DED" w:rsidRDefault="00353DED">
      <w:pPr>
        <w:widowControl/>
        <w:ind w:left="4320"/>
        <w:jc w:val="left"/>
      </w:pPr>
    </w:p>
    <w:p w14:paraId="2C6696F2" w14:textId="77777777" w:rsidR="00353DED" w:rsidRDefault="00353DED">
      <w:pPr>
        <w:widowControl/>
        <w:ind w:left="4320"/>
        <w:jc w:val="left"/>
      </w:pPr>
    </w:p>
    <w:p w14:paraId="76B99D40" w14:textId="77777777" w:rsidR="00353DED" w:rsidRDefault="006A704A">
      <w:pPr>
        <w:widowControl/>
        <w:ind w:left="4320"/>
        <w:jc w:val="left"/>
        <w:rPr>
          <w:color w:val="000000"/>
        </w:rPr>
      </w:pPr>
      <w:r>
        <w:t xml:space="preserve">Pamela </w:t>
      </w:r>
      <w:r w:rsidR="007E13FA">
        <w:t xml:space="preserve">S. </w:t>
      </w:r>
      <w:r>
        <w:t>Arluk</w:t>
      </w:r>
      <w:r w:rsidR="00353DED">
        <w:t xml:space="preserve"> </w:t>
      </w:r>
    </w:p>
    <w:p w14:paraId="49D28A33" w14:textId="5AAE1377" w:rsidR="00146799" w:rsidRDefault="00353DED">
      <w:pPr>
        <w:widowControl/>
        <w:ind w:left="4320"/>
        <w:jc w:val="left"/>
        <w:rPr>
          <w:color w:val="000000"/>
        </w:rPr>
      </w:pPr>
      <w:r>
        <w:rPr>
          <w:color w:val="000000"/>
        </w:rPr>
        <w:t>Chief</w:t>
      </w:r>
    </w:p>
    <w:p w14:paraId="2D0C9A60" w14:textId="77777777" w:rsidR="00353DED" w:rsidRDefault="00353DED">
      <w:pPr>
        <w:widowControl/>
        <w:ind w:left="4320"/>
        <w:jc w:val="left"/>
        <w:rPr>
          <w:color w:val="000000"/>
        </w:rPr>
      </w:pPr>
      <w:r>
        <w:rPr>
          <w:color w:val="000000"/>
        </w:rPr>
        <w:t>Pricing Policy Division</w:t>
      </w:r>
    </w:p>
    <w:p w14:paraId="578B122A" w14:textId="77777777" w:rsidR="00DE5BDD" w:rsidRDefault="00353DED">
      <w:pPr>
        <w:widowControl/>
        <w:ind w:left="4320"/>
        <w:jc w:val="left"/>
      </w:pPr>
      <w:r>
        <w:rPr>
          <w:color w:val="000000"/>
        </w:rPr>
        <w:t>Wireline Competition Bureau</w:t>
      </w:r>
    </w:p>
    <w:sectPr w:rsidR="00DE5BD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F0D8" w14:textId="77777777" w:rsidR="007E52E1" w:rsidRDefault="007E52E1">
      <w:pPr>
        <w:spacing w:line="20" w:lineRule="exact"/>
      </w:pPr>
    </w:p>
  </w:endnote>
  <w:endnote w:type="continuationSeparator" w:id="0">
    <w:p w14:paraId="17B5CCC1" w14:textId="77777777" w:rsidR="007E52E1" w:rsidRDefault="007E52E1">
      <w:r>
        <w:t xml:space="preserve"> </w:t>
      </w:r>
    </w:p>
  </w:endnote>
  <w:endnote w:type="continuationNotice" w:id="1">
    <w:p w14:paraId="3334DF00" w14:textId="77777777" w:rsidR="007E52E1" w:rsidRDefault="007E52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4BF7" w14:textId="77777777" w:rsidR="00353DED" w:rsidRDefault="00353DED">
    <w:pPr>
      <w:pStyle w:val="Footer"/>
      <w:framePr w:wrap="around" w:vAnchor="text" w:hAnchor="margin" w:xAlign="center" w:y="1"/>
    </w:pPr>
    <w:r>
      <w:fldChar w:fldCharType="begin"/>
    </w:r>
    <w:r>
      <w:instrText xml:space="preserve">PAGE  </w:instrText>
    </w:r>
    <w:r>
      <w:fldChar w:fldCharType="separate"/>
    </w:r>
    <w:r>
      <w:rPr>
        <w:noProof/>
      </w:rPr>
      <w:t>16</w:t>
    </w:r>
    <w:r>
      <w:fldChar w:fldCharType="end"/>
    </w:r>
  </w:p>
  <w:p w14:paraId="4C89330C" w14:textId="77777777" w:rsidR="00353DED" w:rsidRDefault="0035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DCB6" w14:textId="77777777" w:rsidR="00353DED" w:rsidRPr="002742F2" w:rsidRDefault="00353DED">
    <w:pPr>
      <w:pStyle w:val="Footer"/>
      <w:jc w:val="center"/>
      <w:rPr>
        <w:szCs w:val="22"/>
      </w:rPr>
    </w:pPr>
    <w:r w:rsidRPr="002742F2">
      <w:rPr>
        <w:rStyle w:val="PageNumber"/>
        <w:szCs w:val="22"/>
      </w:rPr>
      <w:fldChar w:fldCharType="begin"/>
    </w:r>
    <w:r w:rsidRPr="002742F2">
      <w:rPr>
        <w:rStyle w:val="PageNumber"/>
        <w:szCs w:val="22"/>
      </w:rPr>
      <w:instrText xml:space="preserve"> PAGE </w:instrText>
    </w:r>
    <w:r w:rsidRPr="002742F2">
      <w:rPr>
        <w:rStyle w:val="PageNumber"/>
        <w:szCs w:val="22"/>
      </w:rPr>
      <w:fldChar w:fldCharType="separate"/>
    </w:r>
    <w:r w:rsidR="000B4D80">
      <w:rPr>
        <w:rStyle w:val="PageNumber"/>
        <w:noProof/>
        <w:szCs w:val="22"/>
      </w:rPr>
      <w:t>2</w:t>
    </w:r>
    <w:r w:rsidRPr="002742F2">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A0D6" w14:textId="77777777" w:rsidR="00353DED" w:rsidRDefault="00353DE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32CF3" w14:textId="77777777" w:rsidR="007E52E1" w:rsidRDefault="007E52E1">
      <w:r>
        <w:separator/>
      </w:r>
    </w:p>
  </w:footnote>
  <w:footnote w:type="continuationSeparator" w:id="0">
    <w:p w14:paraId="291A375F" w14:textId="77777777" w:rsidR="007E52E1" w:rsidRDefault="007E52E1">
      <w:pPr>
        <w:rPr>
          <w:sz w:val="20"/>
        </w:rPr>
      </w:pPr>
      <w:r>
        <w:rPr>
          <w:sz w:val="20"/>
        </w:rPr>
        <w:t xml:space="preserve">(Continued from previous page)  </w:t>
      </w:r>
      <w:r>
        <w:rPr>
          <w:sz w:val="20"/>
        </w:rPr>
        <w:separator/>
      </w:r>
    </w:p>
  </w:footnote>
  <w:footnote w:type="continuationNotice" w:id="1">
    <w:p w14:paraId="1DE1EF5C" w14:textId="77777777" w:rsidR="007E52E1" w:rsidRDefault="007E52E1">
      <w:pPr>
        <w:rPr>
          <w:sz w:val="20"/>
        </w:rPr>
      </w:pPr>
      <w:r>
        <w:rPr>
          <w:sz w:val="20"/>
        </w:rPr>
        <w:t>(continued….)</w:t>
      </w:r>
    </w:p>
  </w:footnote>
  <w:footnote w:id="2">
    <w:p w14:paraId="25619697" w14:textId="58DD47F4" w:rsidR="006A704A" w:rsidRPr="002250D8" w:rsidRDefault="006A704A" w:rsidP="006A704A">
      <w:pPr>
        <w:pStyle w:val="FootnoteText"/>
        <w:spacing w:after="120"/>
      </w:pPr>
      <w:r w:rsidRPr="002250D8">
        <w:rPr>
          <w:rStyle w:val="FootnoteReference"/>
        </w:rPr>
        <w:footnoteRef/>
      </w:r>
      <w:r w:rsidRPr="002250D8">
        <w:rPr>
          <w:color w:val="000000"/>
        </w:rPr>
        <w:t xml:space="preserve"> </w:t>
      </w:r>
      <w:r w:rsidR="004F2C3E" w:rsidRPr="002250D8">
        <w:t>Letter from Richar</w:t>
      </w:r>
      <w:r w:rsidR="004F2C3E">
        <w:t xml:space="preserve">d A. Askoff, Executive Director, </w:t>
      </w:r>
      <w:r w:rsidR="004F2C3E" w:rsidRPr="002250D8">
        <w:t>Regulatory, NECA, to Marlene H. Dortch, Secretary, FCC, WC Docket No. 1</w:t>
      </w:r>
      <w:r w:rsidR="004F2C3E">
        <w:t>5</w:t>
      </w:r>
      <w:r w:rsidR="004F2C3E" w:rsidRPr="002250D8">
        <w:t>-2</w:t>
      </w:r>
      <w:r w:rsidR="004F2C3E">
        <w:t>98, Attach</w:t>
      </w:r>
      <w:r w:rsidR="004F2C3E" w:rsidRPr="002250D8">
        <w:t xml:space="preserve"> (filed Dec. 23, 201</w:t>
      </w:r>
      <w:r w:rsidR="004F2C3E">
        <w:t>5</w:t>
      </w:r>
      <w:r w:rsidR="004F2C3E" w:rsidRPr="002250D8">
        <w:t>)</w:t>
      </w:r>
      <w:r w:rsidR="004F2C3E">
        <w:t xml:space="preserve"> (</w:t>
      </w:r>
      <w:r w:rsidR="004F2C3E" w:rsidRPr="00146799">
        <w:t>NECA Proposed 2016 Modification of Average Schedules</w:t>
      </w:r>
      <w:r w:rsidR="004F2C3E">
        <w:t xml:space="preserve">); </w:t>
      </w:r>
      <w:r w:rsidR="004F2C3E">
        <w:rPr>
          <w:i/>
        </w:rPr>
        <w:t xml:space="preserve">see </w:t>
      </w:r>
      <w:r w:rsidRPr="002250D8">
        <w:rPr>
          <w:color w:val="000000"/>
        </w:rPr>
        <w:t xml:space="preserve">47 CFR § 69.606(b).  </w:t>
      </w:r>
    </w:p>
  </w:footnote>
  <w:footnote w:id="3">
    <w:p w14:paraId="2BDAE690" w14:textId="6EDF56E1" w:rsidR="006A704A" w:rsidRPr="002250D8" w:rsidRDefault="006A704A" w:rsidP="006A704A">
      <w:pPr>
        <w:pStyle w:val="FootnoteText"/>
        <w:spacing w:after="120"/>
      </w:pPr>
      <w:r w:rsidRPr="002250D8">
        <w:rPr>
          <w:rStyle w:val="FootnoteReference"/>
        </w:rPr>
        <w:footnoteRef/>
      </w:r>
      <w:r w:rsidRPr="002250D8">
        <w:t xml:space="preserve"> </w:t>
      </w:r>
      <w:r w:rsidR="004F2C3E" w:rsidRPr="00146799">
        <w:t>NECA Proposed 2016 Modification of Average Schedules</w:t>
      </w:r>
      <w:r w:rsidRPr="002250D8">
        <w:t xml:space="preserve"> at Summary-1.</w:t>
      </w:r>
    </w:p>
  </w:footnote>
  <w:footnote w:id="4">
    <w:p w14:paraId="07CBF5A3" w14:textId="77777777" w:rsidR="00850A44" w:rsidRDefault="00850A44" w:rsidP="007B24B4">
      <w:pPr>
        <w:pStyle w:val="FootnoteText"/>
        <w:spacing w:after="120"/>
      </w:pPr>
      <w:r>
        <w:rPr>
          <w:rStyle w:val="FootnoteReference"/>
        </w:rPr>
        <w:footnoteRef/>
      </w:r>
      <w:r>
        <w:t xml:space="preserve"> </w:t>
      </w:r>
      <w:r>
        <w:rPr>
          <w:i/>
        </w:rPr>
        <w:t>Id</w:t>
      </w:r>
      <w:r>
        <w:t>.</w:t>
      </w:r>
    </w:p>
  </w:footnote>
  <w:footnote w:id="5">
    <w:p w14:paraId="369B2118" w14:textId="77777777" w:rsidR="006A704A" w:rsidRPr="002250D8" w:rsidRDefault="006A704A" w:rsidP="006A704A">
      <w:pPr>
        <w:pStyle w:val="FootnoteText"/>
        <w:spacing w:after="120"/>
      </w:pPr>
      <w:r w:rsidRPr="002250D8">
        <w:rPr>
          <w:rStyle w:val="FootnoteReference"/>
        </w:rPr>
        <w:footnoteRef/>
      </w:r>
      <w:r w:rsidRPr="002250D8">
        <w:t xml:space="preserve"> </w:t>
      </w:r>
      <w:r w:rsidRPr="002250D8">
        <w:rPr>
          <w:i/>
        </w:rPr>
        <w:t>Id</w:t>
      </w:r>
      <w:r w:rsidRPr="002250D8">
        <w:t>.</w:t>
      </w:r>
      <w:r w:rsidR="001871D6">
        <w:t xml:space="preserve"> </w:t>
      </w:r>
      <w:r w:rsidR="00CB3219">
        <w:t>a</w:t>
      </w:r>
      <w:r w:rsidR="001871D6">
        <w:t>t I-5.</w:t>
      </w:r>
    </w:p>
  </w:footnote>
  <w:footnote w:id="6">
    <w:p w14:paraId="78515601" w14:textId="77777777" w:rsidR="001871D6" w:rsidRPr="002250D8" w:rsidRDefault="001871D6" w:rsidP="001871D6">
      <w:pPr>
        <w:pStyle w:val="FootnoteText"/>
        <w:spacing w:after="120"/>
      </w:pPr>
      <w:r w:rsidRPr="002250D8">
        <w:rPr>
          <w:rStyle w:val="FootnoteReference"/>
        </w:rPr>
        <w:footnoteRef/>
      </w:r>
      <w:r w:rsidRPr="002250D8">
        <w:t xml:space="preserve"> </w:t>
      </w:r>
      <w:r w:rsidRPr="002250D8">
        <w:rPr>
          <w:i/>
        </w:rPr>
        <w:t>Id</w:t>
      </w:r>
      <w:r w:rsidRPr="002250D8">
        <w:t>. at I-6.</w:t>
      </w:r>
    </w:p>
  </w:footnote>
  <w:footnote w:id="7">
    <w:p w14:paraId="635D5EB8" w14:textId="77777777" w:rsidR="001871D6" w:rsidRDefault="001871D6" w:rsidP="001871D6">
      <w:pPr>
        <w:pStyle w:val="FootnoteText"/>
      </w:pPr>
      <w:r>
        <w:rPr>
          <w:rStyle w:val="FootnoteReference"/>
        </w:rPr>
        <w:footnoteRef/>
      </w:r>
      <w:r>
        <w:t xml:space="preserve"> </w:t>
      </w:r>
      <w:r>
        <w:rPr>
          <w:i/>
        </w:rPr>
        <w:t>Id</w:t>
      </w:r>
      <w:r>
        <w:t>.</w:t>
      </w:r>
    </w:p>
  </w:footnote>
  <w:footnote w:id="8">
    <w:p w14:paraId="1007AA83" w14:textId="77777777" w:rsidR="00353DED" w:rsidRDefault="00353DED" w:rsidP="00A853D4">
      <w:pPr>
        <w:pStyle w:val="FootnoteText"/>
        <w:tabs>
          <w:tab w:val="clear" w:pos="720"/>
          <w:tab w:val="clear" w:pos="1440"/>
          <w:tab w:val="left" w:pos="360"/>
        </w:tabs>
        <w:spacing w:after="120"/>
      </w:pPr>
      <w:r>
        <w:rPr>
          <w:rStyle w:val="FootnoteReference"/>
          <w:sz w:val="20"/>
        </w:rPr>
        <w:footnoteRef/>
      </w:r>
      <w:r>
        <w:t xml:space="preserve"> </w:t>
      </w:r>
      <w:r>
        <w:rPr>
          <w:i/>
        </w:rPr>
        <w:t>National Exchange Carrier Association, Inc.’s Proposed 201</w:t>
      </w:r>
      <w:r w:rsidR="001871D6">
        <w:rPr>
          <w:i/>
        </w:rPr>
        <w:t>6</w:t>
      </w:r>
      <w:r>
        <w:rPr>
          <w:i/>
        </w:rPr>
        <w:t xml:space="preserve"> Modification of Average Schedule Formulas</w:t>
      </w:r>
      <w:r>
        <w:t>, Public Notice</w:t>
      </w:r>
      <w:r w:rsidRPr="007B24B4">
        <w:t>,</w:t>
      </w:r>
      <w:r w:rsidR="007B24B4">
        <w:t xml:space="preserve"> 31 FCC Rcd 234</w:t>
      </w:r>
      <w:r>
        <w:t xml:space="preserve"> (</w:t>
      </w:r>
      <w:r w:rsidR="00701DCF">
        <w:t>WCB</w:t>
      </w:r>
      <w:r w:rsidRPr="006A704A">
        <w:t xml:space="preserve"> 201</w:t>
      </w:r>
      <w:r w:rsidR="00A933BA">
        <w:t>6</w:t>
      </w:r>
      <w:r w:rsidRPr="006A704A">
        <w:t>).</w:t>
      </w:r>
    </w:p>
  </w:footnote>
  <w:footnote w:id="9">
    <w:p w14:paraId="11252C20" w14:textId="0FC8AE78" w:rsidR="00E03057" w:rsidRDefault="00E03057">
      <w:pPr>
        <w:pStyle w:val="FootnoteText"/>
      </w:pPr>
      <w:r>
        <w:rPr>
          <w:rStyle w:val="FootnoteReference"/>
        </w:rPr>
        <w:footnoteRef/>
      </w:r>
      <w:r>
        <w:t xml:space="preserve"> We note that on March 30, 2016, the Commission released the </w:t>
      </w:r>
      <w:r w:rsidRPr="00D71159">
        <w:rPr>
          <w:i/>
        </w:rPr>
        <w:t>Rate-of-Return Reform Order</w:t>
      </w:r>
      <w:r>
        <w:t xml:space="preserve">, which, among other things, represcribed the authorized rate of return from 11.25 percent to 9.75 percent.  </w:t>
      </w:r>
      <w:r w:rsidRPr="00E03057">
        <w:rPr>
          <w:i/>
        </w:rPr>
        <w:t>See</w:t>
      </w:r>
      <w:r>
        <w:t xml:space="preserve"> </w:t>
      </w:r>
      <w:r w:rsidRPr="00E03057">
        <w:rPr>
          <w:i/>
        </w:rPr>
        <w:t>Connect America Fund; ETC Annual Reports and Certifications; Developing a Unified Intercarrier Compensation Regime</w:t>
      </w:r>
      <w:r>
        <w:t>, Report and Order, Order and Order on Reconsideration, and Furthe</w:t>
      </w:r>
      <w:r w:rsidR="00AE47A2">
        <w:t>r Notice of Proposed Rulemaking</w:t>
      </w:r>
      <w:r w:rsidR="00B51054">
        <w:t xml:space="preserve">, </w:t>
      </w:r>
      <w:r w:rsidRPr="00B51054">
        <w:t>FCC</w:t>
      </w:r>
      <w:r w:rsidR="00DA4513">
        <w:t xml:space="preserve"> 16-33</w:t>
      </w:r>
      <w:r w:rsidRPr="00B51054">
        <w:t xml:space="preserve"> </w:t>
      </w:r>
      <w:r w:rsidR="00F54246">
        <w:t xml:space="preserve">at 7, 85-126, </w:t>
      </w:r>
      <w:r w:rsidRPr="00B51054">
        <w:t>paras. 10, 226-326 (Mar. 30, 2016) (</w:t>
      </w:r>
      <w:r w:rsidRPr="00B51054">
        <w:rPr>
          <w:i/>
        </w:rPr>
        <w:t>Rate-of-Return Reform Order</w:t>
      </w:r>
      <w:r w:rsidRPr="00B51054">
        <w:t>).</w:t>
      </w:r>
      <w:r w:rsidR="007A0CD2" w:rsidRPr="00B51054">
        <w:t xml:space="preserve">  </w:t>
      </w:r>
      <w:r w:rsidR="00D71159" w:rsidRPr="00B51054">
        <w:t>The rate of</w:t>
      </w:r>
      <w:r w:rsidR="00D71159">
        <w:t xml:space="preserve"> return is a key input in the rate-of-return revenue requirement calculation, which is the basis for a rate-of-return incumbent </w:t>
      </w:r>
      <w:r w:rsidR="00146799">
        <w:t>local exchange carrier</w:t>
      </w:r>
      <w:r w:rsidR="00D71159">
        <w:t xml:space="preserve">’s common line and special access rates, and high-cost support as applicable.  </w:t>
      </w:r>
      <w:r w:rsidR="00D71159" w:rsidRPr="00D71159">
        <w:rPr>
          <w:i/>
        </w:rPr>
        <w:t>Id</w:t>
      </w:r>
      <w:r w:rsidR="00D71159">
        <w:t xml:space="preserve">. at </w:t>
      </w:r>
      <w:r w:rsidR="00F54246">
        <w:t xml:space="preserve">7, </w:t>
      </w:r>
      <w:r w:rsidR="00D71159">
        <w:t xml:space="preserve">para. 10.  </w:t>
      </w:r>
      <w:r w:rsidR="007A0CD2">
        <w:t>Beginning July 1, 2016, the current 11.25 percent rate of return will be reduced by 25 basis points per year until July 1, 2021, when it arrives at the 9.75 percent rate of return</w:t>
      </w:r>
      <w:r w:rsidR="00480326">
        <w:t xml:space="preserve">. </w:t>
      </w:r>
      <w:r w:rsidR="00441286">
        <w:t xml:space="preserve"> </w:t>
      </w:r>
      <w:r w:rsidR="00480326" w:rsidRPr="00D71159">
        <w:rPr>
          <w:i/>
        </w:rPr>
        <w:t>Id</w:t>
      </w:r>
      <w:r w:rsidR="00480326">
        <w:t xml:space="preserve">. at </w:t>
      </w:r>
      <w:r w:rsidR="00F54246">
        <w:t xml:space="preserve">126, </w:t>
      </w:r>
      <w:r w:rsidR="00480326">
        <w:t>para. 326.</w:t>
      </w:r>
      <w:r w:rsidR="00053B93">
        <w:t xml:space="preserve"> </w:t>
      </w:r>
      <w:r w:rsidR="00480326">
        <w:t xml:space="preserve"> </w:t>
      </w:r>
      <w:r w:rsidR="00053B93">
        <w:t xml:space="preserve">We do not believe that it is necessary for NECA to </w:t>
      </w:r>
      <w:r w:rsidR="004F3015">
        <w:t>further revise the average schedule formulas</w:t>
      </w:r>
      <w:r w:rsidR="00053B93">
        <w:t xml:space="preserve"> in order to implement the annual rate</w:t>
      </w:r>
      <w:r w:rsidR="00146799">
        <w:t>-</w:t>
      </w:r>
      <w:r w:rsidR="00053B93">
        <w:t>of</w:t>
      </w:r>
      <w:r w:rsidR="00146799">
        <w:t>-</w:t>
      </w:r>
      <w:r w:rsidR="00053B93">
        <w:t xml:space="preserve">return reductions contemplated by the </w:t>
      </w:r>
      <w:r w:rsidR="00053B93" w:rsidRPr="00053B93">
        <w:rPr>
          <w:i/>
        </w:rPr>
        <w:t>Rate-of Return Reform Order</w:t>
      </w:r>
      <w:r w:rsidR="00053B93">
        <w:t xml:space="preserve"> beginning July 1, 2016</w:t>
      </w:r>
      <w:r w:rsidR="00266B4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803F" w14:textId="77777777" w:rsidR="00EF405D" w:rsidRDefault="00EF4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83AF" w14:textId="3AA65D71" w:rsidR="00353DED" w:rsidRDefault="00353DED">
    <w:pPr>
      <w:pStyle w:val="Header"/>
    </w:pPr>
    <w:r>
      <w:tab/>
      <w:t>Federal Communications Commission</w:t>
    </w:r>
    <w:r>
      <w:tab/>
      <w:t>DA 1</w:t>
    </w:r>
    <w:r w:rsidR="00DA3A4F">
      <w:t>6</w:t>
    </w:r>
    <w:r w:rsidR="006A704A">
      <w:t>-</w:t>
    </w:r>
    <w:r w:rsidR="009C6236">
      <w:t>480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C298" w14:textId="41C88C46" w:rsidR="00353DED" w:rsidRDefault="00353DED">
    <w:pPr>
      <w:pStyle w:val="Header"/>
    </w:pPr>
    <w:r>
      <w:tab/>
      <w:t>Federal Communications Commission</w:t>
    </w:r>
    <w:r>
      <w:tab/>
      <w:t>DA 1</w:t>
    </w:r>
    <w:r w:rsidR="00DA3A4F">
      <w:t>6</w:t>
    </w:r>
    <w:r>
      <w:t>-</w:t>
    </w:r>
    <w:r w:rsidR="009C6236">
      <w:t>480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170"/>
        </w:tabs>
        <w:ind w:left="9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5">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6">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DB6C729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1">
    <w:nsid w:val="305E3024"/>
    <w:multiLevelType w:val="singleLevel"/>
    <w:tmpl w:val="EA9E5D9A"/>
    <w:lvl w:ilvl="0">
      <w:start w:val="2"/>
      <w:numFmt w:val="decimal"/>
      <w:lvlText w:val="%1."/>
      <w:lvlJc w:val="left"/>
      <w:pPr>
        <w:tabs>
          <w:tab w:val="num" w:pos="1080"/>
        </w:tabs>
        <w:ind w:left="0" w:firstLine="720"/>
      </w:pPr>
    </w:lvl>
  </w:abstractNum>
  <w:abstractNum w:abstractNumId="12">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5">
    <w:nsid w:val="43D27EFD"/>
    <w:multiLevelType w:val="singleLevel"/>
    <w:tmpl w:val="42701C86"/>
    <w:lvl w:ilvl="0">
      <w:start w:val="1"/>
      <w:numFmt w:val="decimal"/>
      <w:lvlText w:val="%1."/>
      <w:lvlJc w:val="left"/>
      <w:pPr>
        <w:tabs>
          <w:tab w:val="num" w:pos="1440"/>
        </w:tabs>
        <w:ind w:left="1440" w:hanging="720"/>
      </w:pPr>
    </w:lvl>
  </w:abstractNum>
  <w:abstractNum w:abstractNumId="16">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8"/>
  </w:num>
  <w:num w:numId="3">
    <w:abstractNumId w:val="3"/>
  </w:num>
  <w:num w:numId="4">
    <w:abstractNumId w:val="18"/>
  </w:num>
  <w:num w:numId="5">
    <w:abstractNumId w:val="21"/>
  </w:num>
  <w:num w:numId="6">
    <w:abstractNumId w:val="11"/>
  </w:num>
  <w:num w:numId="7">
    <w:abstractNumId w:val="12"/>
  </w:num>
  <w:num w:numId="8">
    <w:abstractNumId w:val="15"/>
  </w:num>
  <w:num w:numId="9">
    <w:abstractNumId w:val="1"/>
  </w:num>
  <w:num w:numId="10">
    <w:abstractNumId w:val="0"/>
  </w:num>
  <w:num w:numId="11">
    <w:abstractNumId w:val="4"/>
  </w:num>
  <w:num w:numId="12">
    <w:abstractNumId w:val="10"/>
  </w:num>
  <w:num w:numId="13">
    <w:abstractNumId w:val="3"/>
  </w:num>
  <w:num w:numId="14">
    <w:abstractNumId w:val="16"/>
  </w:num>
  <w:num w:numId="15">
    <w:abstractNumId w:val="5"/>
  </w:num>
  <w:num w:numId="16">
    <w:abstractNumId w:val="14"/>
  </w:num>
  <w:num w:numId="17">
    <w:abstractNumId w:val="6"/>
  </w:num>
  <w:num w:numId="18">
    <w:abstractNumId w:val="22"/>
  </w:num>
  <w:num w:numId="19">
    <w:abstractNumId w:val="2"/>
  </w:num>
  <w:num w:numId="20">
    <w:abstractNumId w:val="19"/>
  </w:num>
  <w:num w:numId="21">
    <w:abstractNumId w:val="9"/>
  </w:num>
  <w:num w:numId="22">
    <w:abstractNumId w:val="2"/>
  </w:num>
  <w:num w:numId="23">
    <w:abstractNumId w:val="19"/>
  </w:num>
  <w:num w:numId="24">
    <w:abstractNumId w:val="19"/>
  </w:num>
  <w:num w:numId="25">
    <w:abstractNumId w:val="19"/>
  </w:num>
  <w:num w:numId="26">
    <w:abstractNumId w:val="23"/>
  </w:num>
  <w:num w:numId="27">
    <w:abstractNumId w:val="7"/>
  </w:num>
  <w:num w:numId="28">
    <w:abstractNumId w:val="9"/>
  </w:num>
  <w:num w:numId="29">
    <w:abstractNumId w:val="2"/>
    <w:lvlOverride w:ilvl="0">
      <w:startOverride w:val="14"/>
    </w:lvlOverride>
  </w:num>
  <w:num w:numId="30">
    <w:abstractNumId w:val="2"/>
    <w:lvlOverride w:ilvl="0">
      <w:startOverride w:val="17"/>
    </w:lvlOverride>
  </w:num>
  <w:num w:numId="31">
    <w:abstractNumId w:val="2"/>
    <w:lvlOverride w:ilvl="0">
      <w:startOverride w:val="17"/>
    </w:lvlOverride>
  </w:num>
  <w:num w:numId="32">
    <w:abstractNumId w:val="17"/>
  </w:num>
  <w:num w:numId="33">
    <w:abstractNumId w:val="13"/>
  </w:num>
  <w:num w:numId="34">
    <w:abstractNumId w:val="2"/>
    <w:lvlOverride w:ilvl="0">
      <w:startOverride w:val="1"/>
    </w:lvlOverride>
  </w:num>
  <w:num w:numId="35">
    <w:abstractNumId w:val="2"/>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3D"/>
    <w:rsid w:val="00053B93"/>
    <w:rsid w:val="000B4D80"/>
    <w:rsid w:val="000F7971"/>
    <w:rsid w:val="00123E8A"/>
    <w:rsid w:val="00146799"/>
    <w:rsid w:val="00167930"/>
    <w:rsid w:val="001871D6"/>
    <w:rsid w:val="00266B48"/>
    <w:rsid w:val="002742F2"/>
    <w:rsid w:val="002750A3"/>
    <w:rsid w:val="00353DED"/>
    <w:rsid w:val="003B4667"/>
    <w:rsid w:val="004156DC"/>
    <w:rsid w:val="004258F3"/>
    <w:rsid w:val="00441286"/>
    <w:rsid w:val="00443904"/>
    <w:rsid w:val="00453016"/>
    <w:rsid w:val="004653CE"/>
    <w:rsid w:val="00474DB6"/>
    <w:rsid w:val="00480326"/>
    <w:rsid w:val="004B710F"/>
    <w:rsid w:val="004E699B"/>
    <w:rsid w:val="004F2C3E"/>
    <w:rsid w:val="004F3015"/>
    <w:rsid w:val="00547AF2"/>
    <w:rsid w:val="005B440B"/>
    <w:rsid w:val="005F53F7"/>
    <w:rsid w:val="006337DF"/>
    <w:rsid w:val="006A704A"/>
    <w:rsid w:val="006B7E65"/>
    <w:rsid w:val="006D3863"/>
    <w:rsid w:val="00701DCF"/>
    <w:rsid w:val="00703CB8"/>
    <w:rsid w:val="00746E10"/>
    <w:rsid w:val="00766DB6"/>
    <w:rsid w:val="00795460"/>
    <w:rsid w:val="007A0CD2"/>
    <w:rsid w:val="007B24B4"/>
    <w:rsid w:val="007C47CC"/>
    <w:rsid w:val="007C5D94"/>
    <w:rsid w:val="007E13FA"/>
    <w:rsid w:val="007E48C2"/>
    <w:rsid w:val="007E52E1"/>
    <w:rsid w:val="00850A44"/>
    <w:rsid w:val="00874B31"/>
    <w:rsid w:val="008A4786"/>
    <w:rsid w:val="008B4BEB"/>
    <w:rsid w:val="008C3B3D"/>
    <w:rsid w:val="009322F5"/>
    <w:rsid w:val="0096439D"/>
    <w:rsid w:val="009B05A4"/>
    <w:rsid w:val="009C6236"/>
    <w:rsid w:val="00A853D4"/>
    <w:rsid w:val="00A8759C"/>
    <w:rsid w:val="00A933BA"/>
    <w:rsid w:val="00AC2E45"/>
    <w:rsid w:val="00AC4C7D"/>
    <w:rsid w:val="00AE47A2"/>
    <w:rsid w:val="00B51054"/>
    <w:rsid w:val="00B53A9D"/>
    <w:rsid w:val="00BE3C72"/>
    <w:rsid w:val="00C60999"/>
    <w:rsid w:val="00C93B69"/>
    <w:rsid w:val="00CB3219"/>
    <w:rsid w:val="00D71159"/>
    <w:rsid w:val="00DA3A4F"/>
    <w:rsid w:val="00DA4513"/>
    <w:rsid w:val="00DA6F86"/>
    <w:rsid w:val="00DE5BDD"/>
    <w:rsid w:val="00DF3CF7"/>
    <w:rsid w:val="00E0040C"/>
    <w:rsid w:val="00E03057"/>
    <w:rsid w:val="00E87A9B"/>
    <w:rsid w:val="00EF405D"/>
    <w:rsid w:val="00F54246"/>
    <w:rsid w:val="00F870B8"/>
    <w:rsid w:val="00FA05E4"/>
    <w:rsid w:val="00FA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69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146799"/>
    <w:rPr>
      <w:sz w:val="16"/>
      <w:szCs w:val="16"/>
    </w:rPr>
  </w:style>
  <w:style w:type="paragraph" w:styleId="CommentText">
    <w:name w:val="annotation text"/>
    <w:basedOn w:val="Normal"/>
    <w:link w:val="CommentTextChar"/>
    <w:rsid w:val="00146799"/>
    <w:rPr>
      <w:sz w:val="20"/>
    </w:rPr>
  </w:style>
  <w:style w:type="character" w:customStyle="1" w:styleId="CommentTextChar">
    <w:name w:val="Comment Text Char"/>
    <w:basedOn w:val="DefaultParagraphFont"/>
    <w:link w:val="CommentText"/>
    <w:rsid w:val="00146799"/>
    <w:rPr>
      <w:snapToGrid w:val="0"/>
      <w:kern w:val="28"/>
    </w:rPr>
  </w:style>
  <w:style w:type="paragraph" w:styleId="CommentSubject">
    <w:name w:val="annotation subject"/>
    <w:basedOn w:val="CommentText"/>
    <w:next w:val="CommentText"/>
    <w:link w:val="CommentSubjectChar"/>
    <w:rsid w:val="00146799"/>
    <w:rPr>
      <w:b/>
      <w:bCs/>
    </w:rPr>
  </w:style>
  <w:style w:type="character" w:customStyle="1" w:styleId="CommentSubjectChar">
    <w:name w:val="Comment Subject Char"/>
    <w:basedOn w:val="CommentTextChar"/>
    <w:link w:val="CommentSubject"/>
    <w:rsid w:val="0014679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146799"/>
    <w:rPr>
      <w:sz w:val="16"/>
      <w:szCs w:val="16"/>
    </w:rPr>
  </w:style>
  <w:style w:type="paragraph" w:styleId="CommentText">
    <w:name w:val="annotation text"/>
    <w:basedOn w:val="Normal"/>
    <w:link w:val="CommentTextChar"/>
    <w:rsid w:val="00146799"/>
    <w:rPr>
      <w:sz w:val="20"/>
    </w:rPr>
  </w:style>
  <w:style w:type="character" w:customStyle="1" w:styleId="CommentTextChar">
    <w:name w:val="Comment Text Char"/>
    <w:basedOn w:val="DefaultParagraphFont"/>
    <w:link w:val="CommentText"/>
    <w:rsid w:val="00146799"/>
    <w:rPr>
      <w:snapToGrid w:val="0"/>
      <w:kern w:val="28"/>
    </w:rPr>
  </w:style>
  <w:style w:type="paragraph" w:styleId="CommentSubject">
    <w:name w:val="annotation subject"/>
    <w:basedOn w:val="CommentText"/>
    <w:next w:val="CommentText"/>
    <w:link w:val="CommentSubjectChar"/>
    <w:rsid w:val="00146799"/>
    <w:rPr>
      <w:b/>
      <w:bCs/>
    </w:rPr>
  </w:style>
  <w:style w:type="character" w:customStyle="1" w:styleId="CommentSubjectChar">
    <w:name w:val="Comment Subject Char"/>
    <w:basedOn w:val="CommentTextChar"/>
    <w:link w:val="CommentSubject"/>
    <w:rsid w:val="0014679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5606">
      <w:bodyDiv w:val="1"/>
      <w:marLeft w:val="0"/>
      <w:marRight w:val="0"/>
      <w:marTop w:val="0"/>
      <w:marBottom w:val="0"/>
      <w:divBdr>
        <w:top w:val="none" w:sz="0" w:space="0" w:color="auto"/>
        <w:left w:val="none" w:sz="0" w:space="0" w:color="auto"/>
        <w:bottom w:val="none" w:sz="0" w:space="0" w:color="auto"/>
        <w:right w:val="none" w:sz="0" w:space="0" w:color="auto"/>
      </w:divBdr>
    </w:div>
    <w:div w:id="1865901516">
      <w:bodyDiv w:val="1"/>
      <w:marLeft w:val="0"/>
      <w:marRight w:val="0"/>
      <w:marTop w:val="0"/>
      <w:marBottom w:val="0"/>
      <w:divBdr>
        <w:top w:val="none" w:sz="0" w:space="0" w:color="auto"/>
        <w:left w:val="none" w:sz="0" w:space="0" w:color="auto"/>
        <w:bottom w:val="none" w:sz="0" w:space="0" w:color="auto"/>
        <w:right w:val="none" w:sz="0" w:space="0" w:color="auto"/>
      </w:divBdr>
    </w:div>
    <w:div w:id="1902248269">
      <w:bodyDiv w:val="1"/>
      <w:marLeft w:val="0"/>
      <w:marRight w:val="0"/>
      <w:marTop w:val="0"/>
      <w:marBottom w:val="0"/>
      <w:divBdr>
        <w:top w:val="none" w:sz="0" w:space="0" w:color="auto"/>
        <w:left w:val="none" w:sz="0" w:space="0" w:color="auto"/>
        <w:bottom w:val="none" w:sz="0" w:space="0" w:color="auto"/>
        <w:right w:val="none" w:sz="0" w:space="0" w:color="auto"/>
      </w:divBdr>
    </w:div>
    <w:div w:id="19227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2520</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2010-03-30T18:30:00Z</cp:lastPrinted>
  <dcterms:created xsi:type="dcterms:W3CDTF">2016-05-03T16:49:00Z</dcterms:created>
  <dcterms:modified xsi:type="dcterms:W3CDTF">2016-05-03T16:49:00Z</dcterms:modified>
  <cp:category> </cp:category>
  <cp:contentStatus> </cp:contentStatus>
</cp:coreProperties>
</file>