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CC960" w14:textId="77777777" w:rsidR="003A1A12" w:rsidRDefault="003A1A12" w:rsidP="003A1A12">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0BA62F23" w14:textId="77777777" w:rsidR="003A1A12" w:rsidRDefault="003A1A12" w:rsidP="003A1A12">
      <w:pPr>
        <w:pStyle w:val="StyleBoldCentered"/>
      </w:pPr>
      <w:r>
        <w:t>F</w:t>
      </w:r>
      <w:r>
        <w:rPr>
          <w:caps w:val="0"/>
        </w:rPr>
        <w:t>ederal Communications Commission</w:t>
      </w:r>
    </w:p>
    <w:p w14:paraId="016AFB3B" w14:textId="77777777" w:rsidR="003A1A12" w:rsidRDefault="003A1A12" w:rsidP="003A1A12">
      <w:pPr>
        <w:pStyle w:val="StyleBoldCentered"/>
      </w:pPr>
      <w:r>
        <w:rPr>
          <w:caps w:val="0"/>
        </w:rPr>
        <w:t>Washington, D.C. 20554</w:t>
      </w:r>
    </w:p>
    <w:p w14:paraId="0034ABAD" w14:textId="77777777" w:rsidR="003A1A12" w:rsidRDefault="003A1A12" w:rsidP="003A1A12"/>
    <w:p w14:paraId="7FAAC9E3" w14:textId="77777777" w:rsidR="003A1A12" w:rsidRDefault="003A1A12" w:rsidP="003A1A12"/>
    <w:tbl>
      <w:tblPr>
        <w:tblW w:w="0" w:type="auto"/>
        <w:tblLayout w:type="fixed"/>
        <w:tblLook w:val="0000" w:firstRow="0" w:lastRow="0" w:firstColumn="0" w:lastColumn="0" w:noHBand="0" w:noVBand="0"/>
      </w:tblPr>
      <w:tblGrid>
        <w:gridCol w:w="4698"/>
        <w:gridCol w:w="630"/>
        <w:gridCol w:w="4248"/>
      </w:tblGrid>
      <w:tr w:rsidR="003A1A12" w14:paraId="0EDD32F1" w14:textId="77777777" w:rsidTr="0050703F">
        <w:tc>
          <w:tcPr>
            <w:tcW w:w="4698" w:type="dxa"/>
          </w:tcPr>
          <w:p w14:paraId="560FFE16" w14:textId="77777777" w:rsidR="003A1A12" w:rsidRDefault="003A1A12" w:rsidP="0050703F">
            <w:pPr>
              <w:tabs>
                <w:tab w:val="center" w:pos="4680"/>
              </w:tabs>
              <w:suppressAutoHyphens/>
              <w:rPr>
                <w:spacing w:val="-2"/>
              </w:rPr>
            </w:pPr>
            <w:r>
              <w:rPr>
                <w:spacing w:val="-2"/>
              </w:rPr>
              <w:t>In the Matter of</w:t>
            </w:r>
          </w:p>
          <w:p w14:paraId="3E9386A8" w14:textId="77777777" w:rsidR="003A1A12" w:rsidRDefault="003A1A12" w:rsidP="0050703F">
            <w:pPr>
              <w:tabs>
                <w:tab w:val="center" w:pos="4680"/>
              </w:tabs>
              <w:suppressAutoHyphens/>
              <w:rPr>
                <w:spacing w:val="-2"/>
              </w:rPr>
            </w:pPr>
          </w:p>
          <w:p w14:paraId="3CA1ADC1" w14:textId="77777777" w:rsidR="003A1A12" w:rsidRDefault="003A1A12" w:rsidP="0050703F">
            <w:pPr>
              <w:tabs>
                <w:tab w:val="center" w:pos="4680"/>
              </w:tabs>
              <w:suppressAutoHyphens/>
              <w:rPr>
                <w:spacing w:val="-2"/>
              </w:rPr>
            </w:pPr>
            <w:r>
              <w:rPr>
                <w:spacing w:val="-2"/>
              </w:rPr>
              <w:t xml:space="preserve">Amendment of Part 11 of the Commission’s Rules Regarding the Emergency Alert System </w:t>
            </w:r>
          </w:p>
          <w:p w14:paraId="21938CF9" w14:textId="77777777" w:rsidR="003A1A12" w:rsidRDefault="003A1A12" w:rsidP="0050703F">
            <w:pPr>
              <w:tabs>
                <w:tab w:val="center" w:pos="4680"/>
              </w:tabs>
              <w:suppressAutoHyphens/>
              <w:rPr>
                <w:spacing w:val="-2"/>
              </w:rPr>
            </w:pPr>
          </w:p>
          <w:p w14:paraId="3493E75A" w14:textId="77777777" w:rsidR="003A1A12" w:rsidRPr="007115F7" w:rsidRDefault="003A1A12" w:rsidP="0050703F">
            <w:pPr>
              <w:tabs>
                <w:tab w:val="center" w:pos="4680"/>
              </w:tabs>
              <w:suppressAutoHyphens/>
              <w:rPr>
                <w:spacing w:val="-2"/>
              </w:rPr>
            </w:pPr>
            <w:r>
              <w:rPr>
                <w:spacing w:val="-2"/>
              </w:rPr>
              <w:t>Wireless Emergency Alerts</w:t>
            </w:r>
          </w:p>
        </w:tc>
        <w:tc>
          <w:tcPr>
            <w:tcW w:w="630" w:type="dxa"/>
          </w:tcPr>
          <w:p w14:paraId="291F38B2" w14:textId="77777777" w:rsidR="003A1A12" w:rsidRDefault="003A1A12" w:rsidP="0050703F">
            <w:pPr>
              <w:tabs>
                <w:tab w:val="center" w:pos="4680"/>
              </w:tabs>
              <w:suppressAutoHyphens/>
              <w:rPr>
                <w:b/>
                <w:spacing w:val="-2"/>
              </w:rPr>
            </w:pPr>
            <w:r>
              <w:rPr>
                <w:b/>
                <w:spacing w:val="-2"/>
              </w:rPr>
              <w:t>)</w:t>
            </w:r>
          </w:p>
          <w:p w14:paraId="2DCEC5B4" w14:textId="77777777" w:rsidR="003A1A12" w:rsidRDefault="003A1A12" w:rsidP="0050703F">
            <w:pPr>
              <w:tabs>
                <w:tab w:val="center" w:pos="4680"/>
              </w:tabs>
              <w:suppressAutoHyphens/>
              <w:rPr>
                <w:b/>
                <w:spacing w:val="-2"/>
              </w:rPr>
            </w:pPr>
            <w:r>
              <w:rPr>
                <w:b/>
                <w:spacing w:val="-2"/>
              </w:rPr>
              <w:t>)</w:t>
            </w:r>
          </w:p>
          <w:p w14:paraId="70835757" w14:textId="77777777" w:rsidR="003A1A12" w:rsidRDefault="003A1A12" w:rsidP="0050703F">
            <w:pPr>
              <w:tabs>
                <w:tab w:val="center" w:pos="4680"/>
              </w:tabs>
              <w:suppressAutoHyphens/>
              <w:rPr>
                <w:b/>
                <w:spacing w:val="-2"/>
              </w:rPr>
            </w:pPr>
            <w:r>
              <w:rPr>
                <w:b/>
                <w:spacing w:val="-2"/>
              </w:rPr>
              <w:t>)</w:t>
            </w:r>
          </w:p>
          <w:p w14:paraId="79BA9359" w14:textId="77777777" w:rsidR="003A1A12" w:rsidRDefault="003A1A12" w:rsidP="0050703F">
            <w:pPr>
              <w:tabs>
                <w:tab w:val="center" w:pos="4680"/>
              </w:tabs>
              <w:suppressAutoHyphens/>
              <w:rPr>
                <w:b/>
                <w:spacing w:val="-2"/>
              </w:rPr>
            </w:pPr>
            <w:r>
              <w:rPr>
                <w:b/>
                <w:spacing w:val="-2"/>
              </w:rPr>
              <w:t>)</w:t>
            </w:r>
          </w:p>
          <w:p w14:paraId="05B3A928" w14:textId="77777777" w:rsidR="003A1A12" w:rsidRDefault="003A1A12" w:rsidP="0050703F">
            <w:pPr>
              <w:tabs>
                <w:tab w:val="center" w:pos="4680"/>
              </w:tabs>
              <w:suppressAutoHyphens/>
              <w:rPr>
                <w:b/>
                <w:spacing w:val="-2"/>
              </w:rPr>
            </w:pPr>
            <w:r>
              <w:rPr>
                <w:b/>
                <w:spacing w:val="-2"/>
              </w:rPr>
              <w:t>)</w:t>
            </w:r>
          </w:p>
          <w:p w14:paraId="586D25B1" w14:textId="77777777" w:rsidR="003A1A12" w:rsidRDefault="003A1A12" w:rsidP="0050703F">
            <w:pPr>
              <w:tabs>
                <w:tab w:val="center" w:pos="4680"/>
              </w:tabs>
              <w:suppressAutoHyphens/>
              <w:rPr>
                <w:b/>
                <w:spacing w:val="-2"/>
              </w:rPr>
            </w:pPr>
            <w:r>
              <w:rPr>
                <w:b/>
                <w:spacing w:val="-2"/>
              </w:rPr>
              <w:t>)</w:t>
            </w:r>
          </w:p>
          <w:p w14:paraId="6E4BE00C" w14:textId="77777777" w:rsidR="003A1A12" w:rsidRDefault="003A1A12" w:rsidP="0050703F">
            <w:pPr>
              <w:tabs>
                <w:tab w:val="center" w:pos="4680"/>
              </w:tabs>
              <w:suppressAutoHyphens/>
              <w:rPr>
                <w:b/>
                <w:spacing w:val="-2"/>
              </w:rPr>
            </w:pPr>
          </w:p>
          <w:p w14:paraId="6FDF2A03" w14:textId="77777777" w:rsidR="003A1A12" w:rsidRDefault="003A1A12" w:rsidP="0050703F">
            <w:pPr>
              <w:tabs>
                <w:tab w:val="center" w:pos="4680"/>
              </w:tabs>
              <w:suppressAutoHyphens/>
              <w:rPr>
                <w:b/>
                <w:spacing w:val="-2"/>
              </w:rPr>
            </w:pPr>
          </w:p>
          <w:p w14:paraId="5F5BA674" w14:textId="77777777" w:rsidR="003A1A12" w:rsidRDefault="003A1A12" w:rsidP="0050703F">
            <w:pPr>
              <w:tabs>
                <w:tab w:val="center" w:pos="4680"/>
              </w:tabs>
              <w:suppressAutoHyphens/>
              <w:rPr>
                <w:spacing w:val="-2"/>
              </w:rPr>
            </w:pPr>
          </w:p>
        </w:tc>
        <w:tc>
          <w:tcPr>
            <w:tcW w:w="4248" w:type="dxa"/>
          </w:tcPr>
          <w:p w14:paraId="5A0DA999" w14:textId="77777777" w:rsidR="003A1A12" w:rsidRDefault="003A1A12" w:rsidP="0050703F">
            <w:pPr>
              <w:tabs>
                <w:tab w:val="center" w:pos="4680"/>
              </w:tabs>
              <w:suppressAutoHyphens/>
              <w:rPr>
                <w:spacing w:val="-2"/>
              </w:rPr>
            </w:pPr>
          </w:p>
          <w:p w14:paraId="59303D47" w14:textId="77777777" w:rsidR="003A1A12" w:rsidRDefault="003A1A12" w:rsidP="0050703F">
            <w:pPr>
              <w:pStyle w:val="TOAHeading"/>
              <w:tabs>
                <w:tab w:val="clear" w:pos="9360"/>
                <w:tab w:val="center" w:pos="4680"/>
              </w:tabs>
              <w:rPr>
                <w:spacing w:val="-2"/>
              </w:rPr>
            </w:pPr>
          </w:p>
          <w:p w14:paraId="2AABBFCF" w14:textId="77777777" w:rsidR="003A1A12" w:rsidRDefault="003A1A12" w:rsidP="0050703F">
            <w:pPr>
              <w:tabs>
                <w:tab w:val="center" w:pos="4680"/>
              </w:tabs>
              <w:suppressAutoHyphens/>
              <w:rPr>
                <w:spacing w:val="-2"/>
              </w:rPr>
            </w:pPr>
            <w:r>
              <w:rPr>
                <w:spacing w:val="-2"/>
              </w:rPr>
              <w:t>PS Docket No. 15-94</w:t>
            </w:r>
          </w:p>
          <w:p w14:paraId="19EA3B13" w14:textId="77777777" w:rsidR="003A1A12" w:rsidRDefault="003A1A12" w:rsidP="0050703F">
            <w:pPr>
              <w:tabs>
                <w:tab w:val="center" w:pos="4680"/>
              </w:tabs>
              <w:suppressAutoHyphens/>
              <w:rPr>
                <w:spacing w:val="-2"/>
              </w:rPr>
            </w:pPr>
          </w:p>
          <w:p w14:paraId="49E8F755" w14:textId="77777777" w:rsidR="003A1A12" w:rsidRDefault="003A1A12" w:rsidP="0050703F">
            <w:pPr>
              <w:tabs>
                <w:tab w:val="center" w:pos="4680"/>
              </w:tabs>
              <w:suppressAutoHyphens/>
              <w:rPr>
                <w:spacing w:val="-2"/>
              </w:rPr>
            </w:pPr>
          </w:p>
          <w:p w14:paraId="096550E6" w14:textId="77777777" w:rsidR="003A1A12" w:rsidRDefault="003A1A12" w:rsidP="0050703F">
            <w:pPr>
              <w:tabs>
                <w:tab w:val="center" w:pos="4680"/>
              </w:tabs>
              <w:suppressAutoHyphens/>
              <w:rPr>
                <w:spacing w:val="-2"/>
              </w:rPr>
            </w:pPr>
            <w:r>
              <w:rPr>
                <w:spacing w:val="-2"/>
              </w:rPr>
              <w:t>PS Docket No. 15-91</w:t>
            </w:r>
          </w:p>
        </w:tc>
      </w:tr>
    </w:tbl>
    <w:p w14:paraId="036021F8" w14:textId="77777777" w:rsidR="003A1A12" w:rsidRDefault="003A1A12" w:rsidP="003A1A12">
      <w:pPr>
        <w:pStyle w:val="StyleBoldCentered"/>
      </w:pPr>
      <w:r>
        <w:t>ORDER</w:t>
      </w:r>
    </w:p>
    <w:p w14:paraId="1A03CCDC" w14:textId="77777777" w:rsidR="003A1A12" w:rsidRDefault="003A1A12" w:rsidP="003A1A12">
      <w:pPr>
        <w:tabs>
          <w:tab w:val="left" w:pos="-720"/>
        </w:tabs>
        <w:suppressAutoHyphens/>
        <w:spacing w:line="227" w:lineRule="auto"/>
        <w:rPr>
          <w:spacing w:val="-2"/>
        </w:rPr>
      </w:pPr>
    </w:p>
    <w:p w14:paraId="1ED6DC61" w14:textId="42AFF0F1" w:rsidR="003A1A12" w:rsidRDefault="003A1A12" w:rsidP="003A1A12">
      <w:pPr>
        <w:tabs>
          <w:tab w:val="left" w:pos="720"/>
          <w:tab w:val="right" w:pos="9360"/>
        </w:tabs>
        <w:suppressAutoHyphens/>
        <w:spacing w:line="227" w:lineRule="auto"/>
        <w:rPr>
          <w:spacing w:val="-2"/>
        </w:rPr>
      </w:pPr>
      <w:r>
        <w:rPr>
          <w:b/>
          <w:spacing w:val="-2"/>
        </w:rPr>
        <w:t xml:space="preserve">Adopted:  </w:t>
      </w:r>
      <w:r w:rsidR="004904E5">
        <w:rPr>
          <w:b/>
          <w:spacing w:val="-2"/>
        </w:rPr>
        <w:t>May</w:t>
      </w:r>
      <w:r>
        <w:rPr>
          <w:b/>
          <w:spacing w:val="-2"/>
        </w:rPr>
        <w:t xml:space="preserve"> </w:t>
      </w:r>
      <w:r w:rsidR="00F37196">
        <w:rPr>
          <w:b/>
          <w:spacing w:val="-2"/>
        </w:rPr>
        <w:t>5</w:t>
      </w:r>
      <w:r>
        <w:rPr>
          <w:b/>
          <w:spacing w:val="-2"/>
        </w:rPr>
        <w:t>, 2016</w:t>
      </w:r>
      <w:r>
        <w:rPr>
          <w:b/>
          <w:spacing w:val="-2"/>
        </w:rPr>
        <w:tab/>
        <w:t xml:space="preserve">Released:  </w:t>
      </w:r>
      <w:r w:rsidR="004904E5">
        <w:rPr>
          <w:b/>
          <w:spacing w:val="-2"/>
        </w:rPr>
        <w:t>May</w:t>
      </w:r>
      <w:r>
        <w:rPr>
          <w:b/>
          <w:spacing w:val="-2"/>
        </w:rPr>
        <w:t xml:space="preserve"> </w:t>
      </w:r>
      <w:r w:rsidR="00F37196">
        <w:rPr>
          <w:b/>
          <w:spacing w:val="-2"/>
        </w:rPr>
        <w:t>5</w:t>
      </w:r>
      <w:r>
        <w:rPr>
          <w:b/>
          <w:spacing w:val="-2"/>
        </w:rPr>
        <w:t>, 2016</w:t>
      </w:r>
    </w:p>
    <w:p w14:paraId="33D14184" w14:textId="77777777" w:rsidR="003A1A12" w:rsidRDefault="003A1A12" w:rsidP="003A1A12"/>
    <w:p w14:paraId="7DCB3B58" w14:textId="77777777" w:rsidR="003A1A12" w:rsidRPr="00746BAC" w:rsidRDefault="003A1A12" w:rsidP="003A1A12">
      <w:pPr>
        <w:rPr>
          <w:b/>
        </w:rPr>
      </w:pPr>
      <w:r w:rsidRPr="00746BAC">
        <w:rPr>
          <w:b/>
        </w:rPr>
        <w:t xml:space="preserve">Extended Comment Filing Deadline:  </w:t>
      </w:r>
      <w:r>
        <w:rPr>
          <w:b/>
        </w:rPr>
        <w:t>June 8</w:t>
      </w:r>
      <w:r w:rsidRPr="00746BAC">
        <w:rPr>
          <w:b/>
        </w:rPr>
        <w:t>, 2016</w:t>
      </w:r>
    </w:p>
    <w:p w14:paraId="78B0895D" w14:textId="77777777" w:rsidR="003A1A12" w:rsidRDefault="00E45FA4" w:rsidP="003A1A12">
      <w:r>
        <w:rPr>
          <w:b/>
        </w:rPr>
        <w:t xml:space="preserve">Extended </w:t>
      </w:r>
      <w:r w:rsidR="003A1A12" w:rsidRPr="00746BAC">
        <w:rPr>
          <w:b/>
        </w:rPr>
        <w:t xml:space="preserve">Reply Comment Filing Deadline:  </w:t>
      </w:r>
      <w:r w:rsidR="003A1A12">
        <w:rPr>
          <w:b/>
        </w:rPr>
        <w:t>July 8</w:t>
      </w:r>
      <w:r w:rsidR="003A1A12" w:rsidRPr="00746BAC">
        <w:rPr>
          <w:b/>
        </w:rPr>
        <w:t>, 2016</w:t>
      </w:r>
    </w:p>
    <w:p w14:paraId="2792B24B" w14:textId="77777777" w:rsidR="003A1A12" w:rsidRDefault="003A1A12" w:rsidP="003A1A12"/>
    <w:p w14:paraId="41CEA450" w14:textId="77777777" w:rsidR="003A1A12" w:rsidRDefault="003A1A12" w:rsidP="003A1A12">
      <w:pPr>
        <w:rPr>
          <w:spacing w:val="-2"/>
        </w:rPr>
      </w:pPr>
      <w:r>
        <w:t>By the Chief, Public Safety and Homeland Security Bureau</w:t>
      </w:r>
      <w:r>
        <w:rPr>
          <w:spacing w:val="-2"/>
        </w:rPr>
        <w:t>:</w:t>
      </w:r>
    </w:p>
    <w:p w14:paraId="2F826C54" w14:textId="77777777" w:rsidR="003A1A12" w:rsidRDefault="003A1A12" w:rsidP="003A1A12">
      <w:pPr>
        <w:rPr>
          <w:spacing w:val="-2"/>
        </w:rPr>
      </w:pPr>
    </w:p>
    <w:p w14:paraId="39828F22" w14:textId="77777777" w:rsidR="00FB1EA7" w:rsidRDefault="00FB1EA7" w:rsidP="007D437B">
      <w:pPr>
        <w:pStyle w:val="Heading1"/>
      </w:pPr>
      <w:r>
        <w:t>Introduction</w:t>
      </w:r>
    </w:p>
    <w:p w14:paraId="60B9E32A" w14:textId="2E726883" w:rsidR="00FB1EA7" w:rsidRDefault="003A1A12" w:rsidP="007D437B">
      <w:pPr>
        <w:pStyle w:val="ParaNum"/>
        <w:spacing w:after="0"/>
      </w:pPr>
      <w:r>
        <w:t xml:space="preserve">On April 19, 2016, Monroe Electronics, Inc. (Monroe) filed a </w:t>
      </w:r>
      <w:r w:rsidR="00D532C9">
        <w:t xml:space="preserve">request </w:t>
      </w:r>
      <w:r>
        <w:t xml:space="preserve">for extension of time to respond to the </w:t>
      </w:r>
      <w:r w:rsidRPr="007D437B">
        <w:rPr>
          <w:i/>
        </w:rPr>
        <w:t xml:space="preserve">Notice of Proposed Rulemaking </w:t>
      </w:r>
      <w:r>
        <w:t>(</w:t>
      </w:r>
      <w:r w:rsidRPr="007D437B">
        <w:rPr>
          <w:i/>
        </w:rPr>
        <w:t>NPRM</w:t>
      </w:r>
      <w:r>
        <w:t>) in the above-captioned proceeding.</w:t>
      </w:r>
      <w:r>
        <w:rPr>
          <w:rStyle w:val="FootnoteReference"/>
        </w:rPr>
        <w:footnoteReference w:id="2"/>
      </w:r>
      <w:r>
        <w:t xml:space="preserve"> </w:t>
      </w:r>
      <w:r w:rsidR="00B07AA5">
        <w:t xml:space="preserve"> </w:t>
      </w:r>
      <w:r w:rsidR="00FB1EA7">
        <w:t>On April 2</w:t>
      </w:r>
      <w:r w:rsidR="00AC32F8">
        <w:t>9,</w:t>
      </w:r>
      <w:r w:rsidR="00F045B8">
        <w:t xml:space="preserve"> 2016,</w:t>
      </w:r>
      <w:r w:rsidR="00AC32F8">
        <w:t xml:space="preserve"> the National Alliance of State Broadcasters Associations (NASBA) also filed a motion for extension of </w:t>
      </w:r>
      <w:r w:rsidR="00D7021F">
        <w:t xml:space="preserve">time for </w:t>
      </w:r>
      <w:r w:rsidR="00AC32F8">
        <w:t xml:space="preserve">comments and reply comments on the </w:t>
      </w:r>
      <w:r w:rsidR="00AC32F8" w:rsidRPr="00EE399C">
        <w:rPr>
          <w:i/>
        </w:rPr>
        <w:t>NPRM</w:t>
      </w:r>
      <w:r w:rsidR="00AC32F8">
        <w:t>.</w:t>
      </w:r>
      <w:r w:rsidR="00AC32F8">
        <w:rPr>
          <w:rStyle w:val="FootnoteReference"/>
        </w:rPr>
        <w:footnoteReference w:id="3"/>
      </w:r>
      <w:r w:rsidR="00D7021F">
        <w:t xml:space="preserve">  </w:t>
      </w:r>
      <w:r w:rsidR="00AC32F8">
        <w:t>Filings in support of these requests for extension of time have been made by the Broadcast Warning Working Group (BWWG) and the W</w:t>
      </w:r>
      <w:r w:rsidR="007D437B">
        <w:t>ashington State Emergency Communications Committee (</w:t>
      </w:r>
      <w:r w:rsidR="007C57BC">
        <w:t xml:space="preserve">Washington State </w:t>
      </w:r>
      <w:r w:rsidR="007D437B" w:rsidRPr="007D437B">
        <w:t>SECC</w:t>
      </w:r>
      <w:r w:rsidR="007D437B">
        <w:t>).</w:t>
      </w:r>
      <w:r w:rsidR="007D437B">
        <w:rPr>
          <w:rStyle w:val="FootnoteReference"/>
        </w:rPr>
        <w:footnoteReference w:id="4"/>
      </w:r>
      <w:r w:rsidR="007D437B">
        <w:t xml:space="preserve"> </w:t>
      </w:r>
      <w:r w:rsidR="009352BB">
        <w:t xml:space="preserve"> </w:t>
      </w:r>
      <w:r w:rsidR="007D437B">
        <w:t>F</w:t>
      </w:r>
      <w:r w:rsidR="00FB1EA7">
        <w:t>or the reasons stated below, we grant parties an additional thirty (30) days to file comments and reply comments.  The new dates, as indicated above</w:t>
      </w:r>
      <w:r w:rsidR="007D437B">
        <w:t>,</w:t>
      </w:r>
      <w:r w:rsidR="00FB1EA7">
        <w:t xml:space="preserve"> will be June 8, 2016 for comments and July 8, 2016 for reply comments.</w:t>
      </w:r>
    </w:p>
    <w:p w14:paraId="564CBDF7" w14:textId="77777777" w:rsidR="00FB1EA7" w:rsidRDefault="00FB1EA7" w:rsidP="007D437B">
      <w:pPr>
        <w:pStyle w:val="ParaNum"/>
        <w:numPr>
          <w:ilvl w:val="0"/>
          <w:numId w:val="0"/>
        </w:numPr>
        <w:spacing w:after="0"/>
        <w:ind w:left="720"/>
      </w:pPr>
    </w:p>
    <w:p w14:paraId="5920824C" w14:textId="77777777" w:rsidR="00FB1EA7" w:rsidRDefault="00FB1EA7" w:rsidP="007D437B">
      <w:pPr>
        <w:pStyle w:val="Heading1"/>
        <w:tabs>
          <w:tab w:val="left" w:pos="720"/>
        </w:tabs>
      </w:pPr>
      <w:r>
        <w:t>Background</w:t>
      </w:r>
    </w:p>
    <w:p w14:paraId="64101945" w14:textId="77777777" w:rsidR="00C40618" w:rsidRDefault="00E20035" w:rsidP="007D437B">
      <w:pPr>
        <w:pStyle w:val="ParaNum"/>
        <w:spacing w:after="0"/>
      </w:pPr>
      <w:r>
        <w:t xml:space="preserve">On January 29, 2016, the Commission released the </w:t>
      </w:r>
      <w:r w:rsidRPr="009201B9">
        <w:rPr>
          <w:i/>
        </w:rPr>
        <w:t>NRPM</w:t>
      </w:r>
      <w:r>
        <w:t>.</w:t>
      </w:r>
      <w:r>
        <w:rPr>
          <w:rStyle w:val="FootnoteReference"/>
        </w:rPr>
        <w:footnoteReference w:id="5"/>
      </w:r>
      <w:r>
        <w:t xml:space="preserve">  On </w:t>
      </w:r>
      <w:r w:rsidR="00DD16F6">
        <w:t>March 24, 2016</w:t>
      </w:r>
      <w:r>
        <w:t xml:space="preserve">, a summary of the </w:t>
      </w:r>
      <w:r w:rsidRPr="009201B9">
        <w:rPr>
          <w:i/>
        </w:rPr>
        <w:t>NPRM</w:t>
      </w:r>
      <w:r>
        <w:t xml:space="preserve"> was published in the Federal Register, setting the dates for comments and reply comments as </w:t>
      </w:r>
      <w:r w:rsidR="009F0B56">
        <w:t>May 9, 2016 and June 7, 2016</w:t>
      </w:r>
      <w:r>
        <w:t>, respectively</w:t>
      </w:r>
      <w:r w:rsidR="009F0B56">
        <w:t>.</w:t>
      </w:r>
      <w:r>
        <w:rPr>
          <w:rStyle w:val="FootnoteReference"/>
        </w:rPr>
        <w:footnoteReference w:id="6"/>
      </w:r>
      <w:r>
        <w:t xml:space="preserve">  </w:t>
      </w:r>
      <w:r w:rsidR="00574AB0">
        <w:t xml:space="preserve">Subsequently, Monroe and the other parties mentioned </w:t>
      </w:r>
      <w:r w:rsidR="00574AB0">
        <w:lastRenderedPageBreak/>
        <w:t>above filed their requests for extension of the comment and reply periods.</w:t>
      </w:r>
    </w:p>
    <w:p w14:paraId="568AAE13" w14:textId="58A66885" w:rsidR="00574AB0" w:rsidRDefault="00574AB0" w:rsidP="00C40618">
      <w:pPr>
        <w:pStyle w:val="ParaNum"/>
        <w:numPr>
          <w:ilvl w:val="0"/>
          <w:numId w:val="0"/>
        </w:numPr>
        <w:spacing w:after="0"/>
        <w:ind w:left="720"/>
      </w:pPr>
      <w:r>
        <w:t xml:space="preserve">  </w:t>
      </w:r>
    </w:p>
    <w:p w14:paraId="4F338815" w14:textId="2144EB84" w:rsidR="007D437B" w:rsidRDefault="0065600C" w:rsidP="007D437B">
      <w:pPr>
        <w:pStyle w:val="ParaNum"/>
        <w:spacing w:after="0"/>
      </w:pPr>
      <w:r>
        <w:t>In</w:t>
      </w:r>
      <w:r w:rsidR="003A1A12">
        <w:t xml:space="preserve"> the </w:t>
      </w:r>
      <w:r w:rsidR="003A1A12" w:rsidRPr="007D437B">
        <w:rPr>
          <w:i/>
        </w:rPr>
        <w:t>NPRM</w:t>
      </w:r>
      <w:r w:rsidR="003A1A12">
        <w:t>, the Commission sought comment on proposals intended to strengthen the Emergency Alert System (EAS) by f</w:t>
      </w:r>
      <w:r w:rsidR="003A1A12" w:rsidRPr="007D437B">
        <w:rPr>
          <w:szCs w:val="22"/>
        </w:rPr>
        <w:t>acilitating state and local involvement, supporting greater testing and awareness of the system, leveraging technological advances, and enhancing EAS security.</w:t>
      </w:r>
      <w:r w:rsidR="003A1A12">
        <w:rPr>
          <w:rStyle w:val="FootnoteReference"/>
        </w:rPr>
        <w:footnoteReference w:id="7"/>
      </w:r>
      <w:r w:rsidR="003A1A12" w:rsidRPr="007D437B">
        <w:rPr>
          <w:szCs w:val="22"/>
        </w:rPr>
        <w:t xml:space="preserve">  Monroe asserts that the </w:t>
      </w:r>
      <w:r w:rsidR="003A1A12" w:rsidRPr="007D437B">
        <w:rPr>
          <w:i/>
        </w:rPr>
        <w:t xml:space="preserve">NPRM </w:t>
      </w:r>
      <w:r w:rsidR="003A1A12">
        <w:t>“presents truly important, fundamental, and very far reaching questions on the architecture and operations of the nation’s Emergency Alert System.”</w:t>
      </w:r>
      <w:r w:rsidR="003A1A12">
        <w:rPr>
          <w:rStyle w:val="FootnoteReference"/>
        </w:rPr>
        <w:footnoteReference w:id="8"/>
      </w:r>
      <w:r w:rsidR="003A1A12">
        <w:t xml:space="preserve">  Monroe also notes that the comment period for the </w:t>
      </w:r>
      <w:r w:rsidR="003A1A12" w:rsidRPr="007D437B">
        <w:rPr>
          <w:i/>
        </w:rPr>
        <w:t>NPRM</w:t>
      </w:r>
      <w:r w:rsidR="003A1A12">
        <w:t xml:space="preserve"> coincides with the period for comments </w:t>
      </w:r>
      <w:r w:rsidR="00234B11">
        <w:t xml:space="preserve">in </w:t>
      </w:r>
      <w:r>
        <w:t xml:space="preserve">response to </w:t>
      </w:r>
      <w:r w:rsidR="003A1A12">
        <w:t xml:space="preserve">the Public Safety and Homeland Security Bureau’s recent inquiry on </w:t>
      </w:r>
      <w:r w:rsidR="003A1A12" w:rsidRPr="007D437B">
        <w:rPr>
          <w:color w:val="242021"/>
        </w:rPr>
        <w:t>earthquake-related emergency alerts.</w:t>
      </w:r>
      <w:r w:rsidR="003A1A12">
        <w:rPr>
          <w:rStyle w:val="FootnoteReference"/>
        </w:rPr>
        <w:footnoteReference w:id="9"/>
      </w:r>
      <w:r w:rsidR="003A1A12" w:rsidRPr="007D437B">
        <w:rPr>
          <w:color w:val="242021"/>
        </w:rPr>
        <w:t xml:space="preserve">  </w:t>
      </w:r>
      <w:r w:rsidR="003A1A12">
        <w:t>Accordingly, Monroe asserts that the Commission should extend the deadline for filing comments by 45 days “to allow industry additional time to adequately consider the many questions raised by the Commission, and present meaningful commentary and response.”</w:t>
      </w:r>
      <w:r w:rsidR="003A1A12">
        <w:rPr>
          <w:rStyle w:val="FootnoteReference"/>
        </w:rPr>
        <w:footnoteReference w:id="10"/>
      </w:r>
      <w:r w:rsidR="006978DE">
        <w:t xml:space="preserve">  NASBA states that the </w:t>
      </w:r>
      <w:r w:rsidR="006978DE" w:rsidRPr="000B04FE">
        <w:rPr>
          <w:i/>
        </w:rPr>
        <w:t>NPRM</w:t>
      </w:r>
      <w:r w:rsidR="006978DE">
        <w:t xml:space="preserve"> raises a large number of issues and questions that are of great importance to the effective functioning of the nation’s public alert and warning systems</w:t>
      </w:r>
      <w:r w:rsidR="00D36BBF">
        <w:t xml:space="preserve"> and that it will need an extension of time to prepare comments that adequately and accurately reflect the views of State Broadcasters Associations and their respective local broadcast members.</w:t>
      </w:r>
      <w:r w:rsidR="00D36BBF">
        <w:rPr>
          <w:rStyle w:val="FootnoteReference"/>
        </w:rPr>
        <w:footnoteReference w:id="11"/>
      </w:r>
      <w:r w:rsidR="00064421">
        <w:t xml:space="preserve">  NASBA asks the Commission for a 45-day extension of the comment period and a 30-day extension of the reply comment period.</w:t>
      </w:r>
      <w:r w:rsidR="00064421">
        <w:rPr>
          <w:rStyle w:val="FootnoteReference"/>
        </w:rPr>
        <w:footnoteReference w:id="12"/>
      </w:r>
      <w:r w:rsidR="00064421">
        <w:t xml:space="preserve"> </w:t>
      </w:r>
      <w:r w:rsidR="003A1A12">
        <w:t xml:space="preserve">  </w:t>
      </w:r>
    </w:p>
    <w:p w14:paraId="06F86BBE" w14:textId="77777777" w:rsidR="007D437B" w:rsidRDefault="007D437B" w:rsidP="007D437B">
      <w:pPr>
        <w:pStyle w:val="ParaNum"/>
        <w:numPr>
          <w:ilvl w:val="0"/>
          <w:numId w:val="0"/>
        </w:numPr>
        <w:spacing w:after="0"/>
        <w:ind w:left="720"/>
      </w:pPr>
    </w:p>
    <w:p w14:paraId="034A10E6" w14:textId="77777777" w:rsidR="007D437B" w:rsidRDefault="007D437B" w:rsidP="007D437B">
      <w:pPr>
        <w:pStyle w:val="Heading1"/>
        <w:tabs>
          <w:tab w:val="left" w:pos="720"/>
        </w:tabs>
      </w:pPr>
      <w:r>
        <w:t>Discussion</w:t>
      </w:r>
    </w:p>
    <w:p w14:paraId="2DC2DC81" w14:textId="1E27AA32" w:rsidR="003A1A12" w:rsidRPr="007D437B" w:rsidRDefault="003A1A12" w:rsidP="007D437B">
      <w:pPr>
        <w:pStyle w:val="ParaNum"/>
        <w:spacing w:after="0"/>
        <w:rPr>
          <w:spacing w:val="-2"/>
        </w:rPr>
      </w:pPr>
      <w:r w:rsidRPr="009B4949">
        <w:t>It is the policy of the Commission that extensions of time are not routinely granted.</w:t>
      </w:r>
      <w:r w:rsidRPr="009B4949">
        <w:rPr>
          <w:rStyle w:val="FootnoteReference"/>
          <w:b/>
          <w:szCs w:val="22"/>
        </w:rPr>
        <w:footnoteReference w:id="13"/>
      </w:r>
      <w:r w:rsidRPr="009B4949">
        <w:t xml:space="preserve">  Such extensions may, however, be warranted when, among other things, the additional time will serve the public interest.</w:t>
      </w:r>
      <w:r w:rsidRPr="009B4949">
        <w:rPr>
          <w:rStyle w:val="FootnoteReference"/>
          <w:b/>
          <w:szCs w:val="22"/>
        </w:rPr>
        <w:footnoteReference w:id="14"/>
      </w:r>
      <w:r w:rsidRPr="009B4949">
        <w:t xml:space="preserve">  In the instant proceeding, we </w:t>
      </w:r>
      <w:r w:rsidR="00E673A0">
        <w:t>acknowledge that a cross section of affected stakeholders (</w:t>
      </w:r>
      <w:r w:rsidR="00E673A0" w:rsidRPr="000F1633">
        <w:rPr>
          <w:i/>
        </w:rPr>
        <w:t>i.e.</w:t>
      </w:r>
      <w:r w:rsidR="00E673A0">
        <w:t xml:space="preserve">, Monroe, an EAS equipment manufacturer, NASBA and </w:t>
      </w:r>
      <w:r w:rsidR="006E1469">
        <w:t xml:space="preserve">the </w:t>
      </w:r>
      <w:r w:rsidR="00E673A0">
        <w:t xml:space="preserve">BWWG, broadcaster associations, and the Washington State SECC, a volunteer public safety association), agree that </w:t>
      </w:r>
      <w:r w:rsidRPr="009B4949">
        <w:t xml:space="preserve">providing additional time for interested parties to file comments would be beneficial to the development of a </w:t>
      </w:r>
      <w:r w:rsidR="00E673A0">
        <w:t xml:space="preserve">thorough and </w:t>
      </w:r>
      <w:r w:rsidRPr="009B4949">
        <w:t xml:space="preserve">complete record.  </w:t>
      </w:r>
      <w:r w:rsidR="00E673A0">
        <w:t xml:space="preserve">In particular we note </w:t>
      </w:r>
      <w:r w:rsidR="00D26589">
        <w:t>Monroe</w:t>
      </w:r>
      <w:r w:rsidR="00E673A0">
        <w:t xml:space="preserve">’s intent to address the </w:t>
      </w:r>
      <w:r w:rsidR="00F97591">
        <w:t xml:space="preserve">wide variety of </w:t>
      </w:r>
      <w:r w:rsidR="00D26589">
        <w:t xml:space="preserve">important and fundamental </w:t>
      </w:r>
      <w:r w:rsidR="00F97591">
        <w:t xml:space="preserve">issues with respect to </w:t>
      </w:r>
      <w:r w:rsidR="00D26589">
        <w:t>the architecture and operation of the EAS</w:t>
      </w:r>
      <w:r w:rsidR="005816F6">
        <w:t xml:space="preserve"> raised by the </w:t>
      </w:r>
      <w:r w:rsidR="005816F6" w:rsidRPr="009201B9">
        <w:rPr>
          <w:i/>
        </w:rPr>
        <w:t>NPRM</w:t>
      </w:r>
      <w:r w:rsidR="005816F6">
        <w:t>,</w:t>
      </w:r>
      <w:r w:rsidR="00EE399C">
        <w:rPr>
          <w:rStyle w:val="FootnoteReference"/>
        </w:rPr>
        <w:footnoteReference w:id="15"/>
      </w:r>
      <w:r w:rsidR="005816F6">
        <w:t xml:space="preserve"> and recognize that </w:t>
      </w:r>
      <w:r w:rsidR="00BE56AA">
        <w:t>NASBA</w:t>
      </w:r>
      <w:r w:rsidR="005816F6">
        <w:t xml:space="preserve"> will need time to gather input from its members to address </w:t>
      </w:r>
      <w:r w:rsidR="00BE56AA">
        <w:t xml:space="preserve">the breadth and complexity of the issues </w:t>
      </w:r>
      <w:r w:rsidR="00E673A0">
        <w:t xml:space="preserve">that are </w:t>
      </w:r>
      <w:r w:rsidR="00BE56AA">
        <w:t xml:space="preserve">raised in the </w:t>
      </w:r>
      <w:r w:rsidR="00BE56AA" w:rsidRPr="00EE399C">
        <w:rPr>
          <w:i/>
        </w:rPr>
        <w:t>NPRM</w:t>
      </w:r>
      <w:r w:rsidR="00BE56AA">
        <w:t>.</w:t>
      </w:r>
      <w:r w:rsidR="00EE399C">
        <w:rPr>
          <w:rStyle w:val="FootnoteReference"/>
        </w:rPr>
        <w:footnoteReference w:id="16"/>
      </w:r>
      <w:r w:rsidR="00BE56AA">
        <w:t xml:space="preserve">  </w:t>
      </w:r>
      <w:r w:rsidR="005816F6">
        <w:t xml:space="preserve">That being said, we also note that the </w:t>
      </w:r>
      <w:r w:rsidR="005816F6" w:rsidRPr="009201B9">
        <w:rPr>
          <w:i/>
        </w:rPr>
        <w:t>NPRM</w:t>
      </w:r>
      <w:r w:rsidR="005816F6">
        <w:t xml:space="preserve"> has been available for </w:t>
      </w:r>
      <w:r w:rsidR="005816F6">
        <w:lastRenderedPageBreak/>
        <w:t xml:space="preserve">review since January, and </w:t>
      </w:r>
      <w:r w:rsidR="006E1469">
        <w:t xml:space="preserve">that we </w:t>
      </w:r>
      <w:r w:rsidR="005816F6">
        <w:t xml:space="preserve">must honor our commitment </w:t>
      </w:r>
      <w:r w:rsidR="00D26589">
        <w:t xml:space="preserve">to resolving the issues raised in the </w:t>
      </w:r>
      <w:r w:rsidR="00D26589" w:rsidRPr="007D437B">
        <w:rPr>
          <w:i/>
        </w:rPr>
        <w:t>NPRM</w:t>
      </w:r>
      <w:r w:rsidR="00D26589">
        <w:t xml:space="preserve"> in a timely manner</w:t>
      </w:r>
      <w:r w:rsidR="005816F6">
        <w:t xml:space="preserve">.  Thus, we </w:t>
      </w:r>
      <w:r w:rsidR="00D26589">
        <w:t xml:space="preserve">do not believe that a 45-day extension is necessary to give interested parties </w:t>
      </w:r>
      <w:r w:rsidR="005816F6">
        <w:t xml:space="preserve">a full </w:t>
      </w:r>
      <w:r w:rsidR="00D26589">
        <w:t xml:space="preserve">opportunity to submit their views.  </w:t>
      </w:r>
      <w:r w:rsidR="005816F6">
        <w:t xml:space="preserve">Rather, we believe </w:t>
      </w:r>
      <w:r w:rsidRPr="009B4949">
        <w:t xml:space="preserve">that granting a 30-day extension of time </w:t>
      </w:r>
      <w:r w:rsidR="006E1469">
        <w:t xml:space="preserve">for parties </w:t>
      </w:r>
      <w:r w:rsidRPr="009B4949">
        <w:t xml:space="preserve">to file comments </w:t>
      </w:r>
      <w:r w:rsidR="00E673A0">
        <w:t xml:space="preserve">and replies strikes a balance that </w:t>
      </w:r>
      <w:r w:rsidRPr="009B4949">
        <w:t>serves the public interest</w:t>
      </w:r>
      <w:r w:rsidR="005816F6">
        <w:t xml:space="preserve">.  Accordingly, </w:t>
      </w:r>
      <w:r w:rsidR="00481047">
        <w:t xml:space="preserve">we </w:t>
      </w:r>
      <w:r w:rsidRPr="009B4949">
        <w:t>extend the comment deadline to June 8, 2016, and the reply comment deadline to July 8, 2016.</w:t>
      </w:r>
      <w:r w:rsidR="00482B53">
        <w:rPr>
          <w:rStyle w:val="FootnoteReference"/>
        </w:rPr>
        <w:footnoteReference w:id="17"/>
      </w:r>
    </w:p>
    <w:p w14:paraId="27921AB4" w14:textId="77777777" w:rsidR="009B4949" w:rsidRDefault="009B4949" w:rsidP="00A00DC1">
      <w:pPr>
        <w:pStyle w:val="ParaNum"/>
        <w:numPr>
          <w:ilvl w:val="0"/>
          <w:numId w:val="0"/>
        </w:numPr>
        <w:spacing w:after="0"/>
        <w:ind w:left="720"/>
        <w:rPr>
          <w:spacing w:val="-2"/>
        </w:rPr>
      </w:pPr>
    </w:p>
    <w:p w14:paraId="2B173D10" w14:textId="77777777" w:rsidR="007D437B" w:rsidRDefault="007D437B" w:rsidP="007D437B">
      <w:pPr>
        <w:pStyle w:val="Heading1"/>
        <w:tabs>
          <w:tab w:val="left" w:pos="720"/>
        </w:tabs>
        <w:rPr>
          <w:spacing w:val="-2"/>
        </w:rPr>
      </w:pPr>
      <w:r>
        <w:rPr>
          <w:spacing w:val="-2"/>
        </w:rPr>
        <w:t>Ordering clause</w:t>
      </w:r>
    </w:p>
    <w:p w14:paraId="47DA87A7" w14:textId="102649BD" w:rsidR="007D437B" w:rsidRPr="007D437B" w:rsidRDefault="003A1A12" w:rsidP="007D437B">
      <w:pPr>
        <w:pStyle w:val="ParaNum"/>
      </w:pPr>
      <w:r w:rsidRPr="007D437B">
        <w:rPr>
          <w:color w:val="000000"/>
          <w:szCs w:val="22"/>
        </w:rPr>
        <w:t xml:space="preserve">Accordingly, IT IS ORDERED, pursuant to Section 4(i) of the Communications Act of 1934, as amended, 47 </w:t>
      </w:r>
      <w:r w:rsidR="00813FD0" w:rsidRPr="007D437B">
        <w:rPr>
          <w:color w:val="000000"/>
          <w:szCs w:val="22"/>
        </w:rPr>
        <w:t>U.S.C</w:t>
      </w:r>
      <w:r w:rsidRPr="007D437B">
        <w:rPr>
          <w:color w:val="000000"/>
          <w:szCs w:val="22"/>
        </w:rPr>
        <w:t xml:space="preserve">. </w:t>
      </w:r>
      <w:r>
        <w:t xml:space="preserve">§ 154(i), and Sections 0.191, 0.392, and 1.46 of the Commission's rules, 47 C.F.R. §§ 0.191, 0.392, and 1.46, that the </w:t>
      </w:r>
      <w:r w:rsidR="005312A0">
        <w:t xml:space="preserve">Request for Extension to the Filing Deadline filed by Monroe and the Motion for Extension of Deadlines filed by NASBA </w:t>
      </w:r>
      <w:r w:rsidR="003F301F">
        <w:t xml:space="preserve">are </w:t>
      </w:r>
      <w:r w:rsidR="005312A0">
        <w:t xml:space="preserve">GRANTED to the EXTENT SET FORTH HEREIN, and that the comment </w:t>
      </w:r>
      <w:r>
        <w:t>deadline in this proceeding is extended to June 8, 2016, and the reply comment deadline is extended to July 8, 2016.</w:t>
      </w:r>
    </w:p>
    <w:p w14:paraId="0E4DE3D4" w14:textId="77777777" w:rsidR="009B4949" w:rsidRPr="00336ABB" w:rsidRDefault="009B4949" w:rsidP="009B4949">
      <w:pPr>
        <w:pStyle w:val="ParaNum"/>
        <w:numPr>
          <w:ilvl w:val="0"/>
          <w:numId w:val="0"/>
        </w:numPr>
        <w:ind w:firstLine="720"/>
        <w:rPr>
          <w:spacing w:val="-2"/>
          <w:szCs w:val="22"/>
        </w:rPr>
      </w:pPr>
    </w:p>
    <w:p w14:paraId="5D29EA2C" w14:textId="77777777" w:rsidR="003A1A12" w:rsidRDefault="00904157" w:rsidP="003A1A12">
      <w:pPr>
        <w:ind w:left="4320"/>
      </w:pPr>
      <w:r>
        <w:t>FEDERAL COMMUNICATIONS COMMISSION</w:t>
      </w:r>
    </w:p>
    <w:p w14:paraId="2C096FA1" w14:textId="77777777" w:rsidR="003A1A12" w:rsidRDefault="003A1A12" w:rsidP="003A1A12"/>
    <w:p w14:paraId="010C3E92" w14:textId="77777777" w:rsidR="003A1A12" w:rsidRDefault="003A1A12" w:rsidP="003A1A12"/>
    <w:p w14:paraId="4DC91AAA" w14:textId="77777777" w:rsidR="003A1A12" w:rsidRDefault="003A1A12" w:rsidP="003A1A12"/>
    <w:p w14:paraId="3710CB5E" w14:textId="77777777" w:rsidR="003A1A12" w:rsidRDefault="003A1A12" w:rsidP="003A1A12"/>
    <w:p w14:paraId="1A56B1C3" w14:textId="77777777" w:rsidR="003A1A12" w:rsidRDefault="003A1A12" w:rsidP="003A1A12">
      <w:pPr>
        <w:spacing w:after="3" w:line="259" w:lineRule="auto"/>
        <w:ind w:left="1476" w:right="332"/>
        <w:jc w:val="center"/>
      </w:pPr>
      <w:r>
        <w:t>David Grey Simpson</w:t>
      </w:r>
    </w:p>
    <w:p w14:paraId="0AEE4CCD" w14:textId="77777777" w:rsidR="00904157" w:rsidRDefault="003A1A12" w:rsidP="003A1A12">
      <w:r>
        <w:tab/>
      </w:r>
      <w:r>
        <w:tab/>
      </w:r>
      <w:r>
        <w:tab/>
      </w:r>
      <w:r>
        <w:tab/>
      </w:r>
      <w:r>
        <w:tab/>
      </w:r>
      <w:r>
        <w:tab/>
        <w:t>Rear Admiral (ret.) USN</w:t>
      </w:r>
    </w:p>
    <w:p w14:paraId="2322E60C" w14:textId="27E79FF8" w:rsidR="003A1A12" w:rsidRDefault="00904157" w:rsidP="0076209B">
      <w:pPr>
        <w:ind w:left="3600" w:firstLine="720"/>
      </w:pPr>
      <w:r>
        <w:t>Chief, Public Safety and Homeland Security Bureau</w:t>
      </w:r>
    </w:p>
    <w:p w14:paraId="6A2EDE8E" w14:textId="77777777" w:rsidR="002C00E8" w:rsidRPr="003A1A12" w:rsidRDefault="002C00E8" w:rsidP="003A1A12"/>
    <w:sectPr w:rsidR="002C00E8" w:rsidRPr="003A1A1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EC5A6" w14:textId="77777777" w:rsidR="00F30435" w:rsidRDefault="00F30435">
      <w:pPr>
        <w:spacing w:line="20" w:lineRule="exact"/>
      </w:pPr>
    </w:p>
  </w:endnote>
  <w:endnote w:type="continuationSeparator" w:id="0">
    <w:p w14:paraId="2B75696D" w14:textId="77777777" w:rsidR="00F30435" w:rsidRDefault="00F30435">
      <w:r>
        <w:t xml:space="preserve"> </w:t>
      </w:r>
    </w:p>
  </w:endnote>
  <w:endnote w:type="continuationNotice" w:id="1">
    <w:p w14:paraId="6B5B2168" w14:textId="77777777" w:rsidR="00F30435" w:rsidRDefault="00F3043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5E13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C7ED20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5C4F"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0C7A9A">
      <w:rPr>
        <w:noProof/>
      </w:rPr>
      <w:t>2</w:t>
    </w:r>
    <w:r>
      <w:fldChar w:fldCharType="end"/>
    </w:r>
  </w:p>
  <w:p w14:paraId="3C4310DA"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9C3B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B9FF5" w14:textId="77777777" w:rsidR="00F30435" w:rsidRDefault="00F30435">
      <w:r>
        <w:separator/>
      </w:r>
    </w:p>
  </w:footnote>
  <w:footnote w:type="continuationSeparator" w:id="0">
    <w:p w14:paraId="5EF5A1BE" w14:textId="77777777" w:rsidR="00F30435" w:rsidRDefault="00F30435" w:rsidP="00C721AC">
      <w:pPr>
        <w:spacing w:before="120"/>
        <w:rPr>
          <w:sz w:val="20"/>
        </w:rPr>
      </w:pPr>
      <w:r>
        <w:rPr>
          <w:sz w:val="20"/>
        </w:rPr>
        <w:t xml:space="preserve">(Continued from previous page)  </w:t>
      </w:r>
      <w:r>
        <w:rPr>
          <w:sz w:val="20"/>
        </w:rPr>
        <w:separator/>
      </w:r>
    </w:p>
  </w:footnote>
  <w:footnote w:type="continuationNotice" w:id="1">
    <w:p w14:paraId="25A9EE32" w14:textId="77777777" w:rsidR="00F30435" w:rsidRDefault="00F30435" w:rsidP="00C721AC">
      <w:pPr>
        <w:jc w:val="right"/>
        <w:rPr>
          <w:sz w:val="20"/>
        </w:rPr>
      </w:pPr>
      <w:r>
        <w:rPr>
          <w:sz w:val="20"/>
        </w:rPr>
        <w:t>(continued….)</w:t>
      </w:r>
    </w:p>
  </w:footnote>
  <w:footnote w:id="2">
    <w:p w14:paraId="3F6E7453" w14:textId="3CCDC32A" w:rsidR="003A1A12" w:rsidRDefault="003A1A12" w:rsidP="003A1A12">
      <w:pPr>
        <w:pStyle w:val="FootnoteText"/>
      </w:pPr>
      <w:r>
        <w:rPr>
          <w:rStyle w:val="FootnoteReference"/>
        </w:rPr>
        <w:footnoteRef/>
      </w:r>
      <w:r>
        <w:t xml:space="preserve"> Monroe Electronics, Inc., Request for Extension to the Filing Deadline in Regards to the Above Referenced Notice of Proposed Rulemaking, PS Docket No. 15-94 (</w:t>
      </w:r>
      <w:r w:rsidR="009201B9">
        <w:t xml:space="preserve">filed </w:t>
      </w:r>
      <w:r>
        <w:t>April 19, 2016) (</w:t>
      </w:r>
      <w:r w:rsidR="00D532C9" w:rsidRPr="007D437B">
        <w:rPr>
          <w:i/>
        </w:rPr>
        <w:t>Monroe Request</w:t>
      </w:r>
      <w:r>
        <w:t>).</w:t>
      </w:r>
    </w:p>
  </w:footnote>
  <w:footnote w:id="3">
    <w:p w14:paraId="479B27AD" w14:textId="41A0C643" w:rsidR="00AC32F8" w:rsidRDefault="00AC32F8">
      <w:pPr>
        <w:pStyle w:val="FootnoteText"/>
      </w:pPr>
      <w:r>
        <w:rPr>
          <w:rStyle w:val="FootnoteReference"/>
        </w:rPr>
        <w:footnoteRef/>
      </w:r>
      <w:r>
        <w:t xml:space="preserve"> National Alliance of State Broadcasters Associations, Motion for Extension of Deadlines for Filing Comments and Reply Comments, PS Docket Nos. 15-94, 15-91 (filed April 29, 2016)</w:t>
      </w:r>
      <w:r w:rsidR="00D36BBF">
        <w:t xml:space="preserve"> (</w:t>
      </w:r>
      <w:r w:rsidR="00D36BBF" w:rsidRPr="00EE399C">
        <w:rPr>
          <w:i/>
        </w:rPr>
        <w:t>NASBA Motion</w:t>
      </w:r>
      <w:r w:rsidR="00D36BBF">
        <w:t>)</w:t>
      </w:r>
      <w:r>
        <w:t>.</w:t>
      </w:r>
    </w:p>
  </w:footnote>
  <w:footnote w:id="4">
    <w:p w14:paraId="19F456AE" w14:textId="21E39F71" w:rsidR="007D437B" w:rsidRDefault="007D437B">
      <w:pPr>
        <w:pStyle w:val="FootnoteText"/>
      </w:pPr>
      <w:r>
        <w:rPr>
          <w:rStyle w:val="FootnoteReference"/>
        </w:rPr>
        <w:footnoteRef/>
      </w:r>
      <w:r>
        <w:t xml:space="preserve"> </w:t>
      </w:r>
      <w:r w:rsidR="00F3378C" w:rsidRPr="00EE399C">
        <w:rPr>
          <w:i/>
        </w:rPr>
        <w:t>See</w:t>
      </w:r>
      <w:r w:rsidR="00F3378C">
        <w:t xml:space="preserve"> </w:t>
      </w:r>
      <w:r w:rsidR="006978DE">
        <w:t>Broadcast Warning Working Group Comments, PS Docket No. 15-94 (filed April 25, 2016) (</w:t>
      </w:r>
      <w:r w:rsidR="006045E4" w:rsidRPr="00583DB3">
        <w:rPr>
          <w:i/>
        </w:rPr>
        <w:t>BWWG Comments</w:t>
      </w:r>
      <w:r w:rsidR="006045E4">
        <w:t xml:space="preserve">); </w:t>
      </w:r>
      <w:r w:rsidR="00F3378C">
        <w:t>Comments of the Washington State SECC In Support of an Extension to the Deadline to File Comments in the Above Reference Proceeding, PS Docket Nos. 15-94, 15-91 (filed May 2, 2016)</w:t>
      </w:r>
      <w:r w:rsidR="006978DE">
        <w:t xml:space="preserve"> (</w:t>
      </w:r>
      <w:r w:rsidR="006045E4" w:rsidRPr="006045E4">
        <w:rPr>
          <w:i/>
        </w:rPr>
        <w:t>Washington State SECC Comments</w:t>
      </w:r>
      <w:r w:rsidR="006045E4">
        <w:t>).</w:t>
      </w:r>
    </w:p>
  </w:footnote>
  <w:footnote w:id="5">
    <w:p w14:paraId="1EC2B8F3" w14:textId="6080D8A2" w:rsidR="00E20035" w:rsidRDefault="00E20035">
      <w:pPr>
        <w:pStyle w:val="FootnoteText"/>
      </w:pPr>
      <w:r>
        <w:rPr>
          <w:rStyle w:val="FootnoteReference"/>
        </w:rPr>
        <w:footnoteRef/>
      </w:r>
      <w:r>
        <w:t xml:space="preserve"> </w:t>
      </w:r>
      <w:r w:rsidR="00DD16F6" w:rsidRPr="00345870">
        <w:rPr>
          <w:i/>
        </w:rPr>
        <w:t>Amendment of Part 11 of the Commission’s Rules Regarding the Emergency Alert System, Wireless Emergency Alerts</w:t>
      </w:r>
      <w:r w:rsidR="00DD16F6" w:rsidRPr="00345870">
        <w:t xml:space="preserve">, PS Docket Nos. 15-94, 15-91, Notice of Proposed Rulemaking, </w:t>
      </w:r>
      <w:r w:rsidR="00DD16F6">
        <w:t>31 FCC Rcd 594 (</w:t>
      </w:r>
      <w:r w:rsidR="00DD16F6" w:rsidRPr="00345870">
        <w:t>2016).</w:t>
      </w:r>
    </w:p>
  </w:footnote>
  <w:footnote w:id="6">
    <w:p w14:paraId="4AE99524" w14:textId="4A03AE1F" w:rsidR="00E20035" w:rsidRDefault="00E20035">
      <w:pPr>
        <w:pStyle w:val="FootnoteText"/>
      </w:pPr>
      <w:r>
        <w:rPr>
          <w:rStyle w:val="FootnoteReference"/>
        </w:rPr>
        <w:footnoteRef/>
      </w:r>
      <w:r>
        <w:t xml:space="preserve"> </w:t>
      </w:r>
      <w:r w:rsidR="009F0B56" w:rsidRPr="009F0B56">
        <w:rPr>
          <w:i/>
        </w:rPr>
        <w:t>See</w:t>
      </w:r>
      <w:r w:rsidR="009F0B56">
        <w:t xml:space="preserve"> </w:t>
      </w:r>
      <w:r w:rsidR="008C5247">
        <w:t>Federal Communications Commission, 47 CFR Part 11</w:t>
      </w:r>
      <w:r w:rsidR="008C5247" w:rsidRPr="008C5247">
        <w:rPr>
          <w:i/>
        </w:rPr>
        <w:t>, Rules Regarding the Emergency Alert System and Wireless Emergency Alerts</w:t>
      </w:r>
      <w:r w:rsidR="008C5247">
        <w:t xml:space="preserve">, Notice of Proposed Rulemaking, </w:t>
      </w:r>
      <w:r w:rsidR="009F0B56">
        <w:t>81 Fed. Reg. 15792 (Mar. 24, 2016).</w:t>
      </w:r>
    </w:p>
  </w:footnote>
  <w:footnote w:id="7">
    <w:p w14:paraId="4DAE15B2" w14:textId="225F0C30" w:rsidR="003A1A12" w:rsidRPr="00345870" w:rsidRDefault="003A1A12" w:rsidP="003A1A12">
      <w:pPr>
        <w:pStyle w:val="FootnoteText"/>
      </w:pPr>
      <w:r w:rsidRPr="00345870">
        <w:rPr>
          <w:rStyle w:val="FootnoteReference"/>
        </w:rPr>
        <w:footnoteRef/>
      </w:r>
      <w:r w:rsidRPr="00345870">
        <w:t xml:space="preserve"> </w:t>
      </w:r>
      <w:r w:rsidR="00DD16F6" w:rsidRPr="009201B9">
        <w:rPr>
          <w:i/>
        </w:rPr>
        <w:t>See NPRM</w:t>
      </w:r>
      <w:r w:rsidR="00DD16F6">
        <w:t>, 31 FCC Rcd at 595, para. 1</w:t>
      </w:r>
      <w:r w:rsidR="008C5247">
        <w:t>.</w:t>
      </w:r>
    </w:p>
  </w:footnote>
  <w:footnote w:id="8">
    <w:p w14:paraId="2A832841" w14:textId="691E63BA" w:rsidR="003A1A12" w:rsidRDefault="003A1A12" w:rsidP="003A1A12">
      <w:pPr>
        <w:pStyle w:val="FootnoteText"/>
      </w:pPr>
      <w:r>
        <w:rPr>
          <w:rStyle w:val="FootnoteReference"/>
        </w:rPr>
        <w:footnoteRef/>
      </w:r>
      <w:r>
        <w:t xml:space="preserve"> </w:t>
      </w:r>
      <w:r w:rsidR="00D532C9" w:rsidRPr="007D437B">
        <w:rPr>
          <w:i/>
        </w:rPr>
        <w:t>Monroe Request</w:t>
      </w:r>
      <w:r w:rsidR="00D532C9">
        <w:t xml:space="preserve"> </w:t>
      </w:r>
      <w:r>
        <w:t>at 1.</w:t>
      </w:r>
    </w:p>
  </w:footnote>
  <w:footnote w:id="9">
    <w:p w14:paraId="04AC103F" w14:textId="4DE4BBB9" w:rsidR="003A1A12" w:rsidRDefault="003A1A12" w:rsidP="003A1A12">
      <w:pPr>
        <w:pStyle w:val="FootnoteText"/>
      </w:pPr>
      <w:r>
        <w:rPr>
          <w:rStyle w:val="FootnoteReference"/>
        </w:rPr>
        <w:footnoteRef/>
      </w:r>
      <w:r>
        <w:t xml:space="preserve"> </w:t>
      </w:r>
      <w:r w:rsidRPr="00B3230F">
        <w:rPr>
          <w:i/>
        </w:rPr>
        <w:t xml:space="preserve">See </w:t>
      </w:r>
      <w:r w:rsidRPr="00A74ADD">
        <w:rPr>
          <w:i/>
        </w:rPr>
        <w:t>Public Safety and Homeland Security Bureau Seeks Comment on Ways to Facilitate Earthquake-Related Emergency Alerts</w:t>
      </w:r>
      <w:r>
        <w:t xml:space="preserve">, PS Docket No. 16-32, </w:t>
      </w:r>
      <w:r w:rsidRPr="00A74ADD">
        <w:t>Public Notice</w:t>
      </w:r>
      <w:r w:rsidRPr="00B3230F">
        <w:t>, DA 1</w:t>
      </w:r>
      <w:r>
        <w:t>6</w:t>
      </w:r>
      <w:r w:rsidRPr="00B3230F">
        <w:t>-</w:t>
      </w:r>
      <w:r>
        <w:t>380</w:t>
      </w:r>
      <w:r w:rsidRPr="00B3230F">
        <w:t xml:space="preserve"> (PSHSB 201</w:t>
      </w:r>
      <w:r>
        <w:t>6</w:t>
      </w:r>
      <w:r w:rsidRPr="00B3230F">
        <w:t>)</w:t>
      </w:r>
      <w:r w:rsidR="006045E4">
        <w:t xml:space="preserve">; </w:t>
      </w:r>
      <w:r w:rsidR="006045E4" w:rsidRPr="006045E4">
        <w:rPr>
          <w:i/>
        </w:rPr>
        <w:t xml:space="preserve">see also </w:t>
      </w:r>
      <w:r w:rsidR="000B04FE" w:rsidRPr="006045E4">
        <w:rPr>
          <w:i/>
        </w:rPr>
        <w:t xml:space="preserve">Washington State SECC </w:t>
      </w:r>
      <w:r w:rsidR="006045E4" w:rsidRPr="006045E4">
        <w:rPr>
          <w:i/>
        </w:rPr>
        <w:t>Comments</w:t>
      </w:r>
      <w:r w:rsidR="006045E4">
        <w:t xml:space="preserve"> at 1-2 (noting that </w:t>
      </w:r>
      <w:r w:rsidR="000B04FE">
        <w:t xml:space="preserve">the deadlines for the </w:t>
      </w:r>
      <w:r w:rsidR="000B04FE" w:rsidRPr="006045E4">
        <w:rPr>
          <w:i/>
        </w:rPr>
        <w:t xml:space="preserve">NPRM </w:t>
      </w:r>
      <w:r w:rsidR="000B04FE">
        <w:t>coincide with those of the request for comment on earthquake-related emergency alerts</w:t>
      </w:r>
      <w:r w:rsidR="006045E4">
        <w:t>)</w:t>
      </w:r>
      <w:r w:rsidR="000B04FE">
        <w:t>.</w:t>
      </w:r>
    </w:p>
  </w:footnote>
  <w:footnote w:id="10">
    <w:p w14:paraId="57F7F111" w14:textId="5B028A49" w:rsidR="003A1A12" w:rsidRDefault="003A1A12" w:rsidP="003A1A12">
      <w:pPr>
        <w:pStyle w:val="FootnoteText"/>
      </w:pPr>
      <w:r>
        <w:rPr>
          <w:rStyle w:val="FootnoteReference"/>
        </w:rPr>
        <w:footnoteRef/>
      </w:r>
      <w:r>
        <w:t xml:space="preserve"> </w:t>
      </w:r>
      <w:r w:rsidRPr="00A74ADD">
        <w:rPr>
          <w:i/>
        </w:rPr>
        <w:t xml:space="preserve">See </w:t>
      </w:r>
      <w:r w:rsidR="00D532C9">
        <w:rPr>
          <w:i/>
        </w:rPr>
        <w:t>Monroe Request</w:t>
      </w:r>
      <w:r>
        <w:t xml:space="preserve"> at 1.</w:t>
      </w:r>
    </w:p>
  </w:footnote>
  <w:footnote w:id="11">
    <w:p w14:paraId="7B04370B" w14:textId="33009724" w:rsidR="00D36BBF" w:rsidRDefault="00D36BBF">
      <w:pPr>
        <w:pStyle w:val="FootnoteText"/>
      </w:pPr>
      <w:r>
        <w:rPr>
          <w:rStyle w:val="FootnoteReference"/>
        </w:rPr>
        <w:footnoteRef/>
      </w:r>
      <w:r>
        <w:t xml:space="preserve"> </w:t>
      </w:r>
      <w:r w:rsidRPr="00EE399C">
        <w:rPr>
          <w:i/>
        </w:rPr>
        <w:t>See NASBA Motion</w:t>
      </w:r>
      <w:r>
        <w:t xml:space="preserve"> at 1-2. </w:t>
      </w:r>
    </w:p>
  </w:footnote>
  <w:footnote w:id="12">
    <w:p w14:paraId="22997329" w14:textId="0D705620" w:rsidR="00064421" w:rsidRDefault="00064421">
      <w:pPr>
        <w:pStyle w:val="FootnoteText"/>
      </w:pPr>
      <w:r>
        <w:rPr>
          <w:rStyle w:val="FootnoteReference"/>
        </w:rPr>
        <w:footnoteRef/>
      </w:r>
      <w:r>
        <w:t xml:space="preserve"> </w:t>
      </w:r>
      <w:r w:rsidRPr="000B04FE">
        <w:rPr>
          <w:i/>
        </w:rPr>
        <w:t>NASBA Motion</w:t>
      </w:r>
      <w:r>
        <w:t xml:space="preserve"> at 1.</w:t>
      </w:r>
    </w:p>
  </w:footnote>
  <w:footnote w:id="13">
    <w:p w14:paraId="2534DFB5" w14:textId="77777777" w:rsidR="003A1A12" w:rsidRDefault="003A1A12" w:rsidP="003A1A12">
      <w:pPr>
        <w:pStyle w:val="FootnoteText"/>
      </w:pPr>
      <w:r>
        <w:rPr>
          <w:rStyle w:val="FootnoteReference"/>
        </w:rPr>
        <w:footnoteRef/>
      </w:r>
      <w:r>
        <w:t xml:space="preserve"> 47 C.F.R. </w:t>
      </w:r>
      <w:r>
        <w:rPr>
          <w:spacing w:val="-2"/>
        </w:rPr>
        <w:t>§ 1.46(a).</w:t>
      </w:r>
    </w:p>
  </w:footnote>
  <w:footnote w:id="14">
    <w:p w14:paraId="7876E07E" w14:textId="36051082" w:rsidR="003A1A12" w:rsidRDefault="003A1A12" w:rsidP="003A1A12">
      <w:pPr>
        <w:rPr>
          <w:snapToGrid/>
          <w:color w:val="000000"/>
          <w:kern w:val="0"/>
          <w:sz w:val="20"/>
        </w:rPr>
      </w:pPr>
      <w:r>
        <w:rPr>
          <w:rStyle w:val="FootnoteReference"/>
        </w:rPr>
        <w:footnoteRef/>
      </w:r>
      <w:r>
        <w:rPr>
          <w:sz w:val="20"/>
        </w:rPr>
        <w:t xml:space="preserve"> </w:t>
      </w:r>
      <w:r>
        <w:rPr>
          <w:i/>
          <w:sz w:val="20"/>
        </w:rPr>
        <w:t>See</w:t>
      </w:r>
      <w:r>
        <w:rPr>
          <w:sz w:val="20"/>
        </w:rPr>
        <w:t>,</w:t>
      </w:r>
      <w:r>
        <w:rPr>
          <w:i/>
          <w:sz w:val="20"/>
        </w:rPr>
        <w:t xml:space="preserve"> e.g., </w:t>
      </w:r>
      <w:r>
        <w:rPr>
          <w:i/>
          <w:snapToGrid/>
          <w:color w:val="000000"/>
          <w:kern w:val="0"/>
          <w:sz w:val="20"/>
        </w:rPr>
        <w:t>Service Rules for Advanced Wireless Services in the 2155-2175 MHZ Band, Service Rules for Advanced Wireless Services in the 1915-1920 MHZ, 1995-2000 MHZ, 2020-2025 MHZ and 2175-2180 MHZ Bands</w:t>
      </w:r>
      <w:r>
        <w:rPr>
          <w:snapToGrid/>
          <w:color w:val="000000"/>
          <w:kern w:val="0"/>
          <w:sz w:val="20"/>
        </w:rPr>
        <w:t xml:space="preserve">, WT Docket Nos. 04-356, 07-195, Order, </w:t>
      </w:r>
      <w:r>
        <w:rPr>
          <w:color w:val="000000"/>
          <w:sz w:val="20"/>
        </w:rPr>
        <w:t>23 FCC Rcd 10527, 10528, para.</w:t>
      </w:r>
      <w:r>
        <w:rPr>
          <w:sz w:val="20"/>
        </w:rPr>
        <w:t xml:space="preserve"> </w:t>
      </w:r>
      <w:r>
        <w:rPr>
          <w:color w:val="000000"/>
          <w:sz w:val="20"/>
        </w:rPr>
        <w:t xml:space="preserve">4 (WTB 2008); </w:t>
      </w:r>
      <w:r>
        <w:rPr>
          <w:i/>
          <w:color w:val="000000"/>
          <w:sz w:val="20"/>
        </w:rPr>
        <w:t xml:space="preserve">Review of the </w:t>
      </w:r>
      <w:smartTag w:uri="urn:schemas-microsoft-com:office:smarttags" w:element="PersonName">
        <w:r>
          <w:rPr>
            <w:i/>
            <w:color w:val="000000"/>
            <w:sz w:val="20"/>
          </w:rPr>
          <w:t>Emergency</w:t>
        </w:r>
      </w:smartTag>
      <w:r>
        <w:rPr>
          <w:i/>
          <w:color w:val="000000"/>
          <w:sz w:val="20"/>
        </w:rPr>
        <w:t xml:space="preserve"> Alert System, </w:t>
      </w:r>
      <w:r>
        <w:rPr>
          <w:color w:val="000000"/>
          <w:sz w:val="20"/>
        </w:rPr>
        <w:t>EB Docket No. 04-296, Order, 25 FCC Rcd 1849</w:t>
      </w:r>
      <w:r w:rsidR="0073172A">
        <w:rPr>
          <w:color w:val="000000"/>
          <w:sz w:val="20"/>
        </w:rPr>
        <w:t>, 1850, para. 3</w:t>
      </w:r>
      <w:r>
        <w:rPr>
          <w:color w:val="000000"/>
          <w:sz w:val="20"/>
        </w:rPr>
        <w:t xml:space="preserve"> (PSHSB 2010).</w:t>
      </w:r>
      <w:r>
        <w:rPr>
          <w:color w:val="000000"/>
          <w:sz w:val="20"/>
        </w:rPr>
        <w:br/>
      </w:r>
    </w:p>
  </w:footnote>
  <w:footnote w:id="15">
    <w:p w14:paraId="6D7F7D28" w14:textId="1CDA1CC3" w:rsidR="00EE399C" w:rsidRDefault="00EE399C">
      <w:pPr>
        <w:pStyle w:val="FootnoteText"/>
      </w:pPr>
      <w:r>
        <w:rPr>
          <w:rStyle w:val="FootnoteReference"/>
        </w:rPr>
        <w:footnoteRef/>
      </w:r>
      <w:r>
        <w:t xml:space="preserve"> </w:t>
      </w:r>
      <w:r w:rsidRPr="00EE399C">
        <w:rPr>
          <w:i/>
        </w:rPr>
        <w:t>Monroe Request</w:t>
      </w:r>
      <w:r>
        <w:t xml:space="preserve"> at 1.</w:t>
      </w:r>
    </w:p>
  </w:footnote>
  <w:footnote w:id="16">
    <w:p w14:paraId="460DD8AA" w14:textId="3E4482D3" w:rsidR="00EE399C" w:rsidRDefault="00EE399C">
      <w:pPr>
        <w:pStyle w:val="FootnoteText"/>
      </w:pPr>
      <w:r>
        <w:rPr>
          <w:rStyle w:val="FootnoteReference"/>
        </w:rPr>
        <w:footnoteRef/>
      </w:r>
      <w:r>
        <w:t xml:space="preserve"> </w:t>
      </w:r>
      <w:r w:rsidRPr="00EE399C">
        <w:rPr>
          <w:i/>
        </w:rPr>
        <w:t>NASBA Motion</w:t>
      </w:r>
      <w:r>
        <w:t xml:space="preserve"> at 2</w:t>
      </w:r>
      <w:r w:rsidR="006045E4">
        <w:t xml:space="preserve">; </w:t>
      </w:r>
      <w:r w:rsidR="006045E4" w:rsidRPr="006045E4">
        <w:rPr>
          <w:i/>
        </w:rPr>
        <w:t>see also BWWG Comments</w:t>
      </w:r>
      <w:r w:rsidR="006045E4">
        <w:t xml:space="preserve"> at 1 (noting that that many potential commenters are currently involved in meeting Communications Security, Reliability and Interoperability Council (CSRIC) working group deadlines).</w:t>
      </w:r>
    </w:p>
  </w:footnote>
  <w:footnote w:id="17">
    <w:p w14:paraId="038F3564" w14:textId="189E2494" w:rsidR="00482B53" w:rsidRDefault="00482B53" w:rsidP="00482B53">
      <w:pPr>
        <w:pStyle w:val="footnotedescription"/>
      </w:pPr>
      <w:r>
        <w:rPr>
          <w:rStyle w:val="FootnoteReference"/>
        </w:rPr>
        <w:footnoteRef/>
      </w:r>
      <w:r>
        <w:t xml:space="preserve"> We extend the comment deadline by 30 days and extend the reply comment deadline to afford 30 days for replies after the extended comment deadline.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1CE3" w14:textId="77777777" w:rsidR="007045A7" w:rsidRDefault="007045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1E670" w14:textId="213A0DB7" w:rsidR="00D25FB5" w:rsidRDefault="00D25FB5" w:rsidP="00810B6F">
    <w:pPr>
      <w:pStyle w:val="Header"/>
      <w:rPr>
        <w:b w:val="0"/>
      </w:rPr>
    </w:pPr>
    <w:r>
      <w:tab/>
      <w:t>Federal Communications Commission</w:t>
    </w:r>
    <w:r>
      <w:tab/>
    </w:r>
    <w:r w:rsidR="00813FD0">
      <w:t>DA 16-</w:t>
    </w:r>
    <w:r w:rsidR="002C06F6">
      <w:t>482</w:t>
    </w:r>
  </w:p>
  <w:p w14:paraId="3D02054B" w14:textId="6C2C91B2" w:rsidR="00D25FB5" w:rsidRDefault="006876C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1AE64C30" wp14:editId="76F33B0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8FD1E8"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191E757"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55047" w14:textId="049960E6" w:rsidR="00D25FB5" w:rsidRDefault="006876C3" w:rsidP="00810B6F">
    <w:pPr>
      <w:pStyle w:val="Header"/>
      <w:rPr>
        <w:b w:val="0"/>
      </w:rPr>
    </w:pPr>
    <w:r>
      <w:rPr>
        <w:noProof/>
      </w:rPr>
      <mc:AlternateContent>
        <mc:Choice Requires="wps">
          <w:drawing>
            <wp:anchor distT="0" distB="0" distL="114300" distR="114300" simplePos="0" relativeHeight="251657216" behindDoc="1" locked="0" layoutInCell="0" allowOverlap="1" wp14:anchorId="1005893C" wp14:editId="440BAE1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D0968C"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813FD0">
      <w:rPr>
        <w:spacing w:val="-2"/>
      </w:rPr>
      <w:t>DA 16-</w:t>
    </w:r>
    <w:r w:rsidR="002C06F6">
      <w:rPr>
        <w:spacing w:val="-2"/>
      </w:rPr>
      <w:t>482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9B86CAEA"/>
    <w:lvl w:ilvl="0">
      <w:start w:val="1"/>
      <w:numFmt w:val="decimal"/>
      <w:pStyle w:val="ParaNum"/>
      <w:lvlText w:val="%1."/>
      <w:lvlJc w:val="left"/>
      <w:pPr>
        <w:tabs>
          <w:tab w:val="num" w:pos="1080"/>
        </w:tabs>
        <w:ind w:left="0" w:firstLine="720"/>
      </w:pPr>
      <w:rPr>
        <w:rFonts w:ascii="Times New Roman" w:eastAsia="Times New Roman" w:hAnsi="Times New Roman" w:cs="Times New Roman"/>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3"/>
  </w:num>
  <w:num w:numId="8">
    <w:abstractNumId w:val="3"/>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12"/>
    <w:rsid w:val="00036039"/>
    <w:rsid w:val="00037F90"/>
    <w:rsid w:val="00056F71"/>
    <w:rsid w:val="00057C58"/>
    <w:rsid w:val="00064421"/>
    <w:rsid w:val="00066881"/>
    <w:rsid w:val="000875BF"/>
    <w:rsid w:val="00096D8C"/>
    <w:rsid w:val="000B04FE"/>
    <w:rsid w:val="000C0B65"/>
    <w:rsid w:val="000C7A9A"/>
    <w:rsid w:val="000E05FE"/>
    <w:rsid w:val="000E3D42"/>
    <w:rsid w:val="000F1633"/>
    <w:rsid w:val="001206FB"/>
    <w:rsid w:val="00122BD5"/>
    <w:rsid w:val="00133F79"/>
    <w:rsid w:val="00194A66"/>
    <w:rsid w:val="001A4B2D"/>
    <w:rsid w:val="001D6BCF"/>
    <w:rsid w:val="001E01CA"/>
    <w:rsid w:val="001F1587"/>
    <w:rsid w:val="00234B11"/>
    <w:rsid w:val="00275CF5"/>
    <w:rsid w:val="0028301F"/>
    <w:rsid w:val="00285017"/>
    <w:rsid w:val="002A2D2E"/>
    <w:rsid w:val="002A4198"/>
    <w:rsid w:val="002C00E8"/>
    <w:rsid w:val="002C06F6"/>
    <w:rsid w:val="002E245A"/>
    <w:rsid w:val="002F2FBE"/>
    <w:rsid w:val="003310C3"/>
    <w:rsid w:val="00343749"/>
    <w:rsid w:val="003660ED"/>
    <w:rsid w:val="003A1A12"/>
    <w:rsid w:val="003B0550"/>
    <w:rsid w:val="003B61FF"/>
    <w:rsid w:val="003B694F"/>
    <w:rsid w:val="003C3B80"/>
    <w:rsid w:val="003F171C"/>
    <w:rsid w:val="003F301F"/>
    <w:rsid w:val="003F3E34"/>
    <w:rsid w:val="00412FC5"/>
    <w:rsid w:val="00422276"/>
    <w:rsid w:val="004242F1"/>
    <w:rsid w:val="00445A00"/>
    <w:rsid w:val="00451B0F"/>
    <w:rsid w:val="0047135F"/>
    <w:rsid w:val="00481047"/>
    <w:rsid w:val="00482B53"/>
    <w:rsid w:val="004904E5"/>
    <w:rsid w:val="004B67D5"/>
    <w:rsid w:val="004C2EE3"/>
    <w:rsid w:val="004E4A22"/>
    <w:rsid w:val="0050703F"/>
    <w:rsid w:val="00511968"/>
    <w:rsid w:val="005312A0"/>
    <w:rsid w:val="0055614C"/>
    <w:rsid w:val="00574AB0"/>
    <w:rsid w:val="005816F6"/>
    <w:rsid w:val="00583DB3"/>
    <w:rsid w:val="005E14C2"/>
    <w:rsid w:val="006045E4"/>
    <w:rsid w:val="00607BA5"/>
    <w:rsid w:val="0061180A"/>
    <w:rsid w:val="006203A6"/>
    <w:rsid w:val="00626EB6"/>
    <w:rsid w:val="00655D03"/>
    <w:rsid w:val="0065600C"/>
    <w:rsid w:val="0066392A"/>
    <w:rsid w:val="00683388"/>
    <w:rsid w:val="00683F84"/>
    <w:rsid w:val="006876C3"/>
    <w:rsid w:val="006978DE"/>
    <w:rsid w:val="006A6A81"/>
    <w:rsid w:val="006E1469"/>
    <w:rsid w:val="006F7393"/>
    <w:rsid w:val="0070224F"/>
    <w:rsid w:val="007045A7"/>
    <w:rsid w:val="007115F7"/>
    <w:rsid w:val="0073172A"/>
    <w:rsid w:val="00750A9E"/>
    <w:rsid w:val="0076209B"/>
    <w:rsid w:val="00781E4C"/>
    <w:rsid w:val="00785689"/>
    <w:rsid w:val="0079754B"/>
    <w:rsid w:val="007A1E6D"/>
    <w:rsid w:val="007B0EB2"/>
    <w:rsid w:val="007C57BC"/>
    <w:rsid w:val="007C7DF9"/>
    <w:rsid w:val="007D437B"/>
    <w:rsid w:val="00810B6F"/>
    <w:rsid w:val="00813FD0"/>
    <w:rsid w:val="00822CE0"/>
    <w:rsid w:val="00841AB1"/>
    <w:rsid w:val="008A48D5"/>
    <w:rsid w:val="008C48C8"/>
    <w:rsid w:val="008C5247"/>
    <w:rsid w:val="008C68F1"/>
    <w:rsid w:val="00904157"/>
    <w:rsid w:val="009201B9"/>
    <w:rsid w:val="00920F24"/>
    <w:rsid w:val="00921803"/>
    <w:rsid w:val="00926503"/>
    <w:rsid w:val="009352BB"/>
    <w:rsid w:val="009463FD"/>
    <w:rsid w:val="009726D8"/>
    <w:rsid w:val="009B4949"/>
    <w:rsid w:val="009F0B56"/>
    <w:rsid w:val="009F6E71"/>
    <w:rsid w:val="009F76DB"/>
    <w:rsid w:val="00A00DC1"/>
    <w:rsid w:val="00A273D6"/>
    <w:rsid w:val="00A32C3B"/>
    <w:rsid w:val="00A376D2"/>
    <w:rsid w:val="00A45F4F"/>
    <w:rsid w:val="00A600A9"/>
    <w:rsid w:val="00A8425C"/>
    <w:rsid w:val="00AA55B7"/>
    <w:rsid w:val="00AA5B9E"/>
    <w:rsid w:val="00AB2407"/>
    <w:rsid w:val="00AB53DF"/>
    <w:rsid w:val="00AC32F8"/>
    <w:rsid w:val="00B07AA5"/>
    <w:rsid w:val="00B07E5C"/>
    <w:rsid w:val="00B811F7"/>
    <w:rsid w:val="00BA5DC6"/>
    <w:rsid w:val="00BA6196"/>
    <w:rsid w:val="00BC6D8C"/>
    <w:rsid w:val="00BE56AA"/>
    <w:rsid w:val="00C34006"/>
    <w:rsid w:val="00C40505"/>
    <w:rsid w:val="00C40618"/>
    <w:rsid w:val="00C426B1"/>
    <w:rsid w:val="00C6206A"/>
    <w:rsid w:val="00C66160"/>
    <w:rsid w:val="00C721AC"/>
    <w:rsid w:val="00C90D6A"/>
    <w:rsid w:val="00CA247E"/>
    <w:rsid w:val="00CC72B6"/>
    <w:rsid w:val="00D0218D"/>
    <w:rsid w:val="00D04E3B"/>
    <w:rsid w:val="00D06313"/>
    <w:rsid w:val="00D25FB5"/>
    <w:rsid w:val="00D26589"/>
    <w:rsid w:val="00D36BBF"/>
    <w:rsid w:val="00D44223"/>
    <w:rsid w:val="00D532C9"/>
    <w:rsid w:val="00D7021F"/>
    <w:rsid w:val="00DA2529"/>
    <w:rsid w:val="00DB130A"/>
    <w:rsid w:val="00DB2EBB"/>
    <w:rsid w:val="00DC10A1"/>
    <w:rsid w:val="00DC655F"/>
    <w:rsid w:val="00DD0B59"/>
    <w:rsid w:val="00DD16F6"/>
    <w:rsid w:val="00DD2228"/>
    <w:rsid w:val="00DD2EE8"/>
    <w:rsid w:val="00DD7EBD"/>
    <w:rsid w:val="00DF62B6"/>
    <w:rsid w:val="00E07225"/>
    <w:rsid w:val="00E20035"/>
    <w:rsid w:val="00E45FA4"/>
    <w:rsid w:val="00E5409F"/>
    <w:rsid w:val="00E673A0"/>
    <w:rsid w:val="00EE399C"/>
    <w:rsid w:val="00EE6488"/>
    <w:rsid w:val="00F021FA"/>
    <w:rsid w:val="00F045B8"/>
    <w:rsid w:val="00F2336C"/>
    <w:rsid w:val="00F30435"/>
    <w:rsid w:val="00F3378C"/>
    <w:rsid w:val="00F37196"/>
    <w:rsid w:val="00F5517D"/>
    <w:rsid w:val="00F62E97"/>
    <w:rsid w:val="00F64209"/>
    <w:rsid w:val="00F93BF5"/>
    <w:rsid w:val="00F97591"/>
    <w:rsid w:val="00FB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30C4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A12"/>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footnotedescription">
    <w:name w:val="footnote description"/>
    <w:next w:val="Normal"/>
    <w:link w:val="footnotedescriptionChar"/>
    <w:hidden/>
    <w:rsid w:val="003A1A12"/>
    <w:pPr>
      <w:spacing w:line="216" w:lineRule="auto"/>
      <w:ind w:right="51"/>
    </w:pPr>
    <w:rPr>
      <w:color w:val="221F1F"/>
      <w:szCs w:val="22"/>
    </w:rPr>
  </w:style>
  <w:style w:type="character" w:customStyle="1" w:styleId="footnotedescriptionChar">
    <w:name w:val="footnote description Char"/>
    <w:link w:val="footnotedescription"/>
    <w:rsid w:val="003A1A12"/>
    <w:rPr>
      <w:color w:val="221F1F"/>
      <w:szCs w:val="22"/>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locked/>
    <w:rsid w:val="003A1A12"/>
  </w:style>
  <w:style w:type="paragraph" w:styleId="ListParagraph">
    <w:name w:val="List Paragraph"/>
    <w:basedOn w:val="Normal"/>
    <w:uiPriority w:val="34"/>
    <w:qFormat/>
    <w:rsid w:val="009B4949"/>
    <w:pPr>
      <w:ind w:left="720"/>
    </w:pPr>
  </w:style>
  <w:style w:type="character" w:styleId="CommentReference">
    <w:name w:val="annotation reference"/>
    <w:rsid w:val="001A4B2D"/>
    <w:rPr>
      <w:sz w:val="16"/>
      <w:szCs w:val="16"/>
    </w:rPr>
  </w:style>
  <w:style w:type="paragraph" w:styleId="CommentText">
    <w:name w:val="annotation text"/>
    <w:basedOn w:val="Normal"/>
    <w:link w:val="CommentTextChar"/>
    <w:rsid w:val="001A4B2D"/>
    <w:rPr>
      <w:sz w:val="20"/>
    </w:rPr>
  </w:style>
  <w:style w:type="character" w:customStyle="1" w:styleId="CommentTextChar">
    <w:name w:val="Comment Text Char"/>
    <w:link w:val="CommentText"/>
    <w:rsid w:val="001A4B2D"/>
    <w:rPr>
      <w:snapToGrid w:val="0"/>
      <w:kern w:val="28"/>
    </w:rPr>
  </w:style>
  <w:style w:type="paragraph" w:styleId="CommentSubject">
    <w:name w:val="annotation subject"/>
    <w:basedOn w:val="CommentText"/>
    <w:next w:val="CommentText"/>
    <w:link w:val="CommentSubjectChar"/>
    <w:rsid w:val="001A4B2D"/>
    <w:rPr>
      <w:b/>
      <w:bCs/>
    </w:rPr>
  </w:style>
  <w:style w:type="character" w:customStyle="1" w:styleId="CommentSubjectChar">
    <w:name w:val="Comment Subject Char"/>
    <w:link w:val="CommentSubject"/>
    <w:rsid w:val="001A4B2D"/>
    <w:rPr>
      <w:b/>
      <w:bCs/>
      <w:snapToGrid w:val="0"/>
      <w:kern w:val="28"/>
    </w:rPr>
  </w:style>
  <w:style w:type="paragraph" w:styleId="BalloonText">
    <w:name w:val="Balloon Text"/>
    <w:basedOn w:val="Normal"/>
    <w:link w:val="BalloonTextChar"/>
    <w:rsid w:val="001A4B2D"/>
    <w:rPr>
      <w:rFonts w:ascii="Segoe UI" w:hAnsi="Segoe UI" w:cs="Segoe UI"/>
      <w:sz w:val="18"/>
      <w:szCs w:val="18"/>
    </w:rPr>
  </w:style>
  <w:style w:type="character" w:customStyle="1" w:styleId="BalloonTextChar">
    <w:name w:val="Balloon Text Char"/>
    <w:link w:val="BalloonText"/>
    <w:rsid w:val="001A4B2D"/>
    <w:rPr>
      <w:rFonts w:ascii="Segoe UI" w:hAnsi="Segoe UI" w:cs="Segoe UI"/>
      <w:snapToGrid w:val="0"/>
      <w:kern w:val="28"/>
      <w:sz w:val="18"/>
      <w:szCs w:val="18"/>
    </w:rPr>
  </w:style>
  <w:style w:type="paragraph" w:styleId="PlainText">
    <w:name w:val="Plain Text"/>
    <w:basedOn w:val="Normal"/>
    <w:link w:val="PlainTextChar"/>
    <w:uiPriority w:val="99"/>
    <w:rsid w:val="001A4B2D"/>
    <w:pPr>
      <w:widowControl/>
    </w:pPr>
    <w:rPr>
      <w:rFonts w:ascii="Courier New" w:hAnsi="Courier New"/>
      <w:snapToGrid/>
      <w:kern w:val="0"/>
      <w:sz w:val="20"/>
    </w:rPr>
  </w:style>
  <w:style w:type="character" w:customStyle="1" w:styleId="PlainTextChar">
    <w:name w:val="Plain Text Char"/>
    <w:link w:val="PlainText"/>
    <w:uiPriority w:val="99"/>
    <w:rsid w:val="001A4B2D"/>
    <w:rPr>
      <w:rFonts w:ascii="Courier New" w:hAnsi="Courier New"/>
    </w:rPr>
  </w:style>
  <w:style w:type="character" w:styleId="FollowedHyperlink">
    <w:name w:val="FollowedHyperlink"/>
    <w:rsid w:val="00F97591"/>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A12"/>
    <w:pPr>
      <w:widowControl w:val="0"/>
    </w:pPr>
    <w:rPr>
      <w:snapToGrid w:val="0"/>
      <w:kern w:val="28"/>
      <w:sz w:val="22"/>
    </w:rPr>
  </w:style>
  <w:style w:type="paragraph" w:styleId="Heading1">
    <w:name w:val="heading 1"/>
    <w:basedOn w:val="Normal"/>
    <w:next w:val="ParaNum"/>
    <w:qFormat/>
    <w:rsid w:val="00626EB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
    <w:link w:val="FootnoteTextChar"/>
    <w:rsid w:val="000E3D42"/>
    <w:pPr>
      <w:spacing w:after="120"/>
    </w:pPr>
  </w:style>
  <w:style w:type="character" w:styleId="FootnoteReference">
    <w:name w:val="footnote reference"/>
    <w:aliases w:val="Appel note de bas de p,Style 12,(NECG) Footnote Reference,Style 124,o,fr,Style 3,Style 13,FR,Style 6,Style 17,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footnotedescription">
    <w:name w:val="footnote description"/>
    <w:next w:val="Normal"/>
    <w:link w:val="footnotedescriptionChar"/>
    <w:hidden/>
    <w:rsid w:val="003A1A12"/>
    <w:pPr>
      <w:spacing w:line="216" w:lineRule="auto"/>
      <w:ind w:right="51"/>
    </w:pPr>
    <w:rPr>
      <w:color w:val="221F1F"/>
      <w:szCs w:val="22"/>
    </w:rPr>
  </w:style>
  <w:style w:type="character" w:customStyle="1" w:styleId="footnotedescriptionChar">
    <w:name w:val="footnote description Char"/>
    <w:link w:val="footnotedescription"/>
    <w:rsid w:val="003A1A12"/>
    <w:rPr>
      <w:color w:val="221F1F"/>
      <w:szCs w:val="22"/>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locked/>
    <w:rsid w:val="003A1A12"/>
  </w:style>
  <w:style w:type="paragraph" w:styleId="ListParagraph">
    <w:name w:val="List Paragraph"/>
    <w:basedOn w:val="Normal"/>
    <w:uiPriority w:val="34"/>
    <w:qFormat/>
    <w:rsid w:val="009B4949"/>
    <w:pPr>
      <w:ind w:left="720"/>
    </w:pPr>
  </w:style>
  <w:style w:type="character" w:styleId="CommentReference">
    <w:name w:val="annotation reference"/>
    <w:rsid w:val="001A4B2D"/>
    <w:rPr>
      <w:sz w:val="16"/>
      <w:szCs w:val="16"/>
    </w:rPr>
  </w:style>
  <w:style w:type="paragraph" w:styleId="CommentText">
    <w:name w:val="annotation text"/>
    <w:basedOn w:val="Normal"/>
    <w:link w:val="CommentTextChar"/>
    <w:rsid w:val="001A4B2D"/>
    <w:rPr>
      <w:sz w:val="20"/>
    </w:rPr>
  </w:style>
  <w:style w:type="character" w:customStyle="1" w:styleId="CommentTextChar">
    <w:name w:val="Comment Text Char"/>
    <w:link w:val="CommentText"/>
    <w:rsid w:val="001A4B2D"/>
    <w:rPr>
      <w:snapToGrid w:val="0"/>
      <w:kern w:val="28"/>
    </w:rPr>
  </w:style>
  <w:style w:type="paragraph" w:styleId="CommentSubject">
    <w:name w:val="annotation subject"/>
    <w:basedOn w:val="CommentText"/>
    <w:next w:val="CommentText"/>
    <w:link w:val="CommentSubjectChar"/>
    <w:rsid w:val="001A4B2D"/>
    <w:rPr>
      <w:b/>
      <w:bCs/>
    </w:rPr>
  </w:style>
  <w:style w:type="character" w:customStyle="1" w:styleId="CommentSubjectChar">
    <w:name w:val="Comment Subject Char"/>
    <w:link w:val="CommentSubject"/>
    <w:rsid w:val="001A4B2D"/>
    <w:rPr>
      <w:b/>
      <w:bCs/>
      <w:snapToGrid w:val="0"/>
      <w:kern w:val="28"/>
    </w:rPr>
  </w:style>
  <w:style w:type="paragraph" w:styleId="BalloonText">
    <w:name w:val="Balloon Text"/>
    <w:basedOn w:val="Normal"/>
    <w:link w:val="BalloonTextChar"/>
    <w:rsid w:val="001A4B2D"/>
    <w:rPr>
      <w:rFonts w:ascii="Segoe UI" w:hAnsi="Segoe UI" w:cs="Segoe UI"/>
      <w:sz w:val="18"/>
      <w:szCs w:val="18"/>
    </w:rPr>
  </w:style>
  <w:style w:type="character" w:customStyle="1" w:styleId="BalloonTextChar">
    <w:name w:val="Balloon Text Char"/>
    <w:link w:val="BalloonText"/>
    <w:rsid w:val="001A4B2D"/>
    <w:rPr>
      <w:rFonts w:ascii="Segoe UI" w:hAnsi="Segoe UI" w:cs="Segoe UI"/>
      <w:snapToGrid w:val="0"/>
      <w:kern w:val="28"/>
      <w:sz w:val="18"/>
      <w:szCs w:val="18"/>
    </w:rPr>
  </w:style>
  <w:style w:type="paragraph" w:styleId="PlainText">
    <w:name w:val="Plain Text"/>
    <w:basedOn w:val="Normal"/>
    <w:link w:val="PlainTextChar"/>
    <w:uiPriority w:val="99"/>
    <w:rsid w:val="001A4B2D"/>
    <w:pPr>
      <w:widowControl/>
    </w:pPr>
    <w:rPr>
      <w:rFonts w:ascii="Courier New" w:hAnsi="Courier New"/>
      <w:snapToGrid/>
      <w:kern w:val="0"/>
      <w:sz w:val="20"/>
    </w:rPr>
  </w:style>
  <w:style w:type="character" w:customStyle="1" w:styleId="PlainTextChar">
    <w:name w:val="Plain Text Char"/>
    <w:link w:val="PlainText"/>
    <w:uiPriority w:val="99"/>
    <w:rsid w:val="001A4B2D"/>
    <w:rPr>
      <w:rFonts w:ascii="Courier New" w:hAnsi="Courier New"/>
    </w:rPr>
  </w:style>
  <w:style w:type="character" w:styleId="FollowedHyperlink">
    <w:name w:val="FollowedHyperlink"/>
    <w:rsid w:val="00F975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845</Words>
  <Characters>4445</Characters>
  <Application>Microsoft Office Word</Application>
  <DocSecurity>0</DocSecurity>
  <Lines>100</Lines>
  <Paragraphs>32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5292</CharactersWithSpaces>
  <SharedDoc>false</SharedDoc>
  <HyperlinkBase> </HyperlinkBase>
  <HLinks>
    <vt:vector size="12" baseType="variant">
      <vt:variant>
        <vt:i4>65549</vt:i4>
      </vt:variant>
      <vt:variant>
        <vt:i4>3</vt:i4>
      </vt:variant>
      <vt:variant>
        <vt:i4>0</vt:i4>
      </vt:variant>
      <vt:variant>
        <vt:i4>5</vt:i4>
      </vt:variant>
      <vt:variant>
        <vt:lpwstr>https://apps.fcc.gov/edocs_public/attachmatch/DA-16-26A1_Rcd.pdf</vt:lpwstr>
      </vt:variant>
      <vt:variant>
        <vt:lpwstr/>
      </vt:variant>
      <vt:variant>
        <vt:i4>1769578</vt:i4>
      </vt:variant>
      <vt:variant>
        <vt:i4>0</vt:i4>
      </vt:variant>
      <vt:variant>
        <vt:i4>0</vt:i4>
      </vt:variant>
      <vt:variant>
        <vt:i4>5</vt:i4>
      </vt:variant>
      <vt:variant>
        <vt:lpwstr>https://apps.fcc.gov/edocs_public/attachmatch/DA-16-162A1.pdf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2016-05-05T16:33:00Z</cp:lastPrinted>
  <dcterms:created xsi:type="dcterms:W3CDTF">2016-05-05T16:39:00Z</dcterms:created>
  <dcterms:modified xsi:type="dcterms:W3CDTF">2016-05-05T16:39:00Z</dcterms:modified>
  <cp:category> </cp:category>
  <cp:contentStatus> </cp:contentStatus>
</cp:coreProperties>
</file>