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961" w:rsidRPr="006601CF" w:rsidRDefault="00557961" w:rsidP="00557961">
      <w:pPr>
        <w:widowControl/>
        <w:jc w:val="center"/>
        <w:rPr>
          <w:b/>
          <w:szCs w:val="22"/>
        </w:rPr>
      </w:pPr>
      <w:bookmarkStart w:id="0" w:name="_GoBack"/>
      <w:bookmarkEnd w:id="0"/>
      <w:r w:rsidRPr="006601CF">
        <w:rPr>
          <w:rFonts w:ascii="Times New Roman Bold" w:hAnsi="Times New Roman Bold"/>
          <w:b/>
          <w:kern w:val="0"/>
          <w:szCs w:val="22"/>
        </w:rPr>
        <w:t>Before</w:t>
      </w:r>
      <w:r w:rsidRPr="006601CF">
        <w:rPr>
          <w:b/>
          <w:szCs w:val="22"/>
        </w:rPr>
        <w:t xml:space="preserve"> the</w:t>
      </w:r>
    </w:p>
    <w:p w:rsidR="00557961" w:rsidRPr="006601CF" w:rsidRDefault="00557961" w:rsidP="00557961">
      <w:pPr>
        <w:pStyle w:val="StyleBoldCentered"/>
        <w:widowControl/>
      </w:pPr>
      <w:r w:rsidRPr="006601CF">
        <w:t>F</w:t>
      </w:r>
      <w:r w:rsidRPr="006601CF">
        <w:rPr>
          <w:caps w:val="0"/>
        </w:rPr>
        <w:t>ederal Communications Commission</w:t>
      </w:r>
    </w:p>
    <w:p w:rsidR="00557961" w:rsidRPr="006601CF" w:rsidRDefault="00557961" w:rsidP="00557961">
      <w:pPr>
        <w:pStyle w:val="StyleBoldCentered"/>
        <w:widowControl/>
      </w:pPr>
      <w:r w:rsidRPr="006601CF">
        <w:rPr>
          <w:caps w:val="0"/>
        </w:rPr>
        <w:t>Washington, D.C. 20554</w:t>
      </w:r>
    </w:p>
    <w:p w:rsidR="00557961" w:rsidRPr="006601CF" w:rsidRDefault="00557961" w:rsidP="00557961">
      <w:pPr>
        <w:widowControl/>
        <w:rPr>
          <w:szCs w:val="22"/>
        </w:rPr>
      </w:pPr>
    </w:p>
    <w:p w:rsidR="00557961" w:rsidRPr="006601CF" w:rsidRDefault="00557961" w:rsidP="00557961">
      <w:pPr>
        <w:widowControl/>
        <w:rPr>
          <w:szCs w:val="22"/>
        </w:rPr>
      </w:pPr>
    </w:p>
    <w:tbl>
      <w:tblPr>
        <w:tblW w:w="0" w:type="auto"/>
        <w:tblLayout w:type="fixed"/>
        <w:tblLook w:val="0000" w:firstRow="0" w:lastRow="0" w:firstColumn="0" w:lastColumn="0" w:noHBand="0" w:noVBand="0"/>
      </w:tblPr>
      <w:tblGrid>
        <w:gridCol w:w="4698"/>
        <w:gridCol w:w="630"/>
        <w:gridCol w:w="4248"/>
      </w:tblGrid>
      <w:tr w:rsidR="00557961" w:rsidRPr="006601CF" w:rsidTr="00E074DB">
        <w:tc>
          <w:tcPr>
            <w:tcW w:w="4698" w:type="dxa"/>
          </w:tcPr>
          <w:p w:rsidR="00557961" w:rsidRPr="006601CF" w:rsidRDefault="00557961" w:rsidP="00E074DB">
            <w:pPr>
              <w:widowControl/>
              <w:tabs>
                <w:tab w:val="center" w:pos="4680"/>
              </w:tabs>
              <w:suppressAutoHyphens/>
              <w:rPr>
                <w:spacing w:val="-2"/>
                <w:szCs w:val="22"/>
              </w:rPr>
            </w:pPr>
            <w:r w:rsidRPr="006601CF">
              <w:rPr>
                <w:spacing w:val="-2"/>
                <w:szCs w:val="22"/>
              </w:rPr>
              <w:t>In the Matter of</w:t>
            </w:r>
          </w:p>
          <w:p w:rsidR="00557961" w:rsidRPr="006601CF" w:rsidRDefault="00557961" w:rsidP="00E074DB">
            <w:pPr>
              <w:widowControl/>
              <w:tabs>
                <w:tab w:val="center" w:pos="4680"/>
              </w:tabs>
              <w:suppressAutoHyphens/>
              <w:rPr>
                <w:spacing w:val="-2"/>
                <w:szCs w:val="22"/>
              </w:rPr>
            </w:pPr>
          </w:p>
          <w:p w:rsidR="00557961" w:rsidRPr="006601CF" w:rsidRDefault="00557961" w:rsidP="00E074DB">
            <w:pPr>
              <w:widowControl/>
              <w:tabs>
                <w:tab w:val="center" w:pos="4680"/>
              </w:tabs>
              <w:suppressAutoHyphens/>
              <w:rPr>
                <w:spacing w:val="-2"/>
                <w:szCs w:val="22"/>
              </w:rPr>
            </w:pPr>
            <w:r>
              <w:rPr>
                <w:spacing w:val="-2"/>
                <w:szCs w:val="22"/>
              </w:rPr>
              <w:t xml:space="preserve">Applications Filed by Altice N.V. and Cequel Corporation </w:t>
            </w:r>
            <w:r w:rsidRPr="00DD33D4">
              <w:rPr>
                <w:spacing w:val="-2"/>
                <w:szCs w:val="22"/>
              </w:rPr>
              <w:t>d/b/a Suddenlink Communications</w:t>
            </w:r>
            <w:r>
              <w:rPr>
                <w:spacing w:val="-2"/>
                <w:szCs w:val="22"/>
              </w:rPr>
              <w:t xml:space="preserve"> to</w:t>
            </w:r>
            <w:r w:rsidRPr="006601CF">
              <w:rPr>
                <w:spacing w:val="-2"/>
                <w:szCs w:val="22"/>
              </w:rPr>
              <w:t xml:space="preserve"> Transfer Control of</w:t>
            </w:r>
            <w:r>
              <w:rPr>
                <w:spacing w:val="-2"/>
                <w:szCs w:val="22"/>
              </w:rPr>
              <w:t xml:space="preserve"> Authorizations</w:t>
            </w:r>
            <w:r w:rsidRPr="006601CF">
              <w:rPr>
                <w:spacing w:val="-2"/>
                <w:szCs w:val="22"/>
              </w:rPr>
              <w:t xml:space="preserve"> </w:t>
            </w:r>
            <w:r>
              <w:rPr>
                <w:spacing w:val="-2"/>
                <w:szCs w:val="22"/>
              </w:rPr>
              <w:t>from Suddenlink Communications to Altice N.V.</w:t>
            </w:r>
          </w:p>
          <w:p w:rsidR="00557961" w:rsidRPr="006601CF" w:rsidRDefault="00557961" w:rsidP="00E074DB">
            <w:pPr>
              <w:widowControl/>
              <w:tabs>
                <w:tab w:val="center" w:pos="4680"/>
              </w:tabs>
              <w:suppressAutoHyphens/>
              <w:rPr>
                <w:spacing w:val="-2"/>
                <w:szCs w:val="22"/>
              </w:rPr>
            </w:pPr>
          </w:p>
        </w:tc>
        <w:tc>
          <w:tcPr>
            <w:tcW w:w="630" w:type="dxa"/>
          </w:tcPr>
          <w:p w:rsidR="00557961" w:rsidRPr="006601CF" w:rsidRDefault="00557961" w:rsidP="00E074DB">
            <w:pPr>
              <w:widowControl/>
              <w:tabs>
                <w:tab w:val="center" w:pos="4680"/>
              </w:tabs>
              <w:suppressAutoHyphens/>
              <w:rPr>
                <w:b/>
                <w:spacing w:val="-2"/>
                <w:szCs w:val="22"/>
              </w:rPr>
            </w:pPr>
            <w:r w:rsidRPr="006601CF">
              <w:rPr>
                <w:b/>
                <w:spacing w:val="-2"/>
                <w:szCs w:val="22"/>
              </w:rPr>
              <w:t>)</w:t>
            </w:r>
          </w:p>
          <w:p w:rsidR="00557961" w:rsidRPr="006601CF" w:rsidRDefault="00557961" w:rsidP="00E074DB">
            <w:pPr>
              <w:widowControl/>
              <w:tabs>
                <w:tab w:val="center" w:pos="4680"/>
              </w:tabs>
              <w:suppressAutoHyphens/>
              <w:rPr>
                <w:b/>
                <w:spacing w:val="-2"/>
                <w:szCs w:val="22"/>
              </w:rPr>
            </w:pPr>
            <w:r w:rsidRPr="006601CF">
              <w:rPr>
                <w:b/>
                <w:spacing w:val="-2"/>
                <w:szCs w:val="22"/>
              </w:rPr>
              <w:t>)</w:t>
            </w:r>
          </w:p>
          <w:p w:rsidR="00557961" w:rsidRPr="006601CF" w:rsidRDefault="00557961" w:rsidP="00E074DB">
            <w:pPr>
              <w:widowControl/>
              <w:tabs>
                <w:tab w:val="center" w:pos="4680"/>
              </w:tabs>
              <w:suppressAutoHyphens/>
              <w:rPr>
                <w:b/>
                <w:spacing w:val="-2"/>
                <w:szCs w:val="22"/>
              </w:rPr>
            </w:pPr>
            <w:r w:rsidRPr="006601CF">
              <w:rPr>
                <w:b/>
                <w:spacing w:val="-2"/>
                <w:szCs w:val="22"/>
              </w:rPr>
              <w:t>)</w:t>
            </w:r>
          </w:p>
          <w:p w:rsidR="00557961" w:rsidRPr="006601CF" w:rsidRDefault="00557961" w:rsidP="00E074DB">
            <w:pPr>
              <w:widowControl/>
              <w:tabs>
                <w:tab w:val="center" w:pos="4680"/>
              </w:tabs>
              <w:suppressAutoHyphens/>
              <w:rPr>
                <w:b/>
                <w:spacing w:val="-2"/>
                <w:szCs w:val="22"/>
              </w:rPr>
            </w:pPr>
            <w:r w:rsidRPr="006601CF">
              <w:rPr>
                <w:b/>
                <w:spacing w:val="-2"/>
                <w:szCs w:val="22"/>
              </w:rPr>
              <w:t>)</w:t>
            </w:r>
          </w:p>
          <w:p w:rsidR="00557961" w:rsidRPr="006601CF" w:rsidRDefault="00557961" w:rsidP="00E074DB">
            <w:pPr>
              <w:widowControl/>
              <w:tabs>
                <w:tab w:val="center" w:pos="4680"/>
              </w:tabs>
              <w:suppressAutoHyphens/>
              <w:rPr>
                <w:b/>
                <w:spacing w:val="-2"/>
                <w:szCs w:val="22"/>
              </w:rPr>
            </w:pPr>
            <w:r w:rsidRPr="006601CF">
              <w:rPr>
                <w:b/>
                <w:spacing w:val="-2"/>
                <w:szCs w:val="22"/>
              </w:rPr>
              <w:t>)</w:t>
            </w:r>
          </w:p>
          <w:p w:rsidR="00557961" w:rsidRPr="006601CF" w:rsidRDefault="00557961" w:rsidP="00E074DB">
            <w:pPr>
              <w:widowControl/>
              <w:tabs>
                <w:tab w:val="center" w:pos="4680"/>
              </w:tabs>
              <w:suppressAutoHyphens/>
              <w:rPr>
                <w:b/>
                <w:spacing w:val="-2"/>
                <w:szCs w:val="22"/>
              </w:rPr>
            </w:pPr>
            <w:r w:rsidRPr="006601CF">
              <w:rPr>
                <w:b/>
                <w:spacing w:val="-2"/>
                <w:szCs w:val="22"/>
              </w:rPr>
              <w:t>)</w:t>
            </w:r>
          </w:p>
          <w:p w:rsidR="00557961" w:rsidRPr="006601CF" w:rsidRDefault="00557961" w:rsidP="00E074DB">
            <w:pPr>
              <w:widowControl/>
              <w:tabs>
                <w:tab w:val="center" w:pos="4680"/>
              </w:tabs>
              <w:suppressAutoHyphens/>
              <w:rPr>
                <w:spacing w:val="-2"/>
                <w:szCs w:val="22"/>
              </w:rPr>
            </w:pPr>
          </w:p>
        </w:tc>
        <w:tc>
          <w:tcPr>
            <w:tcW w:w="4248" w:type="dxa"/>
          </w:tcPr>
          <w:p w:rsidR="00557961" w:rsidRPr="006601CF" w:rsidRDefault="00557961" w:rsidP="00E074DB">
            <w:pPr>
              <w:widowControl/>
              <w:tabs>
                <w:tab w:val="center" w:pos="4680"/>
              </w:tabs>
              <w:suppressAutoHyphens/>
              <w:rPr>
                <w:spacing w:val="-2"/>
                <w:szCs w:val="22"/>
              </w:rPr>
            </w:pPr>
          </w:p>
          <w:p w:rsidR="00557961" w:rsidRPr="006601CF" w:rsidRDefault="00557961" w:rsidP="00E074DB">
            <w:pPr>
              <w:pStyle w:val="TOAHeading"/>
              <w:widowControl/>
              <w:tabs>
                <w:tab w:val="clear" w:pos="9360"/>
                <w:tab w:val="center" w:pos="4680"/>
              </w:tabs>
              <w:rPr>
                <w:spacing w:val="-2"/>
                <w:szCs w:val="22"/>
              </w:rPr>
            </w:pPr>
          </w:p>
          <w:p w:rsidR="00557961" w:rsidRPr="006601CF" w:rsidRDefault="00557961" w:rsidP="00E074DB">
            <w:pPr>
              <w:widowControl/>
              <w:tabs>
                <w:tab w:val="center" w:pos="4680"/>
              </w:tabs>
              <w:suppressAutoHyphens/>
              <w:rPr>
                <w:spacing w:val="-2"/>
                <w:szCs w:val="22"/>
              </w:rPr>
            </w:pPr>
            <w:r w:rsidRPr="006601CF">
              <w:rPr>
                <w:spacing w:val="-2"/>
                <w:szCs w:val="22"/>
              </w:rPr>
              <w:t>WC Docket No. 15-</w:t>
            </w:r>
            <w:r>
              <w:rPr>
                <w:spacing w:val="-2"/>
                <w:szCs w:val="22"/>
              </w:rPr>
              <w:t>135</w:t>
            </w:r>
          </w:p>
        </w:tc>
      </w:tr>
    </w:tbl>
    <w:p w:rsidR="00557961" w:rsidRPr="006601CF" w:rsidRDefault="00557961" w:rsidP="00557961">
      <w:pPr>
        <w:widowControl/>
        <w:rPr>
          <w:szCs w:val="22"/>
        </w:rPr>
      </w:pPr>
    </w:p>
    <w:p w:rsidR="00557961" w:rsidRPr="006601CF" w:rsidRDefault="00557961" w:rsidP="00557961">
      <w:pPr>
        <w:pStyle w:val="StyleBoldCentered"/>
        <w:widowControl/>
      </w:pPr>
      <w:r w:rsidRPr="006601CF">
        <w:t>Order</w:t>
      </w:r>
    </w:p>
    <w:p w:rsidR="00557961" w:rsidRPr="006601CF" w:rsidRDefault="00557961" w:rsidP="00557961">
      <w:pPr>
        <w:widowControl/>
        <w:tabs>
          <w:tab w:val="left" w:pos="-720"/>
        </w:tabs>
        <w:suppressAutoHyphens/>
        <w:spacing w:line="227" w:lineRule="auto"/>
        <w:rPr>
          <w:spacing w:val="-2"/>
          <w:szCs w:val="22"/>
        </w:rPr>
      </w:pPr>
    </w:p>
    <w:p w:rsidR="00557961" w:rsidRPr="006601CF" w:rsidRDefault="00557961" w:rsidP="00557961">
      <w:pPr>
        <w:widowControl/>
        <w:tabs>
          <w:tab w:val="left" w:pos="720"/>
          <w:tab w:val="right" w:pos="9360"/>
        </w:tabs>
        <w:suppressAutoHyphens/>
        <w:spacing w:line="227" w:lineRule="auto"/>
        <w:rPr>
          <w:spacing w:val="-2"/>
          <w:szCs w:val="22"/>
        </w:rPr>
      </w:pPr>
      <w:r w:rsidRPr="006601CF">
        <w:rPr>
          <w:b/>
          <w:spacing w:val="-2"/>
          <w:szCs w:val="22"/>
        </w:rPr>
        <w:t xml:space="preserve">Adopted:  </w:t>
      </w:r>
      <w:r>
        <w:rPr>
          <w:b/>
          <w:spacing w:val="-2"/>
          <w:szCs w:val="22"/>
        </w:rPr>
        <w:t>May 4, 2016</w:t>
      </w:r>
      <w:r w:rsidRPr="006601CF">
        <w:rPr>
          <w:b/>
          <w:spacing w:val="-2"/>
          <w:szCs w:val="22"/>
        </w:rPr>
        <w:tab/>
        <w:t xml:space="preserve">Released:  </w:t>
      </w:r>
      <w:r>
        <w:rPr>
          <w:b/>
          <w:spacing w:val="-2"/>
          <w:szCs w:val="22"/>
        </w:rPr>
        <w:t>May 4,</w:t>
      </w:r>
      <w:r w:rsidRPr="006601CF">
        <w:rPr>
          <w:b/>
          <w:spacing w:val="-2"/>
          <w:szCs w:val="22"/>
        </w:rPr>
        <w:t xml:space="preserve"> 201</w:t>
      </w:r>
      <w:r>
        <w:rPr>
          <w:b/>
          <w:spacing w:val="-2"/>
          <w:szCs w:val="22"/>
        </w:rPr>
        <w:t>6</w:t>
      </w:r>
    </w:p>
    <w:p w:rsidR="00557961" w:rsidRPr="006601CF" w:rsidRDefault="00557961" w:rsidP="00557961">
      <w:pPr>
        <w:widowControl/>
        <w:rPr>
          <w:szCs w:val="22"/>
        </w:rPr>
      </w:pPr>
    </w:p>
    <w:p w:rsidR="00557961" w:rsidRPr="006601CF" w:rsidRDefault="00557961" w:rsidP="00557961">
      <w:pPr>
        <w:widowControl/>
        <w:rPr>
          <w:spacing w:val="-2"/>
          <w:szCs w:val="22"/>
        </w:rPr>
      </w:pPr>
      <w:r w:rsidRPr="006601CF">
        <w:rPr>
          <w:szCs w:val="22"/>
        </w:rPr>
        <w:t xml:space="preserve">By the Chief, Wireline Competition Bureau; Chief, International Bureau; </w:t>
      </w:r>
      <w:r>
        <w:rPr>
          <w:szCs w:val="22"/>
        </w:rPr>
        <w:t xml:space="preserve">Chief, Media Bureau; </w:t>
      </w:r>
      <w:r w:rsidRPr="006601CF">
        <w:rPr>
          <w:szCs w:val="22"/>
        </w:rPr>
        <w:t>and Chief, Wireless Telecommunications Bureau:</w:t>
      </w:r>
    </w:p>
    <w:p w:rsidR="00557961" w:rsidRPr="006601CF" w:rsidRDefault="00557961" w:rsidP="00557961">
      <w:pPr>
        <w:widowControl/>
        <w:rPr>
          <w:spacing w:val="-2"/>
          <w:szCs w:val="22"/>
        </w:rPr>
      </w:pPr>
    </w:p>
    <w:p w:rsidR="00557961" w:rsidRDefault="00557961" w:rsidP="00557961">
      <w:pPr>
        <w:pStyle w:val="ParaNum"/>
        <w:widowControl/>
        <w:tabs>
          <w:tab w:val="clear" w:pos="1440"/>
          <w:tab w:val="num" w:pos="1080"/>
        </w:tabs>
        <w:rPr>
          <w:szCs w:val="22"/>
        </w:rPr>
      </w:pPr>
      <w:r>
        <w:rPr>
          <w:szCs w:val="22"/>
        </w:rPr>
        <w:t xml:space="preserve">On December 18, 2015, the Wireline Competition Bureau, International Bureau, Media Bureau, and Wireless Telecommunications Bureau (Bureaus) released a Memorandum Opinion and Order in this proceeding granting </w:t>
      </w:r>
      <w:r w:rsidRPr="006601CF">
        <w:rPr>
          <w:szCs w:val="22"/>
        </w:rPr>
        <w:t>a series of applications</w:t>
      </w:r>
      <w:r>
        <w:rPr>
          <w:szCs w:val="22"/>
        </w:rPr>
        <w:t xml:space="preserve">, filed </w:t>
      </w:r>
      <w:r w:rsidRPr="006601CF">
        <w:rPr>
          <w:szCs w:val="22"/>
        </w:rPr>
        <w:t>pursuant to sections 214 and 310(d) of the Communications Act of 1934, as amended (Act),</w:t>
      </w:r>
      <w:r>
        <w:rPr>
          <w:rStyle w:val="FootnoteReference"/>
          <w:szCs w:val="22"/>
        </w:rPr>
        <w:footnoteReference w:id="2"/>
      </w:r>
      <w:r w:rsidRPr="006601CF">
        <w:rPr>
          <w:szCs w:val="22"/>
        </w:rPr>
        <w:t xml:space="preserve"> seeking </w:t>
      </w:r>
      <w:r>
        <w:rPr>
          <w:szCs w:val="22"/>
        </w:rPr>
        <w:t>consent to</w:t>
      </w:r>
      <w:r w:rsidRPr="006601CF">
        <w:rPr>
          <w:szCs w:val="22"/>
        </w:rPr>
        <w:t xml:space="preserve"> various assignments and the transfer of control of licenses and authorizations</w:t>
      </w:r>
      <w:r>
        <w:rPr>
          <w:szCs w:val="22"/>
        </w:rPr>
        <w:t xml:space="preserve"> held by wholly </w:t>
      </w:r>
      <w:r w:rsidRPr="006601CF">
        <w:rPr>
          <w:szCs w:val="22"/>
        </w:rPr>
        <w:t xml:space="preserve">owned subsidiaries </w:t>
      </w:r>
      <w:r>
        <w:rPr>
          <w:szCs w:val="22"/>
        </w:rPr>
        <w:t xml:space="preserve">of </w:t>
      </w:r>
      <w:r w:rsidRPr="00111404">
        <w:rPr>
          <w:szCs w:val="22"/>
        </w:rPr>
        <w:t>Cequel Corporation d/b/a Suddenl</w:t>
      </w:r>
      <w:r>
        <w:rPr>
          <w:szCs w:val="22"/>
        </w:rPr>
        <w:t xml:space="preserve">ink Communications (Cequel) to </w:t>
      </w:r>
      <w:r w:rsidRPr="00111404">
        <w:rPr>
          <w:szCs w:val="22"/>
        </w:rPr>
        <w:t>Altice N.V. (Altice)</w:t>
      </w:r>
      <w:r w:rsidRPr="006601CF">
        <w:rPr>
          <w:szCs w:val="22"/>
        </w:rPr>
        <w:t>.</w:t>
      </w:r>
      <w:bookmarkStart w:id="1" w:name="_Ref431815747"/>
      <w:r w:rsidRPr="003507EE">
        <w:rPr>
          <w:rStyle w:val="FootnoteReference"/>
          <w:szCs w:val="22"/>
        </w:rPr>
        <w:footnoteReference w:id="3"/>
      </w:r>
      <w:bookmarkEnd w:id="1"/>
      <w:r>
        <w:rPr>
          <w:szCs w:val="22"/>
        </w:rPr>
        <w:t xml:space="preserve">  The Bureaus granted the applications conditioned upon compliance </w:t>
      </w:r>
      <w:r w:rsidRPr="00111404">
        <w:rPr>
          <w:szCs w:val="22"/>
        </w:rPr>
        <w:t xml:space="preserve">by Altice and Cequel with the commitments and undertakings set forth in the National Security Agreement </w:t>
      </w:r>
      <w:r>
        <w:rPr>
          <w:szCs w:val="22"/>
        </w:rPr>
        <w:t xml:space="preserve">(NSA) </w:t>
      </w:r>
      <w:r w:rsidRPr="00111404">
        <w:rPr>
          <w:szCs w:val="22"/>
        </w:rPr>
        <w:t xml:space="preserve">between Altice, Cequel, and the </w:t>
      </w:r>
      <w:r>
        <w:rPr>
          <w:szCs w:val="22"/>
        </w:rPr>
        <w:t xml:space="preserve">U.S. </w:t>
      </w:r>
      <w:r w:rsidRPr="00111404">
        <w:rPr>
          <w:szCs w:val="22"/>
        </w:rPr>
        <w:t>D</w:t>
      </w:r>
      <w:r>
        <w:rPr>
          <w:szCs w:val="22"/>
        </w:rPr>
        <w:t>epartment of Justice (D</w:t>
      </w:r>
      <w:r w:rsidRPr="00111404">
        <w:rPr>
          <w:szCs w:val="22"/>
        </w:rPr>
        <w:t>OJ</w:t>
      </w:r>
      <w:r>
        <w:rPr>
          <w:szCs w:val="22"/>
        </w:rPr>
        <w:t>), dated December 11, 2015</w:t>
      </w:r>
      <w:r w:rsidRPr="00111404">
        <w:rPr>
          <w:szCs w:val="22"/>
        </w:rPr>
        <w:t>.</w:t>
      </w:r>
      <w:r w:rsidRPr="00111404">
        <w:rPr>
          <w:szCs w:val="22"/>
          <w:vertAlign w:val="superscript"/>
        </w:rPr>
        <w:footnoteReference w:id="4"/>
      </w:r>
    </w:p>
    <w:p w:rsidR="00557961" w:rsidRPr="00294F15" w:rsidRDefault="00557961" w:rsidP="00557961">
      <w:pPr>
        <w:pStyle w:val="ParaNum"/>
        <w:tabs>
          <w:tab w:val="clear" w:pos="1440"/>
          <w:tab w:val="num" w:pos="1080"/>
        </w:tabs>
        <w:rPr>
          <w:szCs w:val="22"/>
        </w:rPr>
      </w:pPr>
      <w:r>
        <w:t xml:space="preserve">On April 26, 2016, Altice and Cequel filed a request that the national security condition in the </w:t>
      </w:r>
      <w:r w:rsidRPr="009042B7">
        <w:t>Memorandum Opinion and Order</w:t>
      </w:r>
      <w:r>
        <w:t xml:space="preserve"> be modified to also include compliance with a Letter of Agreement (LOA) dated April 18, 2016, transmitted by Cablevision Systems Corporation, Altice, and </w:t>
      </w:r>
      <w:r w:rsidRPr="009042B7">
        <w:t xml:space="preserve">Cequel </w:t>
      </w:r>
      <w:r>
        <w:t>to the DOJ.</w:t>
      </w:r>
      <w:r>
        <w:rPr>
          <w:rStyle w:val="FootnoteReference"/>
        </w:rPr>
        <w:footnoteReference w:id="5"/>
      </w:r>
      <w:r>
        <w:t xml:space="preserve">  The LOA incorporates by reference the December 11, 2015 NSA.  In the LOA, Altice and Cequel agree to conditioning Altice’s and Cequel’s authorizations upon compliance with both the NSA and the LOA.</w:t>
      </w:r>
      <w:r>
        <w:rPr>
          <w:rStyle w:val="FootnoteReference"/>
        </w:rPr>
        <w:footnoteReference w:id="6"/>
      </w:r>
      <w:r>
        <w:t xml:space="preserve"> </w:t>
      </w:r>
    </w:p>
    <w:p w:rsidR="00557961" w:rsidRPr="00252424" w:rsidRDefault="00557961" w:rsidP="00557961">
      <w:pPr>
        <w:pStyle w:val="ParaNum"/>
        <w:tabs>
          <w:tab w:val="clear" w:pos="1440"/>
          <w:tab w:val="num" w:pos="1080"/>
        </w:tabs>
        <w:rPr>
          <w:szCs w:val="22"/>
        </w:rPr>
      </w:pPr>
      <w:r w:rsidRPr="00294F15">
        <w:rPr>
          <w:szCs w:val="22"/>
        </w:rPr>
        <w:t>When analyzing a transfer of control or assignment application, we consider any national security, law enforcement, foreign policy, or trade policy concerns raised by the relevant Executive Branch Agencies.</w:t>
      </w:r>
      <w:r w:rsidRPr="00294F15">
        <w:rPr>
          <w:szCs w:val="22"/>
          <w:vertAlign w:val="superscript"/>
        </w:rPr>
        <w:footnoteReference w:id="7"/>
      </w:r>
      <w:r w:rsidRPr="00294F15">
        <w:rPr>
          <w:szCs w:val="22"/>
          <w:vertAlign w:val="superscript"/>
        </w:rPr>
        <w:t> </w:t>
      </w:r>
      <w:r w:rsidRPr="00294F15">
        <w:rPr>
          <w:szCs w:val="22"/>
        </w:rPr>
        <w:t xml:space="preserve">  We find that grant of the </w:t>
      </w:r>
      <w:r>
        <w:rPr>
          <w:szCs w:val="22"/>
        </w:rPr>
        <w:t xml:space="preserve">request by Altice and Cequel to modify the national security </w:t>
      </w:r>
      <w:r>
        <w:rPr>
          <w:szCs w:val="22"/>
        </w:rPr>
        <w:lastRenderedPageBreak/>
        <w:t xml:space="preserve">condition adopted in the </w:t>
      </w:r>
      <w:r w:rsidRPr="00294F15">
        <w:rPr>
          <w:szCs w:val="22"/>
        </w:rPr>
        <w:t>Memorandum Opinion and Order will serve the public interest, convenience, and necessity.</w:t>
      </w:r>
      <w:r>
        <w:rPr>
          <w:szCs w:val="22"/>
        </w:rPr>
        <w:t xml:space="preserve">  Therefore, we adopt this order modifying the national security condition of the grant.</w:t>
      </w:r>
    </w:p>
    <w:p w:rsidR="00557961" w:rsidRPr="00825B9C" w:rsidRDefault="00557961" w:rsidP="00557961">
      <w:pPr>
        <w:pStyle w:val="ParaNum"/>
        <w:tabs>
          <w:tab w:val="clear" w:pos="1440"/>
          <w:tab w:val="num" w:pos="1080"/>
        </w:tabs>
        <w:spacing w:after="0"/>
        <w:rPr>
          <w:szCs w:val="22"/>
        </w:rPr>
      </w:pPr>
      <w:bookmarkStart w:id="2" w:name="_Ref228616763"/>
      <w:r w:rsidRPr="00FB4370">
        <w:rPr>
          <w:szCs w:val="22"/>
        </w:rPr>
        <w:t xml:space="preserve">IT IS ORDERED that, pursuant to </w:t>
      </w:r>
      <w:r>
        <w:rPr>
          <w:szCs w:val="22"/>
        </w:rPr>
        <w:t>s</w:t>
      </w:r>
      <w:r w:rsidRPr="00FB4370">
        <w:rPr>
          <w:szCs w:val="22"/>
        </w:rPr>
        <w:t xml:space="preserve">ections 4(i)-(j), 5(c), 214, 303(r), 309, and 310(d) of the Communications Act of 1934, as amended, 47 U.S.C. §§ 154(i)-(j), 155(c), 214, 303(r), 309, 310(d), and </w:t>
      </w:r>
      <w:r>
        <w:rPr>
          <w:szCs w:val="22"/>
        </w:rPr>
        <w:t>s</w:t>
      </w:r>
      <w:r w:rsidRPr="00FB4370">
        <w:rPr>
          <w:szCs w:val="22"/>
        </w:rPr>
        <w:t>ections 0.51, 0.61, 0.91, 0.131, 0.261, 0.283, 0.291, and 0.331 of the Commission’s Rules, 47 C.F.R. §§ 0.51, 0.61, 0.91, 0.131, 0.261, 0.283, 0.291, and 0.331,</w:t>
      </w:r>
      <w:r w:rsidRPr="00825B9C">
        <w:rPr>
          <w:szCs w:val="22"/>
        </w:rPr>
        <w:t xml:space="preserve"> </w:t>
      </w:r>
      <w:r w:rsidRPr="00A13D68">
        <w:rPr>
          <w:color w:val="252525"/>
          <w:szCs w:val="22"/>
        </w:rPr>
        <w:t xml:space="preserve">the </w:t>
      </w:r>
      <w:r>
        <w:rPr>
          <w:color w:val="252525"/>
          <w:szCs w:val="22"/>
        </w:rPr>
        <w:t xml:space="preserve">request of </w:t>
      </w:r>
      <w:r w:rsidRPr="00825B9C">
        <w:rPr>
          <w:color w:val="252525"/>
          <w:szCs w:val="22"/>
        </w:rPr>
        <w:t>Alti</w:t>
      </w:r>
      <w:r>
        <w:rPr>
          <w:color w:val="252525"/>
          <w:szCs w:val="22"/>
        </w:rPr>
        <w:t xml:space="preserve">ce N.V. and Cequel Corporation </w:t>
      </w:r>
      <w:r w:rsidRPr="00825B9C">
        <w:rPr>
          <w:color w:val="252525"/>
          <w:szCs w:val="22"/>
        </w:rPr>
        <w:t>d/b/a Suddenlink Communicat</w:t>
      </w:r>
      <w:r>
        <w:rPr>
          <w:color w:val="252525"/>
          <w:szCs w:val="22"/>
        </w:rPr>
        <w:t xml:space="preserve">ions IS GRANTED.  </w:t>
      </w:r>
    </w:p>
    <w:p w:rsidR="00557961" w:rsidRPr="00825B9C" w:rsidRDefault="00557961" w:rsidP="00557961">
      <w:pPr>
        <w:pStyle w:val="ParaNum"/>
        <w:numPr>
          <w:ilvl w:val="0"/>
          <w:numId w:val="0"/>
        </w:numPr>
        <w:spacing w:after="0"/>
        <w:ind w:left="720"/>
        <w:rPr>
          <w:szCs w:val="22"/>
        </w:rPr>
      </w:pPr>
    </w:p>
    <w:p w:rsidR="00557961" w:rsidRDefault="00557961" w:rsidP="00557961">
      <w:pPr>
        <w:pStyle w:val="ParaNum"/>
        <w:tabs>
          <w:tab w:val="clear" w:pos="1440"/>
          <w:tab w:val="num" w:pos="1080"/>
        </w:tabs>
        <w:rPr>
          <w:szCs w:val="22"/>
        </w:rPr>
      </w:pPr>
      <w:r w:rsidRPr="00292FF5">
        <w:rPr>
          <w:color w:val="252525"/>
          <w:szCs w:val="22"/>
        </w:rPr>
        <w:t xml:space="preserve">IT IS </w:t>
      </w:r>
      <w:r>
        <w:rPr>
          <w:color w:val="252525"/>
          <w:szCs w:val="22"/>
        </w:rPr>
        <w:t xml:space="preserve">FURTHER </w:t>
      </w:r>
      <w:r w:rsidRPr="00292FF5">
        <w:rPr>
          <w:color w:val="252525"/>
          <w:szCs w:val="22"/>
        </w:rPr>
        <w:t xml:space="preserve">ORDERED that, pursuant to sections 4(i)–(j) and 214 of the Communications Act of 1934, as amended, 47 U.S.C. §§ 154(i)–(j), 214, </w:t>
      </w:r>
      <w:r>
        <w:rPr>
          <w:color w:val="252525"/>
          <w:szCs w:val="22"/>
        </w:rPr>
        <w:t>g</w:t>
      </w:r>
      <w:r w:rsidRPr="00825B9C">
        <w:rPr>
          <w:color w:val="252525"/>
          <w:szCs w:val="22"/>
        </w:rPr>
        <w:t>rant</w:t>
      </w:r>
      <w:r w:rsidRPr="00825B9C">
        <w:rPr>
          <w:color w:val="252525"/>
        </w:rPr>
        <w:t xml:space="preserve"> of the Applications in </w:t>
      </w:r>
      <w:r w:rsidRPr="00825B9C">
        <w:rPr>
          <w:i/>
          <w:color w:val="252525"/>
        </w:rPr>
        <w:t>Applications Filed by Altice N.V. and Cequel Corporation d/b/a Suddenlink Communications to Transfer Control of Authorizations from Suddenlink Communications to Altice N.V.</w:t>
      </w:r>
      <w:r w:rsidRPr="00825B9C">
        <w:rPr>
          <w:color w:val="252525"/>
        </w:rPr>
        <w:t xml:space="preserve">, Memorandum Opinion and Order, 30 FCC Rcd 14352 (WCB/IB/MB/WTB 2015) IS CONDITIONED UPON </w:t>
      </w:r>
      <w:r w:rsidRPr="00825B9C">
        <w:rPr>
          <w:color w:val="252525"/>
          <w:szCs w:val="22"/>
        </w:rPr>
        <w:t xml:space="preserve">the </w:t>
      </w:r>
      <w:r w:rsidRPr="00825B9C">
        <w:rPr>
          <w:color w:val="252525"/>
        </w:rPr>
        <w:t xml:space="preserve">compliance by Altice </w:t>
      </w:r>
      <w:r w:rsidRPr="00825B9C">
        <w:rPr>
          <w:color w:val="252525"/>
          <w:szCs w:val="22"/>
        </w:rPr>
        <w:t xml:space="preserve">N.V. </w:t>
      </w:r>
      <w:r w:rsidRPr="00825B9C">
        <w:rPr>
          <w:color w:val="252525"/>
        </w:rPr>
        <w:t>and Cequel</w:t>
      </w:r>
      <w:r>
        <w:rPr>
          <w:color w:val="252525"/>
          <w:szCs w:val="22"/>
        </w:rPr>
        <w:t xml:space="preserve"> Corporation d/b/a Suddenlink Communications</w:t>
      </w:r>
      <w:r w:rsidRPr="00825B9C">
        <w:rPr>
          <w:color w:val="252525"/>
        </w:rPr>
        <w:t xml:space="preserve"> with the </w:t>
      </w:r>
      <w:r w:rsidRPr="00825B9C">
        <w:rPr>
          <w:color w:val="252525"/>
          <w:szCs w:val="22"/>
        </w:rPr>
        <w:t>commitments set forth in</w:t>
      </w:r>
      <w:r w:rsidRPr="00825B9C">
        <w:rPr>
          <w:color w:val="252525"/>
        </w:rPr>
        <w:t xml:space="preserve"> </w:t>
      </w:r>
      <w:r>
        <w:rPr>
          <w:color w:val="252525"/>
        </w:rPr>
        <w:t xml:space="preserve">both </w:t>
      </w:r>
      <w:r w:rsidRPr="00825B9C">
        <w:rPr>
          <w:color w:val="252525"/>
        </w:rPr>
        <w:t xml:space="preserve">the </w:t>
      </w:r>
      <w:r w:rsidRPr="00825B9C">
        <w:rPr>
          <w:color w:val="252525"/>
          <w:szCs w:val="22"/>
        </w:rPr>
        <w:t xml:space="preserve">December 11, </w:t>
      </w:r>
      <w:r w:rsidRPr="00825B9C">
        <w:rPr>
          <w:color w:val="252525"/>
        </w:rPr>
        <w:t xml:space="preserve">2015 </w:t>
      </w:r>
      <w:r w:rsidRPr="00825B9C">
        <w:rPr>
          <w:color w:val="252525"/>
          <w:szCs w:val="22"/>
        </w:rPr>
        <w:t>National Security</w:t>
      </w:r>
      <w:r w:rsidRPr="00825B9C">
        <w:rPr>
          <w:color w:val="252525"/>
        </w:rPr>
        <w:t xml:space="preserve"> Agreement and the April 18, 2016 Letter of Agreement.</w:t>
      </w:r>
      <w:r w:rsidRPr="00825B9C">
        <w:rPr>
          <w:color w:val="252525"/>
          <w:szCs w:val="22"/>
        </w:rPr>
        <w:t xml:space="preserve">  A failure to comply and/or remain in compliance with any of these commitments and undertakings shall constitute a failure to meet a condition of the underlying authorizations and licenses</w:t>
      </w:r>
      <w:r w:rsidR="001A2252">
        <w:rPr>
          <w:color w:val="252525"/>
          <w:szCs w:val="22"/>
        </w:rPr>
        <w:t>,</w:t>
      </w:r>
      <w:r w:rsidRPr="00825B9C">
        <w:rPr>
          <w:color w:val="252525"/>
          <w:szCs w:val="22"/>
        </w:rPr>
        <w:t xml:space="preserve"> and thus grounds for declaring the authorizations and licenses terminated without further action on the part of the Commission.  Failure to meet a condition of the license may also result in monetary sanctions or other enforcement action by the Commission.</w:t>
      </w:r>
    </w:p>
    <w:p w:rsidR="00557961" w:rsidRDefault="00557961" w:rsidP="00557961">
      <w:pPr>
        <w:pStyle w:val="ParaNum"/>
        <w:tabs>
          <w:tab w:val="clear" w:pos="1440"/>
          <w:tab w:val="num" w:pos="1080"/>
        </w:tabs>
      </w:pPr>
      <w:r w:rsidRPr="006601CF">
        <w:t>IT I</w:t>
      </w:r>
      <w:r>
        <w:t>S FURTHER ORDERED, pursuant to s</w:t>
      </w:r>
      <w:r w:rsidRPr="006601CF">
        <w:t>ection 1.102(b)(1) of the Commission</w:t>
      </w:r>
      <w:r>
        <w:t>’</w:t>
      </w:r>
      <w:r w:rsidRPr="006601CF">
        <w:t>s rules, 47 C.F.R. § 1.102(b)(1), that this Order IS EFFECTIVE upon release.  Petit</w:t>
      </w:r>
      <w:r>
        <w:t>ions for reconsideration under s</w:t>
      </w:r>
      <w:r w:rsidRPr="006601CF">
        <w:t>ection 1.106 of the Commission</w:t>
      </w:r>
      <w:r>
        <w:t>’s R</w:t>
      </w:r>
      <w:r w:rsidRPr="006601CF">
        <w:t>ules, 47 CFR § 1.106, or</w:t>
      </w:r>
      <w:r>
        <w:t xml:space="preserve"> applications for review under s</w:t>
      </w:r>
      <w:r w:rsidRPr="006601CF">
        <w:t>ection 1.115 of the Commission</w:t>
      </w:r>
      <w:r>
        <w:t>’</w:t>
      </w:r>
      <w:r w:rsidRPr="006601CF">
        <w:t>s rules, 47 CFR § 1.115, may be filed within thirty days of the date of public notice</w:t>
      </w:r>
      <w:r>
        <w:t>,</w:t>
      </w:r>
      <w:r w:rsidRPr="00CE437F">
        <w:rPr>
          <w:rFonts w:ascii="Calibri" w:hAnsi="Calibri" w:cs="Calibri"/>
          <w:color w:val="1F497D"/>
        </w:rPr>
        <w:t xml:space="preserve"> </w:t>
      </w:r>
      <w:r w:rsidRPr="00CE437F">
        <w:t>i.e., within thirty days of the release date,</w:t>
      </w:r>
      <w:r w:rsidRPr="006601CF">
        <w:t xml:space="preserve"> of this Order.</w:t>
      </w:r>
    </w:p>
    <w:p w:rsidR="00557961" w:rsidRDefault="00557961" w:rsidP="00557961">
      <w:pPr>
        <w:pStyle w:val="ParaNum"/>
        <w:numPr>
          <w:ilvl w:val="0"/>
          <w:numId w:val="0"/>
        </w:numPr>
        <w:ind w:left="720"/>
      </w:pPr>
    </w:p>
    <w:p w:rsidR="00557961" w:rsidRPr="00B6791D" w:rsidRDefault="00557961" w:rsidP="00557961">
      <w:pPr>
        <w:pStyle w:val="ParaNum"/>
        <w:numPr>
          <w:ilvl w:val="0"/>
          <w:numId w:val="0"/>
        </w:numPr>
        <w:ind w:left="3600" w:firstLine="720"/>
      </w:pPr>
      <w:r w:rsidRPr="00B6791D">
        <w:t>FEDERAL COMMUNICATIONS COMMISSION</w:t>
      </w:r>
    </w:p>
    <w:p w:rsidR="00557961" w:rsidRDefault="00557961" w:rsidP="00557961">
      <w:pPr>
        <w:pStyle w:val="ParaNum"/>
        <w:numPr>
          <w:ilvl w:val="0"/>
          <w:numId w:val="0"/>
        </w:numPr>
        <w:spacing w:after="0"/>
        <w:ind w:left="720"/>
      </w:pPr>
    </w:p>
    <w:p w:rsidR="00557961" w:rsidRDefault="00557961" w:rsidP="00557961">
      <w:pPr>
        <w:pStyle w:val="ParaNum"/>
        <w:numPr>
          <w:ilvl w:val="0"/>
          <w:numId w:val="0"/>
        </w:numPr>
        <w:spacing w:after="0"/>
        <w:ind w:left="720"/>
      </w:pPr>
    </w:p>
    <w:p w:rsidR="00557961" w:rsidRPr="00B6791D" w:rsidRDefault="00557961" w:rsidP="00557961">
      <w:pPr>
        <w:pStyle w:val="ParaNum"/>
        <w:numPr>
          <w:ilvl w:val="0"/>
          <w:numId w:val="0"/>
        </w:numPr>
        <w:spacing w:after="0"/>
        <w:ind w:left="3600" w:firstLine="720"/>
        <w:rPr>
          <w:lang w:val="fr-FR"/>
        </w:rPr>
      </w:pPr>
      <w:r w:rsidRPr="00B6791D">
        <w:t>Matthew S. DelNero</w:t>
      </w:r>
      <w:r w:rsidRPr="00B6791D">
        <w:rPr>
          <w:lang w:val="fr-FR"/>
        </w:rPr>
        <w:tab/>
      </w:r>
    </w:p>
    <w:p w:rsidR="00557961" w:rsidRPr="00B6791D" w:rsidRDefault="00557961" w:rsidP="00557961">
      <w:pPr>
        <w:pStyle w:val="ParaNum"/>
        <w:numPr>
          <w:ilvl w:val="0"/>
          <w:numId w:val="0"/>
        </w:numPr>
        <w:spacing w:after="0"/>
        <w:ind w:left="3600" w:firstLine="720"/>
        <w:rPr>
          <w:lang w:val="fr-FR"/>
        </w:rPr>
      </w:pPr>
      <w:r w:rsidRPr="00B6791D">
        <w:t>Chief, Wireline Competition Bureau</w:t>
      </w:r>
    </w:p>
    <w:p w:rsidR="00557961" w:rsidRDefault="00557961" w:rsidP="00557961">
      <w:pPr>
        <w:pStyle w:val="ParaNum"/>
        <w:numPr>
          <w:ilvl w:val="0"/>
          <w:numId w:val="0"/>
        </w:numPr>
        <w:spacing w:after="0"/>
        <w:ind w:left="720"/>
        <w:rPr>
          <w:lang w:val="fr-FR"/>
        </w:rPr>
      </w:pPr>
    </w:p>
    <w:p w:rsidR="00557961" w:rsidRPr="00B6791D" w:rsidRDefault="00557961" w:rsidP="00557961">
      <w:pPr>
        <w:pStyle w:val="ParaNum"/>
        <w:numPr>
          <w:ilvl w:val="0"/>
          <w:numId w:val="0"/>
        </w:numPr>
        <w:spacing w:after="0"/>
        <w:ind w:left="720"/>
        <w:rPr>
          <w:lang w:val="fr-FR"/>
        </w:rPr>
      </w:pPr>
    </w:p>
    <w:p w:rsidR="00557961" w:rsidRPr="00B6791D" w:rsidRDefault="00557961" w:rsidP="00557961">
      <w:pPr>
        <w:pStyle w:val="ParaNum"/>
        <w:numPr>
          <w:ilvl w:val="0"/>
          <w:numId w:val="0"/>
        </w:numPr>
        <w:spacing w:after="0"/>
        <w:ind w:left="3600" w:firstLine="720"/>
      </w:pPr>
      <w:r w:rsidRPr="00B6791D">
        <w:rPr>
          <w:lang w:val="fr-FR"/>
        </w:rPr>
        <w:t>Mindel De La Torre</w:t>
      </w:r>
    </w:p>
    <w:p w:rsidR="00557961" w:rsidRPr="00B6791D" w:rsidRDefault="00557961" w:rsidP="00557961">
      <w:pPr>
        <w:pStyle w:val="ParaNum"/>
        <w:numPr>
          <w:ilvl w:val="0"/>
          <w:numId w:val="0"/>
        </w:numPr>
        <w:spacing w:after="0"/>
        <w:ind w:left="4320"/>
      </w:pPr>
      <w:r w:rsidRPr="00B6791D">
        <w:t>Chief, International Bureau</w:t>
      </w:r>
    </w:p>
    <w:p w:rsidR="00557961" w:rsidRDefault="00557961" w:rsidP="00557961">
      <w:pPr>
        <w:pStyle w:val="ParaNum"/>
        <w:numPr>
          <w:ilvl w:val="0"/>
          <w:numId w:val="0"/>
        </w:numPr>
        <w:spacing w:after="0"/>
        <w:ind w:firstLine="720"/>
      </w:pPr>
    </w:p>
    <w:p w:rsidR="00557961" w:rsidRPr="00B6791D" w:rsidRDefault="00557961" w:rsidP="00557961">
      <w:pPr>
        <w:pStyle w:val="ParaNum"/>
        <w:numPr>
          <w:ilvl w:val="0"/>
          <w:numId w:val="0"/>
        </w:numPr>
        <w:spacing w:after="0"/>
        <w:ind w:firstLine="720"/>
      </w:pPr>
    </w:p>
    <w:p w:rsidR="00557961" w:rsidRPr="00B6791D" w:rsidRDefault="00557961" w:rsidP="00557961">
      <w:pPr>
        <w:pStyle w:val="ParaNum"/>
        <w:numPr>
          <w:ilvl w:val="0"/>
          <w:numId w:val="0"/>
        </w:numPr>
        <w:spacing w:after="0"/>
        <w:ind w:left="3600" w:firstLine="720"/>
      </w:pPr>
      <w:r w:rsidRPr="00B6791D">
        <w:t>William T. Lake</w:t>
      </w:r>
    </w:p>
    <w:p w:rsidR="00557961" w:rsidRPr="00B6791D" w:rsidRDefault="00557961" w:rsidP="00557961">
      <w:pPr>
        <w:pStyle w:val="ParaNum"/>
        <w:numPr>
          <w:ilvl w:val="0"/>
          <w:numId w:val="0"/>
        </w:numPr>
        <w:spacing w:after="0"/>
        <w:ind w:left="3600" w:firstLine="720"/>
      </w:pPr>
      <w:r w:rsidRPr="00B6791D">
        <w:t>Chief, Media Bureau</w:t>
      </w:r>
    </w:p>
    <w:p w:rsidR="00557961" w:rsidRDefault="00557961" w:rsidP="00557961">
      <w:pPr>
        <w:pStyle w:val="ParaNum"/>
        <w:numPr>
          <w:ilvl w:val="0"/>
          <w:numId w:val="0"/>
        </w:numPr>
        <w:spacing w:after="0"/>
        <w:ind w:left="720"/>
      </w:pPr>
    </w:p>
    <w:p w:rsidR="00557961" w:rsidRDefault="00557961" w:rsidP="00557961">
      <w:pPr>
        <w:pStyle w:val="ParaNum"/>
        <w:numPr>
          <w:ilvl w:val="0"/>
          <w:numId w:val="0"/>
        </w:numPr>
        <w:spacing w:after="0"/>
        <w:ind w:left="720"/>
      </w:pPr>
    </w:p>
    <w:p w:rsidR="00557961" w:rsidRPr="00B6791D" w:rsidRDefault="00557961" w:rsidP="00557961">
      <w:pPr>
        <w:pStyle w:val="ParaNum"/>
        <w:numPr>
          <w:ilvl w:val="0"/>
          <w:numId w:val="0"/>
        </w:numPr>
        <w:spacing w:after="0"/>
        <w:ind w:left="3600" w:firstLine="720"/>
      </w:pPr>
      <w:r w:rsidRPr="009E1819">
        <w:t>Jon Wilkins</w:t>
      </w:r>
    </w:p>
    <w:p w:rsidR="002C00E8" w:rsidRPr="00557961" w:rsidRDefault="00557961" w:rsidP="00557961">
      <w:pPr>
        <w:ind w:left="3600" w:firstLine="720"/>
      </w:pPr>
      <w:r w:rsidRPr="00B6791D">
        <w:t>Chief, Wireless Telecommunications Bureau</w:t>
      </w:r>
      <w:bookmarkEnd w:id="2"/>
    </w:p>
    <w:sectPr w:rsidR="002C00E8" w:rsidRPr="00557961"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961" w:rsidRDefault="00557961">
      <w:pPr>
        <w:spacing w:line="20" w:lineRule="exact"/>
      </w:pPr>
    </w:p>
  </w:endnote>
  <w:endnote w:type="continuationSeparator" w:id="0">
    <w:p w:rsidR="00557961" w:rsidRDefault="00557961">
      <w:r>
        <w:t xml:space="preserve"> </w:t>
      </w:r>
    </w:p>
  </w:endnote>
  <w:endnote w:type="continuationNotice" w:id="1">
    <w:p w:rsidR="00557961" w:rsidRDefault="0055796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63ADB">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961" w:rsidRDefault="00557961">
      <w:r>
        <w:separator/>
      </w:r>
    </w:p>
  </w:footnote>
  <w:footnote w:type="continuationSeparator" w:id="0">
    <w:p w:rsidR="00557961" w:rsidRDefault="00557961" w:rsidP="00C721AC">
      <w:pPr>
        <w:spacing w:before="120"/>
        <w:rPr>
          <w:sz w:val="20"/>
        </w:rPr>
      </w:pPr>
      <w:r>
        <w:rPr>
          <w:sz w:val="20"/>
        </w:rPr>
        <w:t xml:space="preserve">(Continued from previous page)  </w:t>
      </w:r>
      <w:r>
        <w:rPr>
          <w:sz w:val="20"/>
        </w:rPr>
        <w:separator/>
      </w:r>
    </w:p>
  </w:footnote>
  <w:footnote w:type="continuationNotice" w:id="1">
    <w:p w:rsidR="00557961" w:rsidRDefault="00557961" w:rsidP="00C721AC">
      <w:pPr>
        <w:jc w:val="right"/>
        <w:rPr>
          <w:sz w:val="20"/>
        </w:rPr>
      </w:pPr>
      <w:r>
        <w:rPr>
          <w:sz w:val="20"/>
        </w:rPr>
        <w:t>(continued…)</w:t>
      </w:r>
    </w:p>
  </w:footnote>
  <w:footnote w:id="2">
    <w:p w:rsidR="00557961" w:rsidRDefault="00557961" w:rsidP="00557961">
      <w:pPr>
        <w:pStyle w:val="FootnoteText"/>
      </w:pPr>
      <w:r>
        <w:rPr>
          <w:rStyle w:val="FootnoteReference"/>
        </w:rPr>
        <w:footnoteRef/>
      </w:r>
      <w:r>
        <w:t xml:space="preserve"> </w:t>
      </w:r>
      <w:r w:rsidRPr="00D543D4">
        <w:t xml:space="preserve">47 U.S.C §§ 214, 310(d).  </w:t>
      </w:r>
    </w:p>
  </w:footnote>
  <w:footnote w:id="3">
    <w:p w:rsidR="00557961" w:rsidRPr="00111404" w:rsidRDefault="00557961" w:rsidP="00557961">
      <w:pPr>
        <w:pStyle w:val="FootnoteText"/>
      </w:pPr>
      <w:r w:rsidRPr="00C240CB">
        <w:rPr>
          <w:rStyle w:val="FootnoteReference"/>
        </w:rPr>
        <w:footnoteRef/>
      </w:r>
      <w:r w:rsidRPr="00C240CB">
        <w:t xml:space="preserve"> </w:t>
      </w:r>
      <w:r w:rsidRPr="00C240CB">
        <w:rPr>
          <w:i/>
        </w:rPr>
        <w:t xml:space="preserve">Applications </w:t>
      </w:r>
      <w:r w:rsidRPr="00111404">
        <w:rPr>
          <w:i/>
        </w:rPr>
        <w:t>Filed by Altice N.V. and Cequel Corporation d/b/a Suddenlink Communications to Transfer Control of Authorizations from Suddenlink Communications to Altice N.V.</w:t>
      </w:r>
      <w:r>
        <w:t xml:space="preserve">, Memorandum Opinion and Order, 30 FCC Rcd 14352 (WCB/IB/MB/WTB 2015). </w:t>
      </w:r>
    </w:p>
  </w:footnote>
  <w:footnote w:id="4">
    <w:p w:rsidR="00557961" w:rsidRDefault="00557961" w:rsidP="00557961">
      <w:pPr>
        <w:pStyle w:val="FootnoteText"/>
      </w:pPr>
      <w:r>
        <w:rPr>
          <w:rStyle w:val="FootnoteReference"/>
        </w:rPr>
        <w:footnoteRef/>
      </w:r>
      <w:r>
        <w:t xml:space="preserve"> </w:t>
      </w:r>
      <w:r>
        <w:rPr>
          <w:i/>
        </w:rPr>
        <w:t>Id.</w:t>
      </w:r>
      <w:r>
        <w:t xml:space="preserve"> at 14353, 14362-63, paras. 3, 24, 27.  We refer to this as the “national security condition.”</w:t>
      </w:r>
    </w:p>
  </w:footnote>
  <w:footnote w:id="5">
    <w:p w:rsidR="00557961" w:rsidRPr="009042B7" w:rsidRDefault="00557961" w:rsidP="00557961">
      <w:pPr>
        <w:pStyle w:val="FootnoteText"/>
      </w:pPr>
      <w:r>
        <w:rPr>
          <w:rStyle w:val="FootnoteReference"/>
        </w:rPr>
        <w:footnoteRef/>
      </w:r>
      <w:r>
        <w:t xml:space="preserve"> </w:t>
      </w:r>
      <w:r>
        <w:rPr>
          <w:i/>
        </w:rPr>
        <w:t>See</w:t>
      </w:r>
      <w:r>
        <w:t xml:space="preserve"> Letter from Yaron Dori, Counsel for Altice and Suddenlink, to </w:t>
      </w:r>
      <w:r w:rsidRPr="009042B7">
        <w:t xml:space="preserve">Marlene H. Dortch, Secretary, FCC, WC Docket No. 15-135 (filed </w:t>
      </w:r>
      <w:r>
        <w:t>Apr</w:t>
      </w:r>
      <w:r w:rsidRPr="009042B7">
        <w:t>. 2</w:t>
      </w:r>
      <w:r>
        <w:t>6, 2016</w:t>
      </w:r>
      <w:r w:rsidRPr="009042B7">
        <w:t>)</w:t>
      </w:r>
      <w:r>
        <w:t>, attaching April 18, 2016 LOA and December 11, 2015 NSA</w:t>
      </w:r>
      <w:r w:rsidRPr="009042B7">
        <w:t>.</w:t>
      </w:r>
    </w:p>
  </w:footnote>
  <w:footnote w:id="6">
    <w:p w:rsidR="00557961" w:rsidRPr="00352918" w:rsidRDefault="00557961" w:rsidP="00557961">
      <w:pPr>
        <w:pStyle w:val="FootnoteText"/>
      </w:pPr>
      <w:r>
        <w:rPr>
          <w:rStyle w:val="FootnoteReference"/>
        </w:rPr>
        <w:footnoteRef/>
      </w:r>
      <w:r>
        <w:t xml:space="preserve"> </w:t>
      </w:r>
      <w:r>
        <w:rPr>
          <w:i/>
        </w:rPr>
        <w:t>See</w:t>
      </w:r>
      <w:r>
        <w:t xml:space="preserve"> LOA at 2.</w:t>
      </w:r>
    </w:p>
  </w:footnote>
  <w:footnote w:id="7">
    <w:p w:rsidR="00557961" w:rsidRDefault="00557961" w:rsidP="00557961">
      <w:pPr>
        <w:pStyle w:val="FootnoteText"/>
      </w:pPr>
      <w:r>
        <w:rPr>
          <w:rStyle w:val="FootnoteReference"/>
        </w:rPr>
        <w:footnoteRef/>
      </w:r>
      <w:r>
        <w:t xml:space="preserve"> </w:t>
      </w:r>
      <w:r w:rsidRPr="00316A29">
        <w:rPr>
          <w:i/>
        </w:rPr>
        <w:t>See</w:t>
      </w:r>
      <w:r w:rsidRPr="00316A29">
        <w:t xml:space="preserve"> </w:t>
      </w:r>
      <w:r>
        <w:rPr>
          <w:i/>
        </w:rPr>
        <w:t xml:space="preserve">Rules and Policies on Foreign Participation in the U.S. Telecommunications Market, </w:t>
      </w:r>
      <w:r w:rsidRPr="00316A29">
        <w:t xml:space="preserve">12 FCC Rcd </w:t>
      </w:r>
      <w:r>
        <w:t xml:space="preserve">23891, </w:t>
      </w:r>
      <w:r w:rsidRPr="00316A29">
        <w:t xml:space="preserve">23918-21, </w:t>
      </w:r>
      <w:r>
        <w:t>paras.</w:t>
      </w:r>
      <w:r w:rsidRPr="00316A29">
        <w:t xml:space="preserve"> 59-66</w:t>
      </w:r>
      <w:r w:rsidRPr="005B61E1">
        <w:rPr>
          <w:i/>
        </w:rPr>
        <w:t xml:space="preserve"> </w:t>
      </w:r>
      <w:r>
        <w:t xml:space="preserve">(1997); </w:t>
      </w:r>
      <w:r>
        <w:rPr>
          <w:i/>
        </w:rPr>
        <w:t>see also Review of Foreign Ownership Policies for Common Carrier and Aeronautical Radio Licensees under Section 310(b)(4) of the Communications Act of 1934, as Amended</w:t>
      </w:r>
      <w:r w:rsidRPr="00141660">
        <w:rPr>
          <w:i/>
        </w:rPr>
        <w:t xml:space="preserve">, </w:t>
      </w:r>
      <w:r w:rsidRPr="00141660">
        <w:t xml:space="preserve">28 FCC Rcd </w:t>
      </w:r>
      <w:r>
        <w:t>5741,</w:t>
      </w:r>
      <w:r w:rsidRPr="00141660">
        <w:t xml:space="preserve"> 5792</w:t>
      </w:r>
      <w:r>
        <w:t>, para. 95</w:t>
      </w:r>
      <w:r w:rsidRPr="00141660">
        <w:t xml:space="preserve"> n.255</w:t>
      </w:r>
      <w:r>
        <w:t xml:space="preserve"> (2013) </w:t>
      </w:r>
      <w:r w:rsidRPr="00141660">
        <w:t>(“The Commission has previously held that, rega</w:t>
      </w:r>
      <w:r>
        <w:t>rdless of the applicability of s</w:t>
      </w:r>
      <w:r w:rsidRPr="00141660">
        <w:t>ections 310(a) and 310(b), the Commission co</w:t>
      </w:r>
      <w:r>
        <w:t>nsiders, pursuant to s</w:t>
      </w:r>
      <w:r w:rsidRPr="00141660">
        <w:t>ections 308</w:t>
      </w:r>
      <w:r w:rsidRPr="00316A29">
        <w:t xml:space="preserve"> and 310(d) of the Act, national security, law enforcement, foreign policy and trade policy concerns when analyzing an application in which foreign ownership is involved.”).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183" w:rsidRDefault="00E721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63173F">
      <w:t>DA 16-</w:t>
    </w:r>
    <w:r w:rsidR="00650289">
      <w:t>492</w:t>
    </w:r>
  </w:p>
  <w:p w:rsidR="00D25FB5" w:rsidRDefault="00663ADB">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663ADB"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63173F">
      <w:rPr>
        <w:spacing w:val="-2"/>
      </w:rPr>
      <w:t>DA 16-</w:t>
    </w:r>
    <w:r w:rsidR="00650289">
      <w:rPr>
        <w:spacing w:val="-2"/>
      </w:rPr>
      <w:t>492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961"/>
    <w:rsid w:val="00036039"/>
    <w:rsid w:val="00037F90"/>
    <w:rsid w:val="000875BF"/>
    <w:rsid w:val="00096D8C"/>
    <w:rsid w:val="000C0B65"/>
    <w:rsid w:val="000E05FE"/>
    <w:rsid w:val="000E3D42"/>
    <w:rsid w:val="00122BD5"/>
    <w:rsid w:val="00133F79"/>
    <w:rsid w:val="00194A66"/>
    <w:rsid w:val="001A2252"/>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57961"/>
    <w:rsid w:val="005E14C2"/>
    <w:rsid w:val="00607BA5"/>
    <w:rsid w:val="0061180A"/>
    <w:rsid w:val="00626EB6"/>
    <w:rsid w:val="0063173F"/>
    <w:rsid w:val="00650289"/>
    <w:rsid w:val="00655D03"/>
    <w:rsid w:val="00663ADB"/>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A4174"/>
    <w:rsid w:val="009F76DB"/>
    <w:rsid w:val="00A32C3B"/>
    <w:rsid w:val="00A45F4F"/>
    <w:rsid w:val="00A600A9"/>
    <w:rsid w:val="00AA55B7"/>
    <w:rsid w:val="00AA5B9E"/>
    <w:rsid w:val="00AB2407"/>
    <w:rsid w:val="00AB53DF"/>
    <w:rsid w:val="00B07E5C"/>
    <w:rsid w:val="00B811F7"/>
    <w:rsid w:val="00BA5DC6"/>
    <w:rsid w:val="00BA6196"/>
    <w:rsid w:val="00BC0AAB"/>
    <w:rsid w:val="00BC6D8C"/>
    <w:rsid w:val="00C34006"/>
    <w:rsid w:val="00C426B1"/>
    <w:rsid w:val="00C43A32"/>
    <w:rsid w:val="00C54673"/>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72183"/>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961"/>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Heading 4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2,Footnote Text Char Char1 Char,Footnote Text Char2 Char2 Char Char,Footnote Text Char Char1 Char Char Char,Footnote Text Char1 Char1 Char Char Char Char,Footnote Text Char2 Char Char,fn,fn Char1,Footnote Text Char1"/>
    <w:link w:val="FootnoteTextChar"/>
    <w:uiPriority w:val="99"/>
    <w:rsid w:val="000E3D42"/>
    <w:pPr>
      <w:spacing w:after="120"/>
    </w:pPr>
  </w:style>
  <w:style w:type="character" w:styleId="FootnoteReference">
    <w:name w:val="footnote reference"/>
    <w:aliases w:val="Style 12,(NECG) Footnote Reference,Style 13,Appel note de bas de p,Style 124,fr,o,Style 3,FR,Style 17,Style 6,Footnote Reference/,Style 7,Style 4,Style 34,Style 9,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2 Char2 Char,Footnote Text Char Char1 Char Char,Footnote Text Char2 Char2 Char Char Char,Footnote Text Char Char1 Char Char Char Char,Footnote Text Char1 Char1 Char Char Char Char Char,fn Char,fn Char1 Char"/>
    <w:link w:val="FootnoteText"/>
    <w:uiPriority w:val="99"/>
    <w:rsid w:val="00557961"/>
  </w:style>
  <w:style w:type="character" w:customStyle="1" w:styleId="ParaNumChar">
    <w:name w:val="ParaNum Char"/>
    <w:link w:val="ParaNum"/>
    <w:locked/>
    <w:rsid w:val="00557961"/>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689</Words>
  <Characters>3853</Characters>
  <Application>Microsoft Office Word</Application>
  <DocSecurity>0</DocSecurity>
  <Lines>91</Lines>
  <Paragraphs>30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4525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2016-05-04T16:31:00Z</dcterms:created>
  <dcterms:modified xsi:type="dcterms:W3CDTF">2016-05-04T16:31:00Z</dcterms:modified>
  <cp:category> </cp:category>
  <cp:contentStatus> </cp:contentStatus>
</cp:coreProperties>
</file>