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C6E" w:rsidRDefault="00FF0C6E" w:rsidP="00CB3253">
      <w:pPr>
        <w:jc w:val="center"/>
        <w:rPr>
          <w:b/>
          <w:color w:val="000000" w:themeColor="text1"/>
          <w:szCs w:val="22"/>
        </w:rPr>
      </w:pPr>
      <w:bookmarkStart w:id="0" w:name="_GoBack"/>
      <w:bookmarkEnd w:id="0"/>
    </w:p>
    <w:p w:rsidR="00CB3253" w:rsidRPr="00E92283" w:rsidRDefault="00CB3253" w:rsidP="00CB3253">
      <w:pPr>
        <w:jc w:val="center"/>
        <w:rPr>
          <w:b/>
          <w:color w:val="000000" w:themeColor="text1"/>
          <w:szCs w:val="22"/>
        </w:rPr>
      </w:pPr>
      <w:r w:rsidRPr="00E92283">
        <w:rPr>
          <w:b/>
          <w:color w:val="000000" w:themeColor="text1"/>
          <w:szCs w:val="22"/>
        </w:rPr>
        <w:t>Before the</w:t>
      </w:r>
    </w:p>
    <w:p w:rsidR="00CB3253" w:rsidRPr="00E92283" w:rsidRDefault="00CB3253" w:rsidP="00CB3253">
      <w:pPr>
        <w:pStyle w:val="StyleBoldCentered"/>
        <w:rPr>
          <w:rFonts w:ascii="Times New Roman" w:hAnsi="Times New Roman"/>
          <w:color w:val="000000" w:themeColor="text1"/>
        </w:rPr>
      </w:pPr>
      <w:r w:rsidRPr="00E92283">
        <w:rPr>
          <w:rFonts w:ascii="Times New Roman" w:hAnsi="Times New Roman"/>
          <w:color w:val="000000" w:themeColor="text1"/>
        </w:rPr>
        <w:t>F</w:t>
      </w:r>
      <w:r w:rsidRPr="00E92283">
        <w:rPr>
          <w:rFonts w:ascii="Times New Roman" w:hAnsi="Times New Roman"/>
          <w:caps w:val="0"/>
          <w:color w:val="000000" w:themeColor="text1"/>
        </w:rPr>
        <w:t>ederal Communications Commission</w:t>
      </w:r>
    </w:p>
    <w:p w:rsidR="00CB3253" w:rsidRPr="00F8719D" w:rsidRDefault="00CB3253" w:rsidP="00CB3253">
      <w:pPr>
        <w:jc w:val="center"/>
        <w:rPr>
          <w:b/>
          <w:color w:val="000000" w:themeColor="text1"/>
          <w:szCs w:val="22"/>
        </w:rPr>
      </w:pPr>
      <w:r w:rsidRPr="00E92283">
        <w:rPr>
          <w:b/>
          <w:color w:val="000000" w:themeColor="text1"/>
          <w:szCs w:val="22"/>
        </w:rPr>
        <w:t>Washington, D</w:t>
      </w:r>
      <w:r w:rsidRPr="00F8719D">
        <w:rPr>
          <w:b/>
          <w:color w:val="000000" w:themeColor="text1"/>
          <w:szCs w:val="22"/>
        </w:rPr>
        <w:t xml:space="preserve">C 20554 </w:t>
      </w:r>
    </w:p>
    <w:tbl>
      <w:tblPr>
        <w:tblW w:w="9486" w:type="dxa"/>
        <w:tblLayout w:type="fixed"/>
        <w:tblLook w:val="0000" w:firstRow="0" w:lastRow="0" w:firstColumn="0" w:lastColumn="0" w:noHBand="0" w:noVBand="0"/>
      </w:tblPr>
      <w:tblGrid>
        <w:gridCol w:w="4608"/>
        <w:gridCol w:w="630"/>
        <w:gridCol w:w="4248"/>
      </w:tblGrid>
      <w:tr w:rsidR="00CB3253" w:rsidRPr="00F8719D" w:rsidTr="00F15904">
        <w:tc>
          <w:tcPr>
            <w:tcW w:w="4608" w:type="dxa"/>
          </w:tcPr>
          <w:p w:rsidR="00CB3253" w:rsidRPr="005B744E" w:rsidRDefault="00CB3253" w:rsidP="00420621">
            <w:pPr>
              <w:tabs>
                <w:tab w:val="center" w:pos="4680"/>
              </w:tabs>
              <w:suppressAutoHyphens/>
              <w:rPr>
                <w:color w:val="000000" w:themeColor="text1"/>
                <w:spacing w:val="-2"/>
                <w:szCs w:val="22"/>
              </w:rPr>
            </w:pPr>
          </w:p>
          <w:p w:rsidR="00CB3253" w:rsidRPr="005B744E" w:rsidRDefault="00CB3253" w:rsidP="00420621">
            <w:pPr>
              <w:tabs>
                <w:tab w:val="center" w:pos="4680"/>
              </w:tabs>
              <w:suppressAutoHyphens/>
              <w:rPr>
                <w:color w:val="000000" w:themeColor="text1"/>
                <w:spacing w:val="-2"/>
                <w:szCs w:val="22"/>
              </w:rPr>
            </w:pPr>
            <w:r w:rsidRPr="00F8719D">
              <w:rPr>
                <w:color w:val="000000" w:themeColor="text1"/>
                <w:spacing w:val="-2"/>
                <w:szCs w:val="22"/>
              </w:rPr>
              <w:t>In the Matter of</w:t>
            </w:r>
          </w:p>
          <w:p w:rsidR="00CB3253" w:rsidRPr="005B744E" w:rsidRDefault="00CB3253" w:rsidP="00420621">
            <w:pPr>
              <w:tabs>
                <w:tab w:val="center" w:pos="4680"/>
              </w:tabs>
              <w:suppressAutoHyphens/>
              <w:rPr>
                <w:color w:val="000000" w:themeColor="text1"/>
                <w:spacing w:val="-2"/>
                <w:szCs w:val="22"/>
              </w:rPr>
            </w:pPr>
          </w:p>
          <w:p w:rsidR="00CB3253" w:rsidRPr="005B744E" w:rsidRDefault="00C52C52" w:rsidP="00420621">
            <w:pPr>
              <w:tabs>
                <w:tab w:val="center" w:pos="4680"/>
              </w:tabs>
              <w:suppressAutoHyphens/>
              <w:rPr>
                <w:color w:val="000000" w:themeColor="text1"/>
                <w:spacing w:val="-2"/>
                <w:szCs w:val="22"/>
              </w:rPr>
            </w:pPr>
            <w:r>
              <w:rPr>
                <w:color w:val="000000" w:themeColor="text1"/>
                <w:spacing w:val="-2"/>
                <w:szCs w:val="22"/>
              </w:rPr>
              <w:t>VEZA Telecom, Inc.</w:t>
            </w:r>
          </w:p>
          <w:p w:rsidR="00CB3253" w:rsidRPr="005B744E" w:rsidRDefault="00CB3253" w:rsidP="00420621">
            <w:pPr>
              <w:tabs>
                <w:tab w:val="center" w:pos="4680"/>
              </w:tabs>
              <w:suppressAutoHyphens/>
              <w:rPr>
                <w:color w:val="000000" w:themeColor="text1"/>
                <w:spacing w:val="-2"/>
                <w:szCs w:val="22"/>
              </w:rPr>
            </w:pPr>
          </w:p>
        </w:tc>
        <w:tc>
          <w:tcPr>
            <w:tcW w:w="630" w:type="dxa"/>
          </w:tcPr>
          <w:p w:rsidR="00CB3253" w:rsidRPr="005B744E" w:rsidRDefault="00CB3253" w:rsidP="00420621">
            <w:pPr>
              <w:tabs>
                <w:tab w:val="center" w:pos="4680"/>
              </w:tabs>
              <w:suppressAutoHyphens/>
              <w:rPr>
                <w:b/>
                <w:color w:val="000000" w:themeColor="text1"/>
                <w:spacing w:val="-2"/>
                <w:szCs w:val="22"/>
              </w:rPr>
            </w:pPr>
          </w:p>
          <w:p w:rsidR="00CB3253" w:rsidRPr="005B744E" w:rsidRDefault="00CB3253" w:rsidP="00420621">
            <w:pPr>
              <w:tabs>
                <w:tab w:val="center" w:pos="4680"/>
              </w:tabs>
              <w:suppressAutoHyphens/>
              <w:rPr>
                <w:b/>
                <w:color w:val="000000" w:themeColor="text1"/>
                <w:spacing w:val="-2"/>
                <w:szCs w:val="22"/>
              </w:rPr>
            </w:pPr>
            <w:r w:rsidRPr="00F8719D">
              <w:rPr>
                <w:b/>
                <w:color w:val="000000" w:themeColor="text1"/>
                <w:spacing w:val="-2"/>
                <w:szCs w:val="22"/>
              </w:rPr>
              <w:t xml:space="preserve">  )</w:t>
            </w:r>
          </w:p>
          <w:p w:rsidR="00CB3253" w:rsidRPr="005B744E" w:rsidRDefault="00CB3253" w:rsidP="00420621">
            <w:pPr>
              <w:tabs>
                <w:tab w:val="center" w:pos="4680"/>
              </w:tabs>
              <w:suppressAutoHyphens/>
              <w:rPr>
                <w:b/>
                <w:color w:val="000000" w:themeColor="text1"/>
                <w:spacing w:val="-2"/>
                <w:szCs w:val="22"/>
              </w:rPr>
            </w:pPr>
            <w:r w:rsidRPr="00F8719D">
              <w:rPr>
                <w:b/>
                <w:color w:val="000000" w:themeColor="text1"/>
                <w:spacing w:val="-2"/>
                <w:szCs w:val="22"/>
              </w:rPr>
              <w:t xml:space="preserve">  )</w:t>
            </w:r>
          </w:p>
          <w:p w:rsidR="00CB3253" w:rsidRPr="005B744E" w:rsidRDefault="00CB3253" w:rsidP="00420621">
            <w:pPr>
              <w:tabs>
                <w:tab w:val="center" w:pos="4680"/>
              </w:tabs>
              <w:suppressAutoHyphens/>
              <w:rPr>
                <w:b/>
                <w:color w:val="000000" w:themeColor="text1"/>
                <w:spacing w:val="-2"/>
                <w:szCs w:val="22"/>
              </w:rPr>
            </w:pPr>
            <w:r w:rsidRPr="00F8719D">
              <w:rPr>
                <w:b/>
                <w:color w:val="000000" w:themeColor="text1"/>
                <w:spacing w:val="-2"/>
                <w:szCs w:val="22"/>
              </w:rPr>
              <w:t xml:space="preserve">  )</w:t>
            </w:r>
          </w:p>
          <w:p w:rsidR="00CB3253" w:rsidRPr="005B744E" w:rsidRDefault="00CB3253" w:rsidP="00420621">
            <w:pPr>
              <w:tabs>
                <w:tab w:val="center" w:pos="4680"/>
              </w:tabs>
              <w:suppressAutoHyphens/>
              <w:rPr>
                <w:b/>
                <w:color w:val="000000" w:themeColor="text1"/>
                <w:spacing w:val="-2"/>
                <w:szCs w:val="22"/>
              </w:rPr>
            </w:pPr>
            <w:r w:rsidRPr="00F8719D">
              <w:rPr>
                <w:b/>
                <w:color w:val="000000" w:themeColor="text1"/>
                <w:spacing w:val="-2"/>
                <w:szCs w:val="22"/>
              </w:rPr>
              <w:t xml:space="preserve">  )</w:t>
            </w:r>
          </w:p>
          <w:p w:rsidR="00CB3253" w:rsidRPr="005B744E" w:rsidRDefault="00A15A13" w:rsidP="00420621">
            <w:pPr>
              <w:tabs>
                <w:tab w:val="center" w:pos="4680"/>
              </w:tabs>
              <w:suppressAutoHyphens/>
              <w:rPr>
                <w:b/>
                <w:color w:val="000000" w:themeColor="text1"/>
                <w:spacing w:val="-2"/>
                <w:szCs w:val="22"/>
              </w:rPr>
            </w:pPr>
            <w:r>
              <w:rPr>
                <w:b/>
                <w:color w:val="000000" w:themeColor="text1"/>
                <w:spacing w:val="-2"/>
                <w:szCs w:val="22"/>
              </w:rPr>
              <w:t xml:space="preserve">  </w:t>
            </w:r>
          </w:p>
          <w:p w:rsidR="00CB3253" w:rsidRPr="005B744E" w:rsidRDefault="00CB3253" w:rsidP="00420621">
            <w:pPr>
              <w:tabs>
                <w:tab w:val="center" w:pos="4680"/>
              </w:tabs>
              <w:suppressAutoHyphens/>
              <w:rPr>
                <w:b/>
                <w:color w:val="000000" w:themeColor="text1"/>
                <w:spacing w:val="-2"/>
                <w:szCs w:val="22"/>
              </w:rPr>
            </w:pPr>
            <w:r w:rsidRPr="00F8719D">
              <w:rPr>
                <w:b/>
                <w:color w:val="000000" w:themeColor="text1"/>
                <w:spacing w:val="-2"/>
                <w:szCs w:val="22"/>
              </w:rPr>
              <w:t xml:space="preserve"> </w:t>
            </w:r>
          </w:p>
        </w:tc>
        <w:tc>
          <w:tcPr>
            <w:tcW w:w="4248" w:type="dxa"/>
          </w:tcPr>
          <w:p w:rsidR="00CB3253" w:rsidRPr="005B744E" w:rsidRDefault="00CB3253" w:rsidP="00420621">
            <w:pPr>
              <w:tabs>
                <w:tab w:val="center" w:pos="4680"/>
              </w:tabs>
              <w:suppressAutoHyphens/>
              <w:rPr>
                <w:color w:val="000000" w:themeColor="text1"/>
                <w:spacing w:val="-2"/>
                <w:szCs w:val="22"/>
              </w:rPr>
            </w:pPr>
          </w:p>
          <w:p w:rsidR="00525F64" w:rsidRPr="005B744E" w:rsidRDefault="00CB3253" w:rsidP="00420621">
            <w:pPr>
              <w:rPr>
                <w:color w:val="000000" w:themeColor="text1"/>
                <w:spacing w:val="-2"/>
                <w:szCs w:val="22"/>
              </w:rPr>
            </w:pPr>
            <w:r w:rsidRPr="00F8719D">
              <w:rPr>
                <w:color w:val="000000" w:themeColor="text1"/>
                <w:spacing w:val="-2"/>
                <w:szCs w:val="22"/>
              </w:rPr>
              <w:t xml:space="preserve">                </w:t>
            </w:r>
          </w:p>
          <w:p w:rsidR="00525F64" w:rsidRPr="005B744E" w:rsidRDefault="00525F64" w:rsidP="00420621">
            <w:pPr>
              <w:rPr>
                <w:color w:val="000000" w:themeColor="text1"/>
                <w:spacing w:val="-2"/>
                <w:szCs w:val="22"/>
              </w:rPr>
            </w:pPr>
          </w:p>
          <w:p w:rsidR="00CB3253" w:rsidRPr="00A15A13" w:rsidRDefault="00CB3253" w:rsidP="00A15A13">
            <w:pPr>
              <w:ind w:left="522"/>
              <w:rPr>
                <w:snapToGrid/>
                <w:color w:val="000000" w:themeColor="text1"/>
                <w:spacing w:val="-2"/>
                <w:szCs w:val="22"/>
              </w:rPr>
            </w:pPr>
            <w:r w:rsidRPr="00F8719D">
              <w:rPr>
                <w:color w:val="000000" w:themeColor="text1"/>
                <w:spacing w:val="-2"/>
                <w:szCs w:val="22"/>
              </w:rPr>
              <w:t xml:space="preserve">File No.:  </w:t>
            </w:r>
            <w:r w:rsidR="00A97B3D">
              <w:rPr>
                <w:color w:val="000000" w:themeColor="text1"/>
                <w:spacing w:val="-2"/>
                <w:szCs w:val="22"/>
              </w:rPr>
              <w:t>EB-TCD-16-00021653</w:t>
            </w:r>
            <w:r w:rsidRPr="00F8719D">
              <w:rPr>
                <w:color w:val="000000" w:themeColor="text1"/>
                <w:spacing w:val="-2"/>
                <w:szCs w:val="22"/>
              </w:rPr>
              <w:t xml:space="preserve"> </w:t>
            </w:r>
          </w:p>
          <w:p w:rsidR="00CB3253" w:rsidRPr="005B744E" w:rsidRDefault="00CB3253" w:rsidP="005B744E">
            <w:pPr>
              <w:ind w:left="522"/>
              <w:rPr>
                <w:color w:val="000000" w:themeColor="text1"/>
                <w:spacing w:val="-2"/>
                <w:szCs w:val="22"/>
              </w:rPr>
            </w:pPr>
            <w:r w:rsidRPr="00F8719D">
              <w:rPr>
                <w:color w:val="000000" w:themeColor="text1"/>
                <w:spacing w:val="-2"/>
                <w:szCs w:val="22"/>
              </w:rPr>
              <w:t>FRN:</w:t>
            </w:r>
            <w:r w:rsidR="003C6BD9">
              <w:rPr>
                <w:color w:val="000000" w:themeColor="text1"/>
                <w:spacing w:val="-2"/>
                <w:szCs w:val="22"/>
              </w:rPr>
              <w:t xml:space="preserve">  0016898017</w:t>
            </w:r>
          </w:p>
          <w:p w:rsidR="00CB3253" w:rsidRPr="005B744E" w:rsidRDefault="00CB3253" w:rsidP="00420621">
            <w:pPr>
              <w:rPr>
                <w:color w:val="000000" w:themeColor="text1"/>
                <w:szCs w:val="22"/>
              </w:rPr>
            </w:pPr>
            <w:r w:rsidRPr="00F8719D">
              <w:rPr>
                <w:color w:val="000000" w:themeColor="text1"/>
                <w:spacing w:val="-2"/>
                <w:szCs w:val="22"/>
              </w:rPr>
              <w:t xml:space="preserve">             </w:t>
            </w:r>
          </w:p>
        </w:tc>
      </w:tr>
    </w:tbl>
    <w:p w:rsidR="00CB3253" w:rsidRPr="00F8719D" w:rsidRDefault="00525F64" w:rsidP="00CB3253">
      <w:pPr>
        <w:pStyle w:val="StyleBoldCentered"/>
        <w:widowControl/>
        <w:rPr>
          <w:rFonts w:ascii="Times New Roman" w:hAnsi="Times New Roman"/>
          <w:color w:val="000000" w:themeColor="text1"/>
        </w:rPr>
      </w:pPr>
      <w:r w:rsidRPr="00F8719D">
        <w:rPr>
          <w:rFonts w:ascii="Times New Roman" w:hAnsi="Times New Roman"/>
          <w:color w:val="000000" w:themeColor="text1"/>
        </w:rPr>
        <w:t>Admonishment</w:t>
      </w:r>
      <w:r w:rsidR="00CB3253" w:rsidRPr="00F8719D">
        <w:rPr>
          <w:rFonts w:ascii="Times New Roman" w:hAnsi="Times New Roman"/>
          <w:color w:val="000000" w:themeColor="text1"/>
        </w:rPr>
        <w:t xml:space="preserve"> ORDER</w:t>
      </w:r>
    </w:p>
    <w:p w:rsidR="00CB3253" w:rsidRPr="00F8719D" w:rsidRDefault="00CB3253" w:rsidP="00CB3253">
      <w:pPr>
        <w:pStyle w:val="BodyText"/>
        <w:tabs>
          <w:tab w:val="left" w:pos="4680"/>
        </w:tabs>
        <w:jc w:val="center"/>
        <w:rPr>
          <w:color w:val="000000" w:themeColor="text1"/>
          <w:sz w:val="22"/>
          <w:szCs w:val="22"/>
          <w:u w:val="none"/>
        </w:rPr>
      </w:pPr>
    </w:p>
    <w:p w:rsidR="00CB3253" w:rsidRPr="00F8719D" w:rsidRDefault="0025694A" w:rsidP="00CB3253">
      <w:pPr>
        <w:tabs>
          <w:tab w:val="left" w:pos="720"/>
          <w:tab w:val="left" w:pos="5760"/>
        </w:tabs>
        <w:suppressAutoHyphens/>
        <w:spacing w:line="227" w:lineRule="auto"/>
        <w:rPr>
          <w:color w:val="000000" w:themeColor="text1"/>
          <w:spacing w:val="-2"/>
          <w:szCs w:val="22"/>
        </w:rPr>
      </w:pPr>
      <w:r>
        <w:rPr>
          <w:b/>
          <w:color w:val="000000" w:themeColor="text1"/>
          <w:spacing w:val="-2"/>
          <w:szCs w:val="22"/>
        </w:rPr>
        <w:t>Adopted:  May 16</w:t>
      </w:r>
      <w:r w:rsidR="00C52C52">
        <w:rPr>
          <w:b/>
          <w:color w:val="000000" w:themeColor="text1"/>
          <w:spacing w:val="-2"/>
          <w:szCs w:val="22"/>
        </w:rPr>
        <w:t>,</w:t>
      </w:r>
      <w:r w:rsidR="00255BD6">
        <w:rPr>
          <w:b/>
          <w:color w:val="000000" w:themeColor="text1"/>
          <w:spacing w:val="-2"/>
          <w:szCs w:val="22"/>
        </w:rPr>
        <w:t xml:space="preserve"> 2016</w:t>
      </w:r>
      <w:r w:rsidR="00255BD6">
        <w:rPr>
          <w:b/>
          <w:color w:val="000000" w:themeColor="text1"/>
          <w:spacing w:val="-2"/>
          <w:szCs w:val="22"/>
        </w:rPr>
        <w:tab/>
        <w:t xml:space="preserve">             </w:t>
      </w:r>
      <w:r w:rsidR="00255BD6">
        <w:rPr>
          <w:b/>
          <w:color w:val="000000" w:themeColor="text1"/>
          <w:spacing w:val="-2"/>
          <w:szCs w:val="22"/>
        </w:rPr>
        <w:tab/>
      </w:r>
      <w:r w:rsidR="005D2A55">
        <w:rPr>
          <w:b/>
          <w:color w:val="000000" w:themeColor="text1"/>
          <w:spacing w:val="-2"/>
          <w:szCs w:val="22"/>
        </w:rPr>
        <w:t xml:space="preserve">            </w:t>
      </w:r>
      <w:r w:rsidR="00255BD6">
        <w:rPr>
          <w:b/>
          <w:color w:val="000000" w:themeColor="text1"/>
          <w:spacing w:val="-2"/>
          <w:szCs w:val="22"/>
        </w:rPr>
        <w:t xml:space="preserve">Released:  May </w:t>
      </w:r>
      <w:r w:rsidR="005D2A55">
        <w:rPr>
          <w:b/>
          <w:color w:val="000000" w:themeColor="text1"/>
          <w:spacing w:val="-2"/>
          <w:szCs w:val="22"/>
        </w:rPr>
        <w:t>1</w:t>
      </w:r>
      <w:r w:rsidR="00255BD6">
        <w:rPr>
          <w:b/>
          <w:color w:val="000000" w:themeColor="text1"/>
          <w:spacing w:val="-2"/>
          <w:szCs w:val="22"/>
        </w:rPr>
        <w:t>6</w:t>
      </w:r>
      <w:r w:rsidR="00C52C52">
        <w:rPr>
          <w:b/>
          <w:color w:val="000000" w:themeColor="text1"/>
          <w:spacing w:val="-2"/>
          <w:szCs w:val="22"/>
        </w:rPr>
        <w:t>, 2016</w:t>
      </w:r>
    </w:p>
    <w:p w:rsidR="00CB3253" w:rsidRPr="00F8719D" w:rsidRDefault="00CB3253" w:rsidP="00CB3253">
      <w:pPr>
        <w:pStyle w:val="BodyText"/>
        <w:tabs>
          <w:tab w:val="left" w:pos="4680"/>
        </w:tabs>
        <w:jc w:val="center"/>
        <w:rPr>
          <w:color w:val="000000" w:themeColor="text1"/>
          <w:sz w:val="22"/>
          <w:szCs w:val="22"/>
          <w:u w:val="none"/>
        </w:rPr>
      </w:pPr>
    </w:p>
    <w:p w:rsidR="00E92283" w:rsidRPr="00F8719D" w:rsidRDefault="00DF3969" w:rsidP="00E92283">
      <w:pPr>
        <w:tabs>
          <w:tab w:val="left" w:pos="720"/>
          <w:tab w:val="left" w:pos="5760"/>
        </w:tabs>
        <w:suppressAutoHyphens/>
        <w:spacing w:line="227" w:lineRule="auto"/>
        <w:jc w:val="both"/>
        <w:rPr>
          <w:spacing w:val="-2"/>
          <w:szCs w:val="22"/>
        </w:rPr>
      </w:pPr>
      <w:r>
        <w:rPr>
          <w:spacing w:val="-2"/>
          <w:szCs w:val="22"/>
        </w:rPr>
        <w:t xml:space="preserve">By the </w:t>
      </w:r>
      <w:r w:rsidR="00DB7B33">
        <w:rPr>
          <w:spacing w:val="-2"/>
          <w:szCs w:val="22"/>
        </w:rPr>
        <w:t xml:space="preserve">Division </w:t>
      </w:r>
      <w:r w:rsidR="00BE4559">
        <w:rPr>
          <w:spacing w:val="-2"/>
          <w:szCs w:val="22"/>
        </w:rPr>
        <w:t>Chief, Telecommunications Consumers Division</w:t>
      </w:r>
      <w:r w:rsidR="00E92283" w:rsidRPr="00F8719D">
        <w:rPr>
          <w:spacing w:val="-2"/>
          <w:szCs w:val="22"/>
        </w:rPr>
        <w:t>:</w:t>
      </w:r>
    </w:p>
    <w:p w:rsidR="00CB3253" w:rsidRPr="00F8719D" w:rsidRDefault="00CB3253" w:rsidP="00CB3253">
      <w:pPr>
        <w:pStyle w:val="BodyText"/>
        <w:tabs>
          <w:tab w:val="left" w:pos="4680"/>
        </w:tabs>
        <w:rPr>
          <w:b w:val="0"/>
          <w:color w:val="000000" w:themeColor="text1"/>
          <w:sz w:val="22"/>
          <w:szCs w:val="22"/>
          <w:u w:val="none"/>
        </w:rPr>
      </w:pPr>
    </w:p>
    <w:p w:rsidR="00CB3253" w:rsidRPr="00F8719D" w:rsidRDefault="00CB3253" w:rsidP="00403A86">
      <w:pPr>
        <w:pStyle w:val="Heading1"/>
        <w:rPr>
          <w:color w:val="000000" w:themeColor="text1"/>
        </w:rPr>
      </w:pPr>
      <w:r w:rsidRPr="00F8719D">
        <w:rPr>
          <w:color w:val="000000" w:themeColor="text1"/>
        </w:rPr>
        <w:t>INTRODUCTION</w:t>
      </w:r>
    </w:p>
    <w:p w:rsidR="00CB3253" w:rsidRPr="00F8719D" w:rsidRDefault="00CB3253" w:rsidP="00255BD6">
      <w:pPr>
        <w:pStyle w:val="ParaNum"/>
        <w:widowControl/>
        <w:rPr>
          <w:color w:val="000000" w:themeColor="text1"/>
          <w:spacing w:val="-2"/>
        </w:rPr>
      </w:pPr>
      <w:r w:rsidRPr="00F8719D">
        <w:rPr>
          <w:color w:val="000000" w:themeColor="text1"/>
        </w:rPr>
        <w:t xml:space="preserve">We </w:t>
      </w:r>
      <w:r w:rsidR="00C52C52">
        <w:t>hereby admonish VEZA Telecom, Inc. (VEZA or Company) for failing to comply with a Federal Communications Commission (FCC or Commission) subpoena to produce certain information and documents</w:t>
      </w:r>
      <w:r w:rsidR="008379F2">
        <w:t>.  The document request was</w:t>
      </w:r>
      <w:r w:rsidR="00C52C52">
        <w:t xml:space="preserve"> </w:t>
      </w:r>
      <w:r w:rsidR="00C52C52">
        <w:rPr>
          <w:szCs w:val="22"/>
        </w:rPr>
        <w:t>in connection with an Enforcement Bureau (Bureau) investigation</w:t>
      </w:r>
      <w:r w:rsidR="00C52C52">
        <w:t xml:space="preserve"> into the Company’s compliance with the Communications Act </w:t>
      </w:r>
      <w:r w:rsidR="009C4D84">
        <w:t xml:space="preserve">(Act) </w:t>
      </w:r>
      <w:r w:rsidR="00C52C52">
        <w:t xml:space="preserve">and the Commission’s rules (Rules) regarding potential </w:t>
      </w:r>
      <w:r w:rsidR="009C4D84">
        <w:t xml:space="preserve">violations of </w:t>
      </w:r>
      <w:r w:rsidR="009316B9">
        <w:t>Sections 20</w:t>
      </w:r>
      <w:r w:rsidR="007E21DC">
        <w:t>1</w:t>
      </w:r>
      <w:r w:rsidR="009316B9">
        <w:t xml:space="preserve">(b) and 258 of </w:t>
      </w:r>
      <w:r w:rsidR="009C4D84">
        <w:t xml:space="preserve">the </w:t>
      </w:r>
      <w:r w:rsidR="009316B9">
        <w:t>Act and</w:t>
      </w:r>
      <w:r w:rsidR="00B81A00">
        <w:t xml:space="preserve"> Section 64.1120 </w:t>
      </w:r>
      <w:r w:rsidR="009316B9">
        <w:t>of the Rules regarding</w:t>
      </w:r>
      <w:r w:rsidR="00C52C52">
        <w:t xml:space="preserve"> slamming and cramming.</w:t>
      </w:r>
      <w:r w:rsidR="00A2151C" w:rsidRPr="00F8719D">
        <w:t xml:space="preserve"> </w:t>
      </w:r>
      <w:r w:rsidR="00C52C52">
        <w:t xml:space="preserve"> </w:t>
      </w:r>
      <w:r w:rsidR="000C1022">
        <w:t>VEZA’s failure</w:t>
      </w:r>
      <w:r w:rsidR="00C52C52">
        <w:t xml:space="preserve"> to respond properly to </w:t>
      </w:r>
      <w:r w:rsidR="000C1022">
        <w:t xml:space="preserve">a </w:t>
      </w:r>
      <w:r w:rsidR="00C52C52">
        <w:t xml:space="preserve">Commission order exhibits contempt for the Commission’s authority and threatens to compromise the Commission’s ability to investigate violations of </w:t>
      </w:r>
      <w:r w:rsidR="009316B9">
        <w:t>law</w:t>
      </w:r>
      <w:r w:rsidR="00C52C52">
        <w:t>.</w:t>
      </w:r>
      <w:r w:rsidR="004F470E">
        <w:t xml:space="preserve">  In light of VEZA’s claim that it is no longer in business and that it </w:t>
      </w:r>
      <w:r w:rsidR="007A02D8">
        <w:t xml:space="preserve">has </w:t>
      </w:r>
      <w:r w:rsidR="004F470E">
        <w:t xml:space="preserve">surrendered its </w:t>
      </w:r>
      <w:r w:rsidR="007A02D8">
        <w:t xml:space="preserve">International Section 214 authorization, </w:t>
      </w:r>
      <w:r w:rsidR="009316B9">
        <w:t xml:space="preserve">however, </w:t>
      </w:r>
      <w:r w:rsidR="007A02D8">
        <w:t>w</w:t>
      </w:r>
      <w:r w:rsidR="00DF3969">
        <w:t xml:space="preserve">e </w:t>
      </w:r>
      <w:r w:rsidR="009316B9">
        <w:t>take this step of admonishing VEZA rather than imposing</w:t>
      </w:r>
      <w:r w:rsidR="00DF3969">
        <w:t xml:space="preserve"> a forfeiture</w:t>
      </w:r>
      <w:r w:rsidRPr="00F8719D">
        <w:rPr>
          <w:color w:val="000000" w:themeColor="text1"/>
        </w:rPr>
        <w:t xml:space="preserve">.  </w:t>
      </w:r>
    </w:p>
    <w:p w:rsidR="00A2151C" w:rsidRPr="00F8719D" w:rsidRDefault="00A2151C" w:rsidP="00403A86">
      <w:pPr>
        <w:pStyle w:val="Heading1"/>
        <w:rPr>
          <w:color w:val="000000" w:themeColor="text1"/>
          <w:spacing w:val="-2"/>
        </w:rPr>
      </w:pPr>
      <w:r w:rsidRPr="00F8719D">
        <w:rPr>
          <w:color w:val="000000" w:themeColor="text1"/>
        </w:rPr>
        <w:t>BACKGROUND</w:t>
      </w:r>
    </w:p>
    <w:p w:rsidR="007A02D8" w:rsidRDefault="007A02D8" w:rsidP="00255BD6">
      <w:pPr>
        <w:pStyle w:val="ParaNum"/>
        <w:widowControl/>
      </w:pPr>
      <w:r>
        <w:t xml:space="preserve">VEZA </w:t>
      </w:r>
      <w:r w:rsidRPr="000C50F5">
        <w:t>is a</w:t>
      </w:r>
      <w:r>
        <w:t xml:space="preserve"> non-facilities based interexchange carrier that was</w:t>
      </w:r>
      <w:r w:rsidRPr="000C50F5">
        <w:t xml:space="preserve"> authorized to provide </w:t>
      </w:r>
      <w:r>
        <w:t xml:space="preserve">domestic and international long distance </w:t>
      </w:r>
      <w:r w:rsidRPr="000C50F5">
        <w:t>telecommunications service</w:t>
      </w:r>
      <w:r>
        <w:t>.</w:t>
      </w:r>
      <w:r>
        <w:rPr>
          <w:rStyle w:val="FootnoteReference"/>
        </w:rPr>
        <w:footnoteReference w:id="2"/>
      </w:r>
      <w:r>
        <w:t xml:space="preserve">  When</w:t>
      </w:r>
      <w:r w:rsidRPr="0087636F">
        <w:t xml:space="preserve"> the Bureau iss</w:t>
      </w:r>
      <w:r>
        <w:t>ued the subpoena to VEZA on June 8, 2015, the Company had</w:t>
      </w:r>
      <w:r w:rsidRPr="0087636F">
        <w:t xml:space="preserve"> authorization </w:t>
      </w:r>
      <w:r>
        <w:t xml:space="preserve">under Section 214 of the Communications Act of 1934, as amended (Act), </w:t>
      </w:r>
      <w:r w:rsidRPr="0087636F">
        <w:t xml:space="preserve">to provide </w:t>
      </w:r>
      <w:r>
        <w:t>resold domestic</w:t>
      </w:r>
      <w:r w:rsidRPr="0087636F">
        <w:t xml:space="preserve"> and international telecommunications services.</w:t>
      </w:r>
      <w:r>
        <w:rPr>
          <w:rStyle w:val="FootnoteReference"/>
        </w:rPr>
        <w:footnoteReference w:id="3"/>
      </w:r>
      <w:r w:rsidRPr="0087636F">
        <w:t xml:space="preserve">  </w:t>
      </w:r>
      <w:r>
        <w:t>On July 6, 2015, VEZA filed an application with the Commission requesting authority to discontinue domestic telecommunications services.</w:t>
      </w:r>
      <w:r>
        <w:rPr>
          <w:rStyle w:val="FootnoteReference"/>
        </w:rPr>
        <w:footnoteReference w:id="4"/>
      </w:r>
      <w:r>
        <w:t xml:space="preserve">  On August 13, 2015, VEZA notified the Commission that it was surrendering its International Section 214 authorization.</w:t>
      </w:r>
      <w:r>
        <w:rPr>
          <w:rStyle w:val="FootnoteReference"/>
        </w:rPr>
        <w:footnoteReference w:id="5"/>
      </w:r>
    </w:p>
    <w:p w:rsidR="007E21DC" w:rsidRDefault="007A02D8" w:rsidP="00255BD6">
      <w:pPr>
        <w:pStyle w:val="ParaNum"/>
        <w:widowControl/>
      </w:pPr>
      <w:r>
        <w:lastRenderedPageBreak/>
        <w:t>VEZA’s sole shareholder and President is Maria Alfieri.</w:t>
      </w:r>
      <w:r>
        <w:rPr>
          <w:rStyle w:val="FootnoteReference"/>
        </w:rPr>
        <w:footnoteReference w:id="6"/>
      </w:r>
      <w:r>
        <w:t xml:space="preserve">  </w:t>
      </w:r>
      <w:r w:rsidRPr="000C50F5">
        <w:t xml:space="preserve">The </w:t>
      </w:r>
      <w:r>
        <w:t>Bureau initiated an investigation of VEZA b</w:t>
      </w:r>
      <w:r w:rsidRPr="000C50F5">
        <w:t xml:space="preserve">ased on complaints </w:t>
      </w:r>
      <w:r>
        <w:t xml:space="preserve">from consumers alleging </w:t>
      </w:r>
      <w:r w:rsidRPr="000C50F5">
        <w:t xml:space="preserve">that </w:t>
      </w:r>
      <w:r>
        <w:t>VEZA c</w:t>
      </w:r>
      <w:r w:rsidRPr="000C50F5">
        <w:t xml:space="preserve">harged </w:t>
      </w:r>
      <w:r>
        <w:t>them</w:t>
      </w:r>
      <w:r w:rsidRPr="000C50F5">
        <w:t xml:space="preserve"> for long distance service</w:t>
      </w:r>
      <w:r>
        <w:t xml:space="preserve"> without their authorization.  The </w:t>
      </w:r>
      <w:r w:rsidRPr="000C50F5">
        <w:t xml:space="preserve">Bureau issued a </w:t>
      </w:r>
      <w:r>
        <w:t xml:space="preserve">subpoena </w:t>
      </w:r>
      <w:r w:rsidRPr="000C50F5">
        <w:t>to the Company</w:t>
      </w:r>
      <w:r>
        <w:t xml:space="preserve"> seeking</w:t>
      </w:r>
      <w:r w:rsidRPr="000C50F5">
        <w:t xml:space="preserve"> information </w:t>
      </w:r>
      <w:r w:rsidR="008963E7">
        <w:t xml:space="preserve">and documents </w:t>
      </w:r>
      <w:r w:rsidRPr="000C50F5">
        <w:t xml:space="preserve">about </w:t>
      </w:r>
      <w:r>
        <w:t>VEZA’</w:t>
      </w:r>
      <w:r w:rsidRPr="000C50F5">
        <w:t xml:space="preserve">s </w:t>
      </w:r>
      <w:r>
        <w:t xml:space="preserve">business, including its affiliations and </w:t>
      </w:r>
      <w:r w:rsidRPr="000C50F5">
        <w:t xml:space="preserve">practices </w:t>
      </w:r>
      <w:r>
        <w:t>related to the provision of telecommunications services.</w:t>
      </w:r>
      <w:r>
        <w:rPr>
          <w:rStyle w:val="FootnoteReference"/>
        </w:rPr>
        <w:footnoteReference w:id="7"/>
      </w:r>
      <w:r>
        <w:t xml:space="preserve">  The subpoena also sought information </w:t>
      </w:r>
      <w:r w:rsidR="008963E7">
        <w:t xml:space="preserve">and documents </w:t>
      </w:r>
      <w:r>
        <w:t xml:space="preserve">related to VEZA’s submission of carrier change requests and charges it placed on consumers’ telephone bills.  </w:t>
      </w:r>
      <w:r w:rsidR="00785FC5">
        <w:t>T</w:t>
      </w:r>
      <w:r>
        <w:t xml:space="preserve">he subpoena </w:t>
      </w:r>
      <w:r w:rsidR="00785FC5">
        <w:t xml:space="preserve">ordered </w:t>
      </w:r>
      <w:r w:rsidRPr="000C50F5">
        <w:t>the Company to produc</w:t>
      </w:r>
      <w:r>
        <w:t>e consumer complaints and evidence that it had complied with the Commission’s verification procedures prior to switching consumers’ long distance serv</w:t>
      </w:r>
      <w:r w:rsidR="007E21DC">
        <w:t>ice providers.</w:t>
      </w:r>
    </w:p>
    <w:p w:rsidR="00B95C4E" w:rsidRPr="007E21DC" w:rsidRDefault="007E21DC" w:rsidP="00255BD6">
      <w:pPr>
        <w:pStyle w:val="ParaNum"/>
        <w:widowControl/>
      </w:pPr>
      <w:r>
        <w:t>V</w:t>
      </w:r>
      <w:r w:rsidR="007A02D8">
        <w:t xml:space="preserve">EZA’s response to the subpoena was due July 8, 2015.  Through counsel, VEZA requested a 30-day extension of time to respond.  The Bureau granted this request and extended the response due date to August </w:t>
      </w:r>
      <w:r w:rsidR="007A02D8" w:rsidRPr="00B04864">
        <w:t>10</w:t>
      </w:r>
      <w:r w:rsidR="007A02D8">
        <w:t>, 2015.</w:t>
      </w:r>
      <w:r w:rsidR="007A02D8">
        <w:rPr>
          <w:rStyle w:val="FootnoteReference"/>
        </w:rPr>
        <w:footnoteReference w:id="8"/>
      </w:r>
      <w:r w:rsidR="007A02D8">
        <w:t xml:space="preserve">  On August 10, 2015, VEZA responded to the subpoena, objecting to most of the requests and otherwise providing </w:t>
      </w:r>
      <w:r w:rsidR="00651163">
        <w:t xml:space="preserve">no answer or </w:t>
      </w:r>
      <w:r w:rsidR="007A02D8">
        <w:t>incomplete answers to the inquiries.</w:t>
      </w:r>
      <w:r w:rsidR="007A02D8">
        <w:rPr>
          <w:rStyle w:val="FootnoteReference"/>
        </w:rPr>
        <w:footnoteReference w:id="9"/>
      </w:r>
      <w:r w:rsidR="007A02D8">
        <w:t xml:space="preserve">  In addition, VEZA refused to provide a sworn statement attesting to the truth and accuracy of its</w:t>
      </w:r>
      <w:r w:rsidR="001565E0">
        <w:t xml:space="preserve"> </w:t>
      </w:r>
      <w:r w:rsidR="00660F41">
        <w:t>responses</w:t>
      </w:r>
      <w:r w:rsidR="007A02D8">
        <w:t>.</w:t>
      </w:r>
      <w:r w:rsidR="007A02D8">
        <w:rPr>
          <w:rStyle w:val="FootnoteReference"/>
        </w:rPr>
        <w:footnoteReference w:id="10"/>
      </w:r>
      <w:r w:rsidR="007A02D8">
        <w:t xml:space="preserve">  </w:t>
      </w:r>
      <w:r w:rsidR="00660F41">
        <w:t>T</w:t>
      </w:r>
      <w:r w:rsidR="007A02D8">
        <w:t>he Bureau sent VEZA a letter on August 28, 2015, advising the Company that its response was insufficient and directing it to provide full and complete responses to the subpoena within seven days.</w:t>
      </w:r>
      <w:r w:rsidR="007A02D8">
        <w:rPr>
          <w:rStyle w:val="FootnoteReference"/>
        </w:rPr>
        <w:footnoteReference w:id="11"/>
      </w:r>
      <w:r w:rsidR="007A02D8">
        <w:t xml:space="preserve">  On September 4, 2015, VEZA submitted a supplemental response, in which it stated that the Company “no longer provides telecommunications service, it has permanently closed its office, and it no longer has access to the resources, funds, computers and records that would enable it to provide more documents and information in response to the subpoena.”</w:t>
      </w:r>
      <w:r w:rsidR="007A02D8">
        <w:rPr>
          <w:rStyle w:val="FootnoteReference"/>
        </w:rPr>
        <w:footnoteReference w:id="12"/>
      </w:r>
      <w:r w:rsidR="007A02D8">
        <w:t>  In this supplemental response, VEZA referred to its filings with the Commission seeking authority to discontinue service,</w:t>
      </w:r>
      <w:r w:rsidR="00B95C4E">
        <w:t xml:space="preserve"> but did not</w:t>
      </w:r>
      <w:r w:rsidR="007A02D8">
        <w:t xml:space="preserve"> answer questions required by the subpoena. </w:t>
      </w:r>
    </w:p>
    <w:p w:rsidR="00A2151C" w:rsidRPr="00F8719D" w:rsidRDefault="00A2151C" w:rsidP="00403A86">
      <w:pPr>
        <w:pStyle w:val="Heading1"/>
        <w:rPr>
          <w:color w:val="000000" w:themeColor="text1"/>
        </w:rPr>
      </w:pPr>
      <w:r w:rsidRPr="00F8719D">
        <w:rPr>
          <w:color w:val="000000" w:themeColor="text1"/>
        </w:rPr>
        <w:t>DISCUSSION</w:t>
      </w:r>
    </w:p>
    <w:p w:rsidR="0092312C" w:rsidRDefault="0092312C" w:rsidP="00255BD6">
      <w:pPr>
        <w:pStyle w:val="ParaNum"/>
        <w:widowControl/>
      </w:pPr>
      <w:r>
        <w:t xml:space="preserve">We find that VEZA violated a Commission order when it failed to fully respond to a Commission subpoena to produce certain information and documents </w:t>
      </w:r>
      <w:r>
        <w:rPr>
          <w:szCs w:val="22"/>
        </w:rPr>
        <w:t>in connection with the Bureau’s investigation</w:t>
      </w:r>
      <w:r>
        <w:t xml:space="preserve"> of VEZA for potential </w:t>
      </w:r>
      <w:r w:rsidR="009316B9">
        <w:t>violations of the Act and Rules related to</w:t>
      </w:r>
      <w:r>
        <w:t xml:space="preserve"> slamming and cramming.</w:t>
      </w:r>
      <w:r>
        <w:rPr>
          <w:rStyle w:val="FootnoteReference"/>
        </w:rPr>
        <w:footnoteReference w:id="13"/>
      </w:r>
      <w:r>
        <w:t xml:space="preserve">  We also find that VEZA failed to submit a sworn statement with its response, attesting to the truth and accuracy of the information provided.</w:t>
      </w:r>
    </w:p>
    <w:p w:rsidR="0092312C" w:rsidRDefault="0092312C" w:rsidP="00255BD6">
      <w:pPr>
        <w:pStyle w:val="ParaNum"/>
        <w:widowControl/>
      </w:pPr>
      <w:r>
        <w:lastRenderedPageBreak/>
        <w:t>Sections 218, 403, and 409(e) of the Act give the Commission broad power to compel carriers such as VEZA to provide information and documents in connection with Commission investigations into a carrier’s compliance with the Act and Rules.  Section 218 authorizes the Commission to “obtain from . . . carriers full and complete information necessary to enable the Commission to perform the duties and carry out the objects for which it was created.”</w:t>
      </w:r>
      <w:r>
        <w:rPr>
          <w:rStyle w:val="FootnoteReference"/>
        </w:rPr>
        <w:footnoteReference w:id="14"/>
      </w:r>
      <w:r>
        <w:t xml:space="preserve">  Section 403 states that “[t]he Commission shall have the same powers and authority to proceed with any inquiry . . . including the power to make and enforce any order or orders in the case, or relating to the matter or thing concerning which the inquiry is had.”</w:t>
      </w:r>
      <w:r>
        <w:rPr>
          <w:rStyle w:val="FootnoteReference"/>
        </w:rPr>
        <w:footnoteReference w:id="15"/>
      </w:r>
      <w:r>
        <w:t xml:space="preserve">  Section 409(e) provides that the Commission “shall have the power to require by subpoena the attendance and testimony of witnesses and the production of all books, papers, schedules of charges, contracts, agreements, and documents relating to any matter under investigation.”</w:t>
      </w:r>
      <w:r>
        <w:rPr>
          <w:rStyle w:val="FootnoteReference"/>
        </w:rPr>
        <w:footnoteReference w:id="16"/>
      </w:r>
      <w:r>
        <w:t xml:space="preserve">  Finally, the Rules authorize the Bureau to issue non-hearing related subpoenas for any records relevant to an investigation.</w:t>
      </w:r>
      <w:r>
        <w:rPr>
          <w:rStyle w:val="FootnoteReference"/>
        </w:rPr>
        <w:footnoteReference w:id="17"/>
      </w:r>
    </w:p>
    <w:p w:rsidR="0092312C" w:rsidRDefault="0092312C" w:rsidP="00255BD6">
      <w:pPr>
        <w:pStyle w:val="ParaNum"/>
        <w:widowControl/>
      </w:pPr>
      <w:r>
        <w:t>The subpoena directed to VEZA was a legal order of the Commission to produce the requested documents and information.</w:t>
      </w:r>
      <w:r>
        <w:rPr>
          <w:rStyle w:val="FootnoteReference"/>
        </w:rPr>
        <w:footnoteReference w:id="18"/>
      </w:r>
      <w:r>
        <w:t xml:space="preserve">  VEZA failed to provide answers and documents for most of the requests in the subpoena.</w:t>
      </w:r>
      <w:r>
        <w:rPr>
          <w:rStyle w:val="FootnoteReference"/>
        </w:rPr>
        <w:footnoteReference w:id="19"/>
      </w:r>
      <w:r>
        <w:t xml:space="preserve">  For example, VEZA refused to provide information about many of the matters pertaining to the Bureau’s investigation, including information about billing, credits, refunds, telemarketers, third party verifiers, dates of carrier change requests, and consumer complaints regarding unauthorized carrier changes.</w:t>
      </w:r>
      <w:r>
        <w:rPr>
          <w:rStyle w:val="FootnoteReference"/>
        </w:rPr>
        <w:footnoteReference w:id="20"/>
      </w:r>
      <w:r>
        <w:t xml:space="preserve">  VEZA also failed to provide any evidence of authorized carrier changes for certain identified complainants.</w:t>
      </w:r>
      <w:r>
        <w:rPr>
          <w:rStyle w:val="FootnoteReference"/>
        </w:rPr>
        <w:footnoteReference w:id="21"/>
      </w:r>
      <w:r>
        <w:t xml:space="preserve">  Moreover, VEZA objected to and otherwise refused to answer Inquiries and Document Request nos. 12-14, 16, 18-23, 26, 31-37, and 39-43.  In a letter notifying VEZA that its response was insufficient, the Bureau identified the specific questions that VEZA did not answer fully or did not answer at all.</w:t>
      </w:r>
      <w:r>
        <w:rPr>
          <w:rStyle w:val="FootnoteReference"/>
        </w:rPr>
        <w:footnoteReference w:id="22"/>
      </w:r>
      <w:r>
        <w:t xml:space="preserve">  The Bureau also informed VEZA that the Company had failed to provide the required affidavit or declaration attesting to the truth and accuracy of the information provided.</w:t>
      </w:r>
      <w:r>
        <w:rPr>
          <w:rStyle w:val="FootnoteReference"/>
        </w:rPr>
        <w:footnoteReference w:id="23"/>
      </w:r>
      <w:r>
        <w:t xml:space="preserve">   </w:t>
      </w:r>
    </w:p>
    <w:p w:rsidR="0092312C" w:rsidRDefault="0092312C" w:rsidP="00255BD6">
      <w:pPr>
        <w:pStyle w:val="ParaNum"/>
        <w:widowControl/>
      </w:pPr>
      <w:r>
        <w:t xml:space="preserve">We find </w:t>
      </w:r>
      <w:r w:rsidR="001565E0">
        <w:t xml:space="preserve">that </w:t>
      </w:r>
      <w:r>
        <w:t xml:space="preserve">VEZA’s failure to provide the required information and documents and subsequent assertion that it was terminating business </w:t>
      </w:r>
      <w:r w:rsidR="001565E0">
        <w:t>was</w:t>
      </w:r>
      <w:r>
        <w:t xml:space="preserve"> </w:t>
      </w:r>
      <w:r w:rsidR="001565E0">
        <w:t>an effort</w:t>
      </w:r>
      <w:r>
        <w:t xml:space="preserve"> to thwart the Bureau’s investigation.  At the time VEZA received the Bureau’s subpoena on June 12, 2015,</w:t>
      </w:r>
      <w:r>
        <w:rPr>
          <w:rStyle w:val="FootnoteReference"/>
        </w:rPr>
        <w:footnoteReference w:id="24"/>
      </w:r>
      <w:r>
        <w:t xml:space="preserve"> the Company was providing telecommunications services under the Commission’s authority.</w:t>
      </w:r>
      <w:r>
        <w:rPr>
          <w:rStyle w:val="FootnoteReference"/>
        </w:rPr>
        <w:footnoteReference w:id="25"/>
      </w:r>
      <w:r>
        <w:t xml:space="preserve">  </w:t>
      </w:r>
      <w:r w:rsidR="001565E0">
        <w:t xml:space="preserve">VEZA requested and was granted an extension of time to respond to the subpoena.  </w:t>
      </w:r>
      <w:r>
        <w:t>Shortly thereafter, but prior to responding to the subpoena, VEZA filed a notice of discontinuance of service with the Commission and then surrendered its authorization under Section 214 of the Act.</w:t>
      </w:r>
      <w:r>
        <w:rPr>
          <w:rStyle w:val="FootnoteReference"/>
        </w:rPr>
        <w:footnoteReference w:id="26"/>
      </w:r>
      <w:r>
        <w:t xml:space="preserve">  </w:t>
      </w:r>
      <w:r w:rsidR="00B335B9">
        <w:t xml:space="preserve">At the time it filed its notice of discontinuance, VEZA knew it was being investigated by the Bureau for possible violations of the Act and Rules, however, </w:t>
      </w:r>
      <w:r w:rsidR="00C52E9F">
        <w:t>it failed to</w:t>
      </w:r>
      <w:r w:rsidR="00B335B9">
        <w:t xml:space="preserve"> alert the Bureau or provide the Bureau with a copy of the notice</w:t>
      </w:r>
      <w:r w:rsidR="00572694">
        <w:t xml:space="preserve"> at that time</w:t>
      </w:r>
      <w:r w:rsidR="00B335B9">
        <w:t xml:space="preserve">.  Further, </w:t>
      </w:r>
      <w:r>
        <w:t xml:space="preserve">VEZA </w:t>
      </w:r>
      <w:r w:rsidR="00B335B9">
        <w:t xml:space="preserve">filed its </w:t>
      </w:r>
      <w:r>
        <w:t>Subpoena Response</w:t>
      </w:r>
      <w:r w:rsidR="00B335B9">
        <w:t xml:space="preserve"> after filing its notice of discontinuance and failed to mention the discontinuance and</w:t>
      </w:r>
      <w:r>
        <w:t xml:space="preserve"> </w:t>
      </w:r>
      <w:r w:rsidR="00572694">
        <w:t xml:space="preserve">its </w:t>
      </w:r>
      <w:r>
        <w:t>plans to terminate business</w:t>
      </w:r>
      <w:r w:rsidR="00B335B9">
        <w:t xml:space="preserve"> in its response</w:t>
      </w:r>
      <w:r>
        <w:t>.  Not until after the Bureau warned VEZA that it considered the Company’s Response insufficient did VEZA claim it had terminated service and no longer had access to the “resources, funds, computers and records” necessary to enable it to respond more fully to the subpoena.</w:t>
      </w:r>
      <w:r>
        <w:rPr>
          <w:rStyle w:val="FootnoteReference"/>
        </w:rPr>
        <w:footnoteReference w:id="27"/>
      </w:r>
      <w:r>
        <w:t xml:space="preserve">  VEZA did not provide any explanation for its closure and did not give any details as to why, so soon after receipt of the Bureau’s subpoena, it no longer had access to the resources, funds, computers, and records necessary to respond.   </w:t>
      </w:r>
      <w:r w:rsidR="00356D15">
        <w:t>VEZA’s failure to</w:t>
      </w:r>
      <w:r w:rsidR="001E5EA0">
        <w:t xml:space="preserve"> re</w:t>
      </w:r>
      <w:r w:rsidR="00356D15">
        <w:t xml:space="preserve">tain </w:t>
      </w:r>
      <w:r w:rsidR="001E5EA0">
        <w:t xml:space="preserve">such </w:t>
      </w:r>
      <w:r w:rsidR="00356D15">
        <w:t xml:space="preserve">records </w:t>
      </w:r>
      <w:r w:rsidR="00572694">
        <w:t>constitutes a separate violation of</w:t>
      </w:r>
      <w:r w:rsidR="00356D15">
        <w:t xml:space="preserve"> the</w:t>
      </w:r>
      <w:r w:rsidR="00353A99">
        <w:t xml:space="preserve"> Commission’s order.</w:t>
      </w:r>
      <w:r w:rsidR="00353A99">
        <w:rPr>
          <w:rStyle w:val="FootnoteReference"/>
        </w:rPr>
        <w:footnoteReference w:id="28"/>
      </w:r>
      <w:r w:rsidR="00356D15">
        <w:t xml:space="preserve"> </w:t>
      </w:r>
    </w:p>
    <w:p w:rsidR="0092312C" w:rsidRPr="00846F8D" w:rsidRDefault="0092312C" w:rsidP="00255BD6">
      <w:pPr>
        <w:pStyle w:val="ParaNum"/>
        <w:widowControl/>
      </w:pPr>
      <w:r>
        <w:t xml:space="preserve">In addition, VEZA failed to properly </w:t>
      </w:r>
      <w:r w:rsidR="00922BEA">
        <w:t>attest</w:t>
      </w:r>
      <w:r w:rsidR="00356D15">
        <w:t xml:space="preserve"> to</w:t>
      </w:r>
      <w:r>
        <w:t xml:space="preserve"> the truth of the partial responses that were submitted.  The subpoena provided:  “</w:t>
      </w:r>
      <w:r w:rsidRPr="009210A7">
        <w:rPr>
          <w:szCs w:val="22"/>
        </w:rPr>
        <w:t>If you choose to answer the inquiries in writing, we direct you to support your written responses with an affidavit or declaration under penalty of perjury, signed and dated by you, verifying the truth and accuracy of the information therein and that all of the information requested by this Subpoena in your possession</w:t>
      </w:r>
      <w:r>
        <w:rPr>
          <w:szCs w:val="22"/>
        </w:rPr>
        <w:t xml:space="preserve">, </w:t>
      </w:r>
      <w:r w:rsidRPr="00C97B28">
        <w:rPr>
          <w:szCs w:val="22"/>
        </w:rPr>
        <w:t xml:space="preserve">custody, control, or knowledge </w:t>
      </w:r>
      <w:r>
        <w:rPr>
          <w:szCs w:val="22"/>
        </w:rPr>
        <w:t>has been produced</w:t>
      </w:r>
      <w:r w:rsidRPr="009210A7">
        <w:rPr>
          <w:szCs w:val="22"/>
        </w:rPr>
        <w:t>.”</w:t>
      </w:r>
      <w:r>
        <w:rPr>
          <w:rStyle w:val="FootnoteReference"/>
          <w:szCs w:val="22"/>
        </w:rPr>
        <w:footnoteReference w:id="29"/>
      </w:r>
      <w:r w:rsidRPr="009210A7">
        <w:rPr>
          <w:szCs w:val="22"/>
        </w:rPr>
        <w:t xml:space="preserve"> </w:t>
      </w:r>
      <w:r>
        <w:rPr>
          <w:szCs w:val="22"/>
        </w:rPr>
        <w:t xml:space="preserve"> VEZA</w:t>
      </w:r>
      <w:r w:rsidRPr="009210A7">
        <w:rPr>
          <w:szCs w:val="22"/>
        </w:rPr>
        <w:t xml:space="preserve"> </w:t>
      </w:r>
      <w:r>
        <w:rPr>
          <w:szCs w:val="22"/>
        </w:rPr>
        <w:t xml:space="preserve">elected to answer the inquiries in writing but refused </w:t>
      </w:r>
      <w:r w:rsidRPr="009210A7">
        <w:rPr>
          <w:szCs w:val="22"/>
        </w:rPr>
        <w:t xml:space="preserve">to provide </w:t>
      </w:r>
      <w:r>
        <w:rPr>
          <w:szCs w:val="22"/>
        </w:rPr>
        <w:t xml:space="preserve">the requisite </w:t>
      </w:r>
      <w:r w:rsidRPr="009210A7">
        <w:rPr>
          <w:szCs w:val="22"/>
        </w:rPr>
        <w:t>affidavit or declaration verifying the truth and accuracy of th</w:t>
      </w:r>
      <w:r>
        <w:rPr>
          <w:szCs w:val="22"/>
        </w:rPr>
        <w:t>e information that was provided</w:t>
      </w:r>
      <w:r w:rsidR="00922BEA">
        <w:rPr>
          <w:szCs w:val="22"/>
        </w:rPr>
        <w:t>.  In blatant contradiction</w:t>
      </w:r>
      <w:r w:rsidR="00572694">
        <w:rPr>
          <w:szCs w:val="22"/>
        </w:rPr>
        <w:t xml:space="preserve"> to the plain language of the s</w:t>
      </w:r>
      <w:r w:rsidR="00922BEA">
        <w:rPr>
          <w:szCs w:val="22"/>
        </w:rPr>
        <w:t xml:space="preserve">ubpoena, VEZA gave as its reason for failing to attest to the truth of </w:t>
      </w:r>
      <w:r w:rsidR="00356D15">
        <w:rPr>
          <w:szCs w:val="22"/>
        </w:rPr>
        <w:t>its</w:t>
      </w:r>
      <w:r w:rsidR="00922BEA">
        <w:rPr>
          <w:szCs w:val="22"/>
        </w:rPr>
        <w:t xml:space="preserve"> responses</w:t>
      </w:r>
      <w:r>
        <w:rPr>
          <w:szCs w:val="22"/>
        </w:rPr>
        <w:t>, stating that it “is unaware of any obligation to certify VEZA’s responses in the requested format.”</w:t>
      </w:r>
      <w:r>
        <w:rPr>
          <w:rStyle w:val="FootnoteReference"/>
          <w:szCs w:val="22"/>
        </w:rPr>
        <w:footnoteReference w:id="30"/>
      </w:r>
    </w:p>
    <w:p w:rsidR="006B1A40" w:rsidRDefault="0092312C" w:rsidP="00255BD6">
      <w:pPr>
        <w:pStyle w:val="ParaNum"/>
        <w:widowControl/>
      </w:pPr>
      <w:r>
        <w:t>We disagree with VEZA that it was not obligated to provide a sworn statement with its responses.  When the Commission conducts an investigation, the subject of the investigation may be the exclusive source of information on which the Commission must ultimately rely to determine the subject’s compliance</w:t>
      </w:r>
      <w:r w:rsidR="0019205D">
        <w:t xml:space="preserve">.  </w:t>
      </w:r>
      <w:r>
        <w:t>These types of verifications can be necessary to the Commission’s investigative function,</w:t>
      </w:r>
      <w:r>
        <w:rPr>
          <w:rStyle w:val="FootnoteReference"/>
        </w:rPr>
        <w:footnoteReference w:id="31"/>
      </w:r>
      <w:r>
        <w:t xml:space="preserve"> and the requirement of such verification here is within the category of acts and orders envisioned as necessary under Section 409(e) of the Act.</w:t>
      </w:r>
      <w:r>
        <w:rPr>
          <w:rStyle w:val="FootnoteReference"/>
        </w:rPr>
        <w:footnoteReference w:id="32"/>
      </w:r>
    </w:p>
    <w:p w:rsidR="00A2151C" w:rsidRPr="006B1A40" w:rsidRDefault="006B1A40" w:rsidP="00255BD6">
      <w:pPr>
        <w:pStyle w:val="ParaNum"/>
        <w:widowControl/>
      </w:pPr>
      <w:r>
        <w:t>B</w:t>
      </w:r>
      <w:r w:rsidR="0092312C" w:rsidRPr="00EA1A1A">
        <w:t>ased on the forgoing, we find that VEZA’s failure to provide all of the information and</w:t>
      </w:r>
      <w:r w:rsidR="0092312C">
        <w:t xml:space="preserve"> documents sought, including the requisite sworn statement—especially after requesting and receiving an extension of time and receiving the Bureau’s notice that the initial response was insufficient—constitutes a violation of a Commission order. </w:t>
      </w:r>
    </w:p>
    <w:p w:rsidR="002302F1" w:rsidRPr="00F8719D" w:rsidRDefault="002302F1" w:rsidP="00403A86">
      <w:pPr>
        <w:pStyle w:val="Heading1"/>
        <w:rPr>
          <w:spacing w:val="-2"/>
        </w:rPr>
      </w:pPr>
      <w:r w:rsidRPr="00F8719D">
        <w:rPr>
          <w:spacing w:val="-2"/>
        </w:rPr>
        <w:t>Conclusion</w:t>
      </w:r>
    </w:p>
    <w:p w:rsidR="002302F1" w:rsidRPr="00F8719D" w:rsidRDefault="00EA1A1A" w:rsidP="00255BD6">
      <w:pPr>
        <w:pStyle w:val="ParaNum"/>
        <w:widowControl/>
      </w:pPr>
      <w:r>
        <w:t>We have determined that VEZA</w:t>
      </w:r>
      <w:r w:rsidR="007462B7" w:rsidRPr="00F8719D">
        <w:t xml:space="preserve"> </w:t>
      </w:r>
      <w:r w:rsidR="00A0350D" w:rsidRPr="00F8719D">
        <w:t xml:space="preserve">violated </w:t>
      </w:r>
      <w:r>
        <w:t>a Commission order to produce certain information and documents</w:t>
      </w:r>
      <w:r w:rsidR="007B456D">
        <w:t>, accompanied by a sworn statement,</w:t>
      </w:r>
      <w:r>
        <w:t xml:space="preserve"> in connection with a Bureau investigation</w:t>
      </w:r>
      <w:r w:rsidR="003210C6" w:rsidRPr="00F8719D">
        <w:rPr>
          <w:szCs w:val="22"/>
        </w:rPr>
        <w:t xml:space="preserve">.  </w:t>
      </w:r>
      <w:r>
        <w:rPr>
          <w:szCs w:val="22"/>
        </w:rPr>
        <w:t xml:space="preserve">Although a monetary forfeiture </w:t>
      </w:r>
      <w:r w:rsidR="00922BEA">
        <w:rPr>
          <w:szCs w:val="22"/>
        </w:rPr>
        <w:t xml:space="preserve">is </w:t>
      </w:r>
      <w:r w:rsidR="00427883">
        <w:rPr>
          <w:szCs w:val="22"/>
        </w:rPr>
        <w:t xml:space="preserve">consistent with past precedent and </w:t>
      </w:r>
      <w:r>
        <w:rPr>
          <w:szCs w:val="22"/>
        </w:rPr>
        <w:t>warranted for this violation,</w:t>
      </w:r>
      <w:r w:rsidR="007F6982">
        <w:rPr>
          <w:rStyle w:val="FootnoteReference"/>
          <w:szCs w:val="22"/>
        </w:rPr>
        <w:footnoteReference w:id="33"/>
      </w:r>
      <w:r>
        <w:rPr>
          <w:szCs w:val="22"/>
        </w:rPr>
        <w:t xml:space="preserve"> in light of VEZA’s claim that it has terminated business and surrendered its Section 214 authorization, we admonish VEZA for failing to comply with a Commission order. </w:t>
      </w:r>
    </w:p>
    <w:p w:rsidR="00E9376C" w:rsidRPr="00F8719D" w:rsidRDefault="00E9376C" w:rsidP="00403A86">
      <w:pPr>
        <w:pStyle w:val="Heading1"/>
        <w:rPr>
          <w:spacing w:val="-2"/>
        </w:rPr>
      </w:pPr>
      <w:r w:rsidRPr="00F8719D">
        <w:t>ORDERING CLAUSES</w:t>
      </w:r>
    </w:p>
    <w:p w:rsidR="00E9376C" w:rsidRPr="00F8719D" w:rsidRDefault="00E9376C" w:rsidP="00255BD6">
      <w:pPr>
        <w:pStyle w:val="ParaNum"/>
        <w:widowControl/>
        <w:rPr>
          <w:spacing w:val="-2"/>
          <w:szCs w:val="22"/>
        </w:rPr>
      </w:pPr>
      <w:r w:rsidRPr="00F8719D">
        <w:rPr>
          <w:szCs w:val="22"/>
        </w:rPr>
        <w:t xml:space="preserve">Accordingly, </w:t>
      </w:r>
      <w:r w:rsidRPr="00F8719D">
        <w:rPr>
          <w:b/>
          <w:szCs w:val="22"/>
        </w:rPr>
        <w:t>IT IS ORDERED</w:t>
      </w:r>
      <w:r w:rsidR="00FB5014" w:rsidRPr="00F8719D">
        <w:rPr>
          <w:szCs w:val="22"/>
        </w:rPr>
        <w:t xml:space="preserve"> that</w:t>
      </w:r>
      <w:r w:rsidR="003210C6" w:rsidRPr="00F8719D">
        <w:rPr>
          <w:szCs w:val="22"/>
        </w:rPr>
        <w:t xml:space="preserve"> </w:t>
      </w:r>
      <w:r w:rsidR="00EA1A1A">
        <w:rPr>
          <w:szCs w:val="22"/>
        </w:rPr>
        <w:t>VEZA Telecom, Inc.</w:t>
      </w:r>
      <w:r w:rsidR="003210C6" w:rsidRPr="00F8719D">
        <w:rPr>
          <w:szCs w:val="22"/>
        </w:rPr>
        <w:t xml:space="preserve"> </w:t>
      </w:r>
      <w:r w:rsidR="003210C6" w:rsidRPr="00F8719D">
        <w:rPr>
          <w:b/>
          <w:szCs w:val="22"/>
        </w:rPr>
        <w:t>IS ADMONISHED</w:t>
      </w:r>
      <w:r w:rsidR="003210C6" w:rsidRPr="00F8719D">
        <w:rPr>
          <w:szCs w:val="22"/>
        </w:rPr>
        <w:t xml:space="preserve"> </w:t>
      </w:r>
      <w:r w:rsidRPr="00F8719D">
        <w:rPr>
          <w:szCs w:val="22"/>
        </w:rPr>
        <w:t xml:space="preserve">for </w:t>
      </w:r>
      <w:r w:rsidR="00EA1A1A">
        <w:rPr>
          <w:szCs w:val="22"/>
        </w:rPr>
        <w:t xml:space="preserve">willfully violating </w:t>
      </w:r>
      <w:r w:rsidR="00922BEA">
        <w:rPr>
          <w:szCs w:val="22"/>
        </w:rPr>
        <w:t>a Commission</w:t>
      </w:r>
      <w:r w:rsidR="00C6209F">
        <w:rPr>
          <w:szCs w:val="22"/>
        </w:rPr>
        <w:t xml:space="preserve"> order validly issued pursuant to delegated authority by the Enforcement Bureau in a</w:t>
      </w:r>
      <w:r w:rsidR="00EA1A1A">
        <w:rPr>
          <w:szCs w:val="22"/>
        </w:rPr>
        <w:t xml:space="preserve"> subpoena</w:t>
      </w:r>
      <w:r w:rsidR="00C6209F">
        <w:rPr>
          <w:szCs w:val="22"/>
        </w:rPr>
        <w:t xml:space="preserve"> served on VEZA Telecom, Inc. in connection with an investigation into VEZA Telecom, Inc.’s compliance wit</w:t>
      </w:r>
      <w:r w:rsidR="008963E7">
        <w:rPr>
          <w:szCs w:val="22"/>
        </w:rPr>
        <w:t>h the Communications Act and Commission</w:t>
      </w:r>
      <w:r w:rsidR="00C6209F">
        <w:rPr>
          <w:szCs w:val="22"/>
        </w:rPr>
        <w:t xml:space="preserve"> Rules</w:t>
      </w:r>
      <w:r w:rsidR="00EA1A1A">
        <w:rPr>
          <w:szCs w:val="22"/>
        </w:rPr>
        <w:t>.</w:t>
      </w:r>
    </w:p>
    <w:p w:rsidR="007C3A62" w:rsidRDefault="00E9376C" w:rsidP="00255BD6">
      <w:pPr>
        <w:pStyle w:val="ParaNum"/>
        <w:widowControl/>
      </w:pPr>
      <w:r w:rsidRPr="00F8719D">
        <w:rPr>
          <w:b/>
          <w:szCs w:val="22"/>
        </w:rPr>
        <w:t xml:space="preserve">IT IS FURTHER ORDERED </w:t>
      </w:r>
      <w:r w:rsidRPr="00F8719D">
        <w:rPr>
          <w:szCs w:val="22"/>
        </w:rPr>
        <w:t>th</w:t>
      </w:r>
      <w:r w:rsidR="00555D34" w:rsidRPr="00F8719D">
        <w:rPr>
          <w:szCs w:val="22"/>
        </w:rPr>
        <w:t xml:space="preserve">at a copy of this Admonishment </w:t>
      </w:r>
      <w:r w:rsidR="00FB5014" w:rsidRPr="00F8719D">
        <w:rPr>
          <w:szCs w:val="22"/>
        </w:rPr>
        <w:t xml:space="preserve">Order </w:t>
      </w:r>
      <w:r w:rsidR="0059515B" w:rsidRPr="00F8719D">
        <w:rPr>
          <w:szCs w:val="22"/>
        </w:rPr>
        <w:t xml:space="preserve">shall be sent by first class </w:t>
      </w:r>
      <w:r w:rsidRPr="00F8719D">
        <w:rPr>
          <w:szCs w:val="22"/>
        </w:rPr>
        <w:t>and certified mai</w:t>
      </w:r>
      <w:r w:rsidR="00EA1A1A">
        <w:rPr>
          <w:szCs w:val="22"/>
        </w:rPr>
        <w:t xml:space="preserve">l, return receipt requested, </w:t>
      </w:r>
      <w:r w:rsidR="00EA1A1A" w:rsidRPr="00981F23">
        <w:rPr>
          <w:color w:val="000000" w:themeColor="text1"/>
        </w:rPr>
        <w:t>to</w:t>
      </w:r>
      <w:r w:rsidR="00EA1A1A">
        <w:rPr>
          <w:color w:val="000000" w:themeColor="text1"/>
        </w:rPr>
        <w:t xml:space="preserve"> VEZA Telecom, Inc.’s attorney, Neil S. Ende, Technology Law Group, 5335 Wisconsin Ave., NW, Suite 440, Washington DC 20015</w:t>
      </w:r>
      <w:r w:rsidR="00A05D59">
        <w:t>.</w:t>
      </w:r>
    </w:p>
    <w:p w:rsidR="00EA1A1A" w:rsidRPr="00F8719D" w:rsidRDefault="00EA1A1A" w:rsidP="00EA1A1A">
      <w:pPr>
        <w:pStyle w:val="ParaNum"/>
        <w:numPr>
          <w:ilvl w:val="0"/>
          <w:numId w:val="0"/>
        </w:numPr>
        <w:ind w:left="720"/>
      </w:pPr>
    </w:p>
    <w:p w:rsidR="00F60397" w:rsidRPr="005B744E" w:rsidRDefault="00F60397" w:rsidP="00F60397">
      <w:pPr>
        <w:spacing w:before="240"/>
      </w:pPr>
      <w:r w:rsidRPr="00F8719D">
        <w:tab/>
      </w:r>
      <w:r w:rsidRPr="00F8719D">
        <w:tab/>
      </w:r>
      <w:r w:rsidRPr="00F8719D">
        <w:tab/>
      </w:r>
      <w:r w:rsidRPr="00F8719D">
        <w:tab/>
      </w:r>
      <w:r w:rsidRPr="00F8719D">
        <w:tab/>
      </w:r>
      <w:r w:rsidRPr="00F8719D">
        <w:tab/>
      </w:r>
      <w:r w:rsidRPr="005B744E">
        <w:t>FEDERAL COMMUNICATIONS COMMISSION</w:t>
      </w:r>
    </w:p>
    <w:p w:rsidR="00F60397" w:rsidRPr="00F8719D" w:rsidRDefault="00F60397" w:rsidP="00DC3D5C"/>
    <w:p w:rsidR="00F60397" w:rsidRPr="00F8719D" w:rsidRDefault="00F60397" w:rsidP="00DC3D5C"/>
    <w:p w:rsidR="00F60397" w:rsidRPr="00F8719D" w:rsidRDefault="00F60397" w:rsidP="00DC3D5C"/>
    <w:p w:rsidR="007C3A62" w:rsidRPr="00F8719D" w:rsidRDefault="007C3A62" w:rsidP="00DC3D5C"/>
    <w:p w:rsidR="00E92283" w:rsidRPr="006D73F2" w:rsidRDefault="00F60397" w:rsidP="00F8719D">
      <w:pPr>
        <w:ind w:left="4410"/>
        <w:rPr>
          <w:szCs w:val="22"/>
        </w:rPr>
      </w:pPr>
      <w:r w:rsidRPr="00F8719D">
        <w:tab/>
      </w:r>
      <w:r w:rsidRPr="00F8719D">
        <w:tab/>
      </w:r>
      <w:r w:rsidRPr="00F8719D">
        <w:tab/>
      </w:r>
      <w:r w:rsidRPr="00F8719D">
        <w:tab/>
      </w:r>
      <w:r w:rsidRPr="00F8719D">
        <w:tab/>
      </w:r>
      <w:r w:rsidRPr="00F8719D">
        <w:tab/>
      </w:r>
    </w:p>
    <w:p w:rsidR="00E92283" w:rsidRPr="006D73F2" w:rsidRDefault="00BE4559" w:rsidP="00E92283">
      <w:pPr>
        <w:tabs>
          <w:tab w:val="left" w:pos="0"/>
          <w:tab w:val="left" w:pos="720"/>
          <w:tab w:val="left" w:pos="1440"/>
        </w:tabs>
        <w:suppressAutoHyphens/>
        <w:spacing w:line="240" w:lineRule="atLeast"/>
        <w:ind w:left="4320"/>
        <w:rPr>
          <w:szCs w:val="22"/>
        </w:rPr>
      </w:pPr>
      <w:r>
        <w:rPr>
          <w:szCs w:val="22"/>
        </w:rPr>
        <w:t>Richard A. Hindman</w:t>
      </w:r>
      <w:r w:rsidR="00E92283" w:rsidRPr="006D73F2">
        <w:rPr>
          <w:szCs w:val="22"/>
        </w:rPr>
        <w:t xml:space="preserve"> </w:t>
      </w:r>
    </w:p>
    <w:p w:rsidR="00BE4559" w:rsidRDefault="00DB7B33" w:rsidP="00BE4559">
      <w:pPr>
        <w:ind w:left="4320"/>
        <w:rPr>
          <w:szCs w:val="22"/>
        </w:rPr>
      </w:pPr>
      <w:r>
        <w:rPr>
          <w:szCs w:val="22"/>
        </w:rPr>
        <w:t xml:space="preserve">Division </w:t>
      </w:r>
      <w:r w:rsidR="00E92283" w:rsidRPr="006D73F2">
        <w:rPr>
          <w:szCs w:val="22"/>
        </w:rPr>
        <w:t>Chief</w:t>
      </w:r>
    </w:p>
    <w:p w:rsidR="00BE4559" w:rsidRPr="006D73F2" w:rsidRDefault="00BE4559" w:rsidP="00BE4559">
      <w:pPr>
        <w:ind w:left="4320"/>
        <w:rPr>
          <w:szCs w:val="22"/>
        </w:rPr>
      </w:pPr>
      <w:r>
        <w:rPr>
          <w:szCs w:val="22"/>
        </w:rPr>
        <w:t>Telecommunications Consumers Division</w:t>
      </w:r>
    </w:p>
    <w:p w:rsidR="00E92283" w:rsidRPr="006D73F2" w:rsidRDefault="00E92283" w:rsidP="00E92283">
      <w:pPr>
        <w:ind w:left="4320"/>
        <w:rPr>
          <w:szCs w:val="22"/>
        </w:rPr>
      </w:pPr>
      <w:r w:rsidRPr="006D73F2">
        <w:rPr>
          <w:szCs w:val="22"/>
        </w:rPr>
        <w:t>Enforcement Bureau</w:t>
      </w:r>
    </w:p>
    <w:p w:rsidR="00E92283" w:rsidRPr="006D73F2" w:rsidRDefault="00E92283" w:rsidP="00E92283">
      <w:pPr>
        <w:ind w:left="4320"/>
        <w:rPr>
          <w:szCs w:val="22"/>
        </w:rPr>
      </w:pPr>
    </w:p>
    <w:p w:rsidR="00F15904" w:rsidRPr="00F47251" w:rsidRDefault="00F15904" w:rsidP="00E92283">
      <w:pPr>
        <w:rPr>
          <w:szCs w:val="22"/>
        </w:rPr>
      </w:pPr>
    </w:p>
    <w:sectPr w:rsidR="00F15904" w:rsidRPr="00F47251" w:rsidSect="007C3A6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271"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969" w:rsidRDefault="00526969">
      <w:r>
        <w:separator/>
      </w:r>
    </w:p>
  </w:endnote>
  <w:endnote w:type="continuationSeparator" w:id="0">
    <w:p w:rsidR="00526969" w:rsidRDefault="00526969">
      <w:r>
        <w:continuationSeparator/>
      </w:r>
    </w:p>
  </w:endnote>
  <w:endnote w:type="continuationNotice" w:id="1">
    <w:p w:rsidR="00526969" w:rsidRDefault="005269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D5C" w:rsidRDefault="00DC3D5C" w:rsidP="009E64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3D5C" w:rsidRDefault="00DC3D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D5C" w:rsidRPr="00575313" w:rsidRDefault="00DC3D5C" w:rsidP="009E64A3">
    <w:pPr>
      <w:pStyle w:val="Footer"/>
      <w:framePr w:wrap="around" w:vAnchor="text" w:hAnchor="margin" w:xAlign="center" w:y="1"/>
      <w:rPr>
        <w:rStyle w:val="PageNumber"/>
        <w:szCs w:val="22"/>
      </w:rPr>
    </w:pPr>
    <w:r w:rsidRPr="00575313">
      <w:rPr>
        <w:rStyle w:val="PageNumber"/>
        <w:szCs w:val="22"/>
      </w:rPr>
      <w:fldChar w:fldCharType="begin"/>
    </w:r>
    <w:r w:rsidRPr="00575313">
      <w:rPr>
        <w:rStyle w:val="PageNumber"/>
        <w:szCs w:val="22"/>
      </w:rPr>
      <w:instrText xml:space="preserve">PAGE  </w:instrText>
    </w:r>
    <w:r w:rsidRPr="00575313">
      <w:rPr>
        <w:rStyle w:val="PageNumber"/>
        <w:szCs w:val="22"/>
      </w:rPr>
      <w:fldChar w:fldCharType="separate"/>
    </w:r>
    <w:r w:rsidR="00032D45">
      <w:rPr>
        <w:rStyle w:val="PageNumber"/>
        <w:noProof/>
        <w:szCs w:val="22"/>
      </w:rPr>
      <w:t>2</w:t>
    </w:r>
    <w:r w:rsidRPr="00575313">
      <w:rPr>
        <w:rStyle w:val="PageNumber"/>
        <w:szCs w:val="22"/>
      </w:rPr>
      <w:fldChar w:fldCharType="end"/>
    </w:r>
  </w:p>
  <w:p w:rsidR="00DC3D5C" w:rsidRPr="00EF1757" w:rsidRDefault="00DC3D5C" w:rsidP="00537DB1">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D5C" w:rsidRDefault="00DC3D5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969" w:rsidRDefault="00526969">
      <w:r>
        <w:separator/>
      </w:r>
    </w:p>
  </w:footnote>
  <w:footnote w:type="continuationSeparator" w:id="0">
    <w:p w:rsidR="00526969" w:rsidRDefault="00526969" w:rsidP="00F60397">
      <w:r w:rsidRPr="00F60397">
        <w:rPr>
          <w:sz w:val="20"/>
        </w:rPr>
        <w:t>(Continued from previous page…)</w:t>
      </w:r>
      <w:r>
        <w:rPr>
          <w:sz w:val="20"/>
        </w:rPr>
        <w:t xml:space="preserve"> </w:t>
      </w:r>
      <w:r>
        <w:separator/>
      </w:r>
    </w:p>
  </w:footnote>
  <w:footnote w:type="continuationNotice" w:id="1">
    <w:p w:rsidR="00526969" w:rsidRPr="00F60397" w:rsidRDefault="00526969" w:rsidP="00AE54D6">
      <w:pPr>
        <w:jc w:val="right"/>
        <w:rPr>
          <w:sz w:val="20"/>
        </w:rPr>
      </w:pPr>
      <w:r w:rsidRPr="00F60397">
        <w:rPr>
          <w:sz w:val="20"/>
        </w:rPr>
        <w:t>(continued…)</w:t>
      </w:r>
    </w:p>
  </w:footnote>
  <w:footnote w:id="2">
    <w:p w:rsidR="007A02D8" w:rsidRDefault="007A02D8" w:rsidP="007A02D8">
      <w:pPr>
        <w:pStyle w:val="FootnoteText"/>
      </w:pPr>
      <w:r>
        <w:rPr>
          <w:rStyle w:val="FootnoteReference"/>
        </w:rPr>
        <w:footnoteRef/>
      </w:r>
      <w:r>
        <w:t xml:space="preserve"> VEZA’s address of record is 11205 Alpharetta </w:t>
      </w:r>
      <w:r w:rsidR="006661A1">
        <w:t>Hwy</w:t>
      </w:r>
      <w:r>
        <w:t xml:space="preserve">, Suite E3, Roswell, Georgia 30076.   </w:t>
      </w:r>
    </w:p>
  </w:footnote>
  <w:footnote w:id="3">
    <w:p w:rsidR="007A02D8" w:rsidRDefault="007A02D8" w:rsidP="007A02D8">
      <w:pPr>
        <w:pStyle w:val="FootnoteText"/>
      </w:pPr>
      <w:r>
        <w:rPr>
          <w:rStyle w:val="FootnoteReference"/>
        </w:rPr>
        <w:footnoteRef/>
      </w:r>
      <w:r>
        <w:t xml:space="preserve"> </w:t>
      </w:r>
      <w:r w:rsidRPr="00F868D7">
        <w:rPr>
          <w:i/>
        </w:rPr>
        <w:t xml:space="preserve">See </w:t>
      </w:r>
      <w:r>
        <w:t>47 U.S.C. § 214</w:t>
      </w:r>
      <w:r>
        <w:rPr>
          <w:i/>
        </w:rPr>
        <w:t xml:space="preserve">; </w:t>
      </w:r>
      <w:r w:rsidRPr="0087636F">
        <w:rPr>
          <w:i/>
        </w:rPr>
        <w:t xml:space="preserve">International Authorizations Granted, Section 214 Applications </w:t>
      </w:r>
      <w:r>
        <w:rPr>
          <w:i/>
        </w:rPr>
        <w:t>(47 CFR § 63.18); Section 310(b)</w:t>
      </w:r>
      <w:r w:rsidRPr="0087636F">
        <w:rPr>
          <w:i/>
        </w:rPr>
        <w:t>(4) Requests</w:t>
      </w:r>
      <w:r>
        <w:t xml:space="preserve">, ITC-214-20070913-00380, Public Notice, DA 07-4194 (Oct. 11, 2007).  </w:t>
      </w:r>
    </w:p>
  </w:footnote>
  <w:footnote w:id="4">
    <w:p w:rsidR="007A02D8" w:rsidRDefault="007A02D8" w:rsidP="007A02D8">
      <w:pPr>
        <w:pStyle w:val="FootnoteText"/>
      </w:pPr>
      <w:r>
        <w:rPr>
          <w:rStyle w:val="FootnoteReference"/>
        </w:rPr>
        <w:footnoteRef/>
      </w:r>
      <w:r>
        <w:t xml:space="preserve"> </w:t>
      </w:r>
      <w:r w:rsidRPr="00A67EDD">
        <w:rPr>
          <w:i/>
        </w:rPr>
        <w:t xml:space="preserve">See </w:t>
      </w:r>
      <w:r>
        <w:t xml:space="preserve">Section 63.71 Application of VEZA Telecom, Inc., WC Docket No. 15-177 (filed July 6, 2015), </w:t>
      </w:r>
      <w:r w:rsidRPr="00F868D7">
        <w:rPr>
          <w:i/>
        </w:rPr>
        <w:t>available at</w:t>
      </w:r>
      <w:r>
        <w:t xml:space="preserve"> </w:t>
      </w:r>
      <w:hyperlink r:id="rId1" w:history="1">
        <w:r w:rsidRPr="00F53F9D">
          <w:rPr>
            <w:rStyle w:val="Hyperlink"/>
          </w:rPr>
          <w:t>http://apps.fcc.gov/ecfs/comment/view?id=60001091542</w:t>
        </w:r>
      </w:hyperlink>
      <w:r>
        <w:t xml:space="preserve"> (VEZA Application to Discontinue Service).  </w:t>
      </w:r>
    </w:p>
  </w:footnote>
  <w:footnote w:id="5">
    <w:p w:rsidR="007A02D8" w:rsidRDefault="007A02D8" w:rsidP="007A02D8">
      <w:pPr>
        <w:pStyle w:val="FootnoteText"/>
      </w:pPr>
      <w:r>
        <w:rPr>
          <w:rStyle w:val="FootnoteReference"/>
        </w:rPr>
        <w:footnoteRef/>
      </w:r>
      <w:r>
        <w:t xml:space="preserve"> </w:t>
      </w:r>
      <w:r w:rsidRPr="003C4A90">
        <w:rPr>
          <w:i/>
        </w:rPr>
        <w:t>See</w:t>
      </w:r>
      <w:r>
        <w:t xml:space="preserve"> Letter from Craig D. Dingwall, Counsel to VEZA Telecom, Inc., to Marlene H. Dortch, Secretary, FCC Office of the Secretary (Aug. 13, 2015) (VEZA Section 214 Letter); </w:t>
      </w:r>
      <w:r w:rsidRPr="00D660BC">
        <w:rPr>
          <w:i/>
        </w:rPr>
        <w:t>see also</w:t>
      </w:r>
      <w:r>
        <w:t xml:space="preserve"> Letter from Craig D. Dingwall, Counsel to VEZA Telecom, Inc., to Marlene H. Dortch, Secretary, FCC Office of the Secretary (Sept. 8, 2015) (clarifying VEZA’s Aug. 13, 2015 letter). </w:t>
      </w:r>
    </w:p>
  </w:footnote>
  <w:footnote w:id="6">
    <w:p w:rsidR="007A02D8" w:rsidRDefault="007A02D8" w:rsidP="007A02D8">
      <w:pPr>
        <w:pStyle w:val="FootnoteText"/>
      </w:pPr>
      <w:r>
        <w:rPr>
          <w:rStyle w:val="FootnoteReference"/>
        </w:rPr>
        <w:footnoteRef/>
      </w:r>
      <w:r>
        <w:t xml:space="preserve"> </w:t>
      </w:r>
      <w:r w:rsidRPr="00F303E0">
        <w:rPr>
          <w:i/>
        </w:rPr>
        <w:t>See</w:t>
      </w:r>
      <w:r>
        <w:t xml:space="preserve"> Letter from Neil S. Ende, Counsel to VEZA Telecom, Inc., to Selina Ayers, Enforcement Analyst, Telecommunications Consumers Division, FCC Enforcement Bureau at 2, 5 (Aug. 10, 2015) (on file in EB-TCD-13-00007004) (Subpoena Response).</w:t>
      </w:r>
    </w:p>
  </w:footnote>
  <w:footnote w:id="7">
    <w:p w:rsidR="007A02D8" w:rsidRDefault="007A02D8" w:rsidP="007A02D8">
      <w:pPr>
        <w:pStyle w:val="FootnoteText"/>
      </w:pPr>
      <w:r>
        <w:rPr>
          <w:rStyle w:val="FootnoteReference"/>
        </w:rPr>
        <w:footnoteRef/>
      </w:r>
      <w:r>
        <w:t xml:space="preserve"> </w:t>
      </w:r>
      <w:r w:rsidRPr="004667EA">
        <w:rPr>
          <w:i/>
        </w:rPr>
        <w:t>See</w:t>
      </w:r>
      <w:r>
        <w:t xml:space="preserve"> Subpoena to VEZA Telecom, Inc., FCC File No. EB-TCD-13-00007004 (June 8, 2015) (on file in EB-TCD-13-00007004) (Subpoena).</w:t>
      </w:r>
    </w:p>
  </w:footnote>
  <w:footnote w:id="8">
    <w:p w:rsidR="007A02D8" w:rsidRDefault="007A02D8" w:rsidP="007A02D8">
      <w:pPr>
        <w:pStyle w:val="FootnoteText"/>
      </w:pPr>
      <w:r>
        <w:rPr>
          <w:rStyle w:val="FootnoteReference"/>
        </w:rPr>
        <w:footnoteRef/>
      </w:r>
      <w:r>
        <w:t xml:space="preserve"> </w:t>
      </w:r>
      <w:r w:rsidRPr="00A32FA7">
        <w:rPr>
          <w:i/>
        </w:rPr>
        <w:t>See</w:t>
      </w:r>
      <w:r>
        <w:t xml:space="preserve"> E-mail from Mika Savir, Attorney Advisor, Telecommunications Consumers Division, FCC Enforcement Bureau, to Craig D. Dingwall, Counsel to VEZA Telecom, Inc. (July 1, 2015; 5:45 PM EST).</w:t>
      </w:r>
    </w:p>
  </w:footnote>
  <w:footnote w:id="9">
    <w:p w:rsidR="007A02D8" w:rsidRDefault="007A02D8" w:rsidP="007A02D8">
      <w:pPr>
        <w:pStyle w:val="FootnoteText"/>
      </w:pPr>
      <w:r>
        <w:rPr>
          <w:rStyle w:val="FootnoteReference"/>
        </w:rPr>
        <w:footnoteRef/>
      </w:r>
      <w:r>
        <w:t xml:space="preserve"> </w:t>
      </w:r>
      <w:r w:rsidRPr="00F303E0">
        <w:rPr>
          <w:i/>
        </w:rPr>
        <w:t>See</w:t>
      </w:r>
      <w:r>
        <w:t xml:space="preserve"> Subpoena Response</w:t>
      </w:r>
      <w:r w:rsidR="00FF0C6E">
        <w:t xml:space="preserve"> at 1-</w:t>
      </w:r>
      <w:r>
        <w:t>23.</w:t>
      </w:r>
    </w:p>
  </w:footnote>
  <w:footnote w:id="10">
    <w:p w:rsidR="007A02D8" w:rsidRDefault="007A02D8" w:rsidP="007A02D8">
      <w:pPr>
        <w:pStyle w:val="FootnoteText"/>
      </w:pPr>
      <w:r>
        <w:rPr>
          <w:rStyle w:val="FootnoteReference"/>
        </w:rPr>
        <w:footnoteRef/>
      </w:r>
      <w:r>
        <w:t xml:space="preserve"> </w:t>
      </w:r>
      <w:r w:rsidRPr="00B04864">
        <w:rPr>
          <w:i/>
        </w:rPr>
        <w:t>See</w:t>
      </w:r>
      <w:r>
        <w:t xml:space="preserve"> </w:t>
      </w:r>
      <w:r w:rsidRPr="00073AC6">
        <w:rPr>
          <w:i/>
        </w:rPr>
        <w:t>id.</w:t>
      </w:r>
      <w:r>
        <w:t xml:space="preserve"> at 23.</w:t>
      </w:r>
    </w:p>
  </w:footnote>
  <w:footnote w:id="11">
    <w:p w:rsidR="007A02D8" w:rsidRDefault="007A02D8" w:rsidP="007A02D8">
      <w:pPr>
        <w:pStyle w:val="FootnoteText"/>
      </w:pPr>
      <w:r>
        <w:rPr>
          <w:rStyle w:val="FootnoteReference"/>
        </w:rPr>
        <w:footnoteRef/>
      </w:r>
      <w:r>
        <w:t xml:space="preserve"> </w:t>
      </w:r>
      <w:r w:rsidRPr="00BB7352">
        <w:rPr>
          <w:i/>
        </w:rPr>
        <w:t xml:space="preserve">See </w:t>
      </w:r>
      <w:r>
        <w:t>Letter from Richard A. Hindman, Chief, Telecommunications Consumers Division, FCC Enforcement Bureau, to Maria Alfieri, President, VEZA Telecom, Inc., and Neil S. Ende, Counsel to VEZA Telecom, Inc. (Aug. 28, 2015) (on file in EB-TCD-13-00007004) (Warning Letter).</w:t>
      </w:r>
    </w:p>
  </w:footnote>
  <w:footnote w:id="12">
    <w:p w:rsidR="007A02D8" w:rsidRDefault="007A02D8" w:rsidP="007A02D8">
      <w:pPr>
        <w:pStyle w:val="FootnoteText"/>
      </w:pPr>
      <w:r>
        <w:rPr>
          <w:rStyle w:val="FootnoteReference"/>
        </w:rPr>
        <w:footnoteRef/>
      </w:r>
      <w:r>
        <w:t xml:space="preserve"> </w:t>
      </w:r>
      <w:r w:rsidRPr="00F303E0">
        <w:rPr>
          <w:i/>
        </w:rPr>
        <w:t>See</w:t>
      </w:r>
      <w:r>
        <w:t xml:space="preserve"> Letter from Neil S. Ende, Counsel to VEZA Telecom, Inc., to Selina Ayers, Enforcement Analyst, Telecommunications Consumers Division, FCC Enforcement Bureau (Sept. 4, 2015) (on file in EB-TCD-13-00007004) (Supplemental Subpoena Response).</w:t>
      </w:r>
    </w:p>
  </w:footnote>
  <w:footnote w:id="13">
    <w:p w:rsidR="0092312C" w:rsidRDefault="0092312C" w:rsidP="0092312C">
      <w:pPr>
        <w:pStyle w:val="FootnoteText"/>
      </w:pPr>
      <w:r>
        <w:rPr>
          <w:rStyle w:val="FootnoteReference"/>
        </w:rPr>
        <w:footnoteRef/>
      </w:r>
      <w:r>
        <w:t xml:space="preserve"> “Slamming” is the submission or execution of a preferred carrier change without proper authorization verified in compliance with the Commission’s verification rules.  </w:t>
      </w:r>
      <w:r w:rsidRPr="00B5428F">
        <w:rPr>
          <w:i/>
        </w:rPr>
        <w:t>See</w:t>
      </w:r>
      <w:r w:rsidR="00FF0C6E">
        <w:t xml:space="preserve"> 47 U.S.C. § 258; 47 CFR</w:t>
      </w:r>
      <w:r>
        <w:t xml:space="preserve"> § 64.1120 </w:t>
      </w:r>
      <w:r w:rsidRPr="00B5428F">
        <w:rPr>
          <w:i/>
        </w:rPr>
        <w:t>et seq</w:t>
      </w:r>
      <w:r>
        <w:t xml:space="preserve">.  “Cramming” is the unjust and unreasonable practice of charging consumers on their telephone bill for services that they did not authorize.  </w:t>
      </w:r>
      <w:r w:rsidRPr="00B5428F">
        <w:rPr>
          <w:i/>
        </w:rPr>
        <w:t>See</w:t>
      </w:r>
      <w:r>
        <w:t xml:space="preserve"> 47 U.S.C. § 201(b).  </w:t>
      </w:r>
    </w:p>
  </w:footnote>
  <w:footnote w:id="14">
    <w:p w:rsidR="0092312C" w:rsidRDefault="0092312C" w:rsidP="0092312C">
      <w:pPr>
        <w:pStyle w:val="FootnoteText"/>
      </w:pPr>
      <w:r>
        <w:rPr>
          <w:rStyle w:val="FootnoteReference"/>
        </w:rPr>
        <w:footnoteRef/>
      </w:r>
      <w:r>
        <w:t xml:space="preserve"> </w:t>
      </w:r>
      <w:r w:rsidRPr="00DF6D89">
        <w:rPr>
          <w:i/>
          <w:iCs/>
          <w:color w:val="010101"/>
        </w:rPr>
        <w:t>Id</w:t>
      </w:r>
      <w:r w:rsidRPr="00DF6D89">
        <w:rPr>
          <w:color w:val="010101"/>
        </w:rPr>
        <w:t>. § 218.</w:t>
      </w:r>
    </w:p>
  </w:footnote>
  <w:footnote w:id="15">
    <w:p w:rsidR="0092312C" w:rsidRPr="0050017C" w:rsidRDefault="0092312C" w:rsidP="0092312C">
      <w:pPr>
        <w:pStyle w:val="FootnoteText"/>
      </w:pPr>
      <w:r>
        <w:rPr>
          <w:rStyle w:val="FootnoteReference"/>
        </w:rPr>
        <w:footnoteRef/>
      </w:r>
      <w:r>
        <w:t xml:space="preserve"> </w:t>
      </w:r>
      <w:r w:rsidRPr="00DF6D89">
        <w:rPr>
          <w:i/>
        </w:rPr>
        <w:t>Id.</w:t>
      </w:r>
      <w:r w:rsidRPr="0050017C">
        <w:rPr>
          <w:color w:val="010101"/>
        </w:rPr>
        <w:t xml:space="preserve"> </w:t>
      </w:r>
      <w:r w:rsidRPr="00DF6D89">
        <w:rPr>
          <w:color w:val="010101"/>
        </w:rPr>
        <w:t>§</w:t>
      </w:r>
      <w:r>
        <w:rPr>
          <w:color w:val="010101"/>
        </w:rPr>
        <w:t xml:space="preserve"> 403. </w:t>
      </w:r>
    </w:p>
  </w:footnote>
  <w:footnote w:id="16">
    <w:p w:rsidR="0092312C" w:rsidRDefault="0092312C" w:rsidP="0092312C">
      <w:pPr>
        <w:pStyle w:val="FootnoteText"/>
      </w:pPr>
      <w:r>
        <w:rPr>
          <w:rStyle w:val="FootnoteReference"/>
        </w:rPr>
        <w:footnoteRef/>
      </w:r>
      <w:r>
        <w:t xml:space="preserve"> </w:t>
      </w:r>
      <w:r w:rsidRPr="00325A1A">
        <w:rPr>
          <w:i/>
        </w:rPr>
        <w:t>Id.</w:t>
      </w:r>
      <w:r>
        <w:t xml:space="preserve"> </w:t>
      </w:r>
      <w:r w:rsidRPr="00DF6D89">
        <w:rPr>
          <w:color w:val="010101"/>
        </w:rPr>
        <w:t>§</w:t>
      </w:r>
      <w:r>
        <w:rPr>
          <w:color w:val="010101"/>
        </w:rPr>
        <w:t xml:space="preserve"> 409(e); </w:t>
      </w:r>
      <w:r w:rsidRPr="00325A1A">
        <w:rPr>
          <w:i/>
          <w:color w:val="010101"/>
        </w:rPr>
        <w:t>see also id.</w:t>
      </w:r>
      <w:r>
        <w:rPr>
          <w:color w:val="010101"/>
        </w:rPr>
        <w:t xml:space="preserve"> </w:t>
      </w:r>
      <w:r w:rsidRPr="00DF6D89">
        <w:rPr>
          <w:color w:val="010101"/>
        </w:rPr>
        <w:t>§</w:t>
      </w:r>
      <w:r>
        <w:rPr>
          <w:color w:val="010101"/>
        </w:rPr>
        <w:t xml:space="preserve"> 154(i) (authorizing the Commission to “issue such orders, not inconsistent with this [Act], as may be necessary in the execution of its functions”).</w:t>
      </w:r>
    </w:p>
  </w:footnote>
  <w:footnote w:id="17">
    <w:p w:rsidR="0092312C" w:rsidRDefault="0092312C" w:rsidP="0092312C">
      <w:pPr>
        <w:pStyle w:val="FootnoteText"/>
      </w:pPr>
      <w:r>
        <w:rPr>
          <w:rStyle w:val="FootnoteReference"/>
        </w:rPr>
        <w:footnoteRef/>
      </w:r>
      <w:r w:rsidR="00FF0C6E">
        <w:t xml:space="preserve"> 47 CFR</w:t>
      </w:r>
      <w:r>
        <w:t xml:space="preserve"> </w:t>
      </w:r>
      <w:r w:rsidRPr="00900A98">
        <w:rPr>
          <w:color w:val="010101"/>
        </w:rPr>
        <w:t>§</w:t>
      </w:r>
      <w:r>
        <w:rPr>
          <w:color w:val="010101"/>
        </w:rPr>
        <w:t xml:space="preserve"> 0.111(h).</w:t>
      </w:r>
    </w:p>
  </w:footnote>
  <w:footnote w:id="18">
    <w:p w:rsidR="0092312C" w:rsidRDefault="0092312C" w:rsidP="0092312C">
      <w:pPr>
        <w:pStyle w:val="FootnoteText"/>
      </w:pPr>
      <w:r>
        <w:rPr>
          <w:rStyle w:val="FootnoteReference"/>
        </w:rPr>
        <w:footnoteRef/>
      </w:r>
      <w:r>
        <w:t xml:space="preserve"> </w:t>
      </w:r>
      <w:r w:rsidRPr="00175A01">
        <w:rPr>
          <w:i/>
        </w:rPr>
        <w:t>See</w:t>
      </w:r>
      <w:r>
        <w:t xml:space="preserve"> 47 U.S.C. §</w:t>
      </w:r>
      <w:r w:rsidRPr="00DF6D89">
        <w:rPr>
          <w:color w:val="010101"/>
        </w:rPr>
        <w:t>§</w:t>
      </w:r>
      <w:r>
        <w:rPr>
          <w:color w:val="010101"/>
        </w:rPr>
        <w:t xml:space="preserve"> 218, 403, 409(e)</w:t>
      </w:r>
      <w:r>
        <w:t xml:space="preserve">.  The subpoena was issued </w:t>
      </w:r>
      <w:r w:rsidRPr="004155EE">
        <w:t>pursuant to delegated authority</w:t>
      </w:r>
      <w:r>
        <w:t xml:space="preserve">. </w:t>
      </w:r>
      <w:r w:rsidRPr="004155EE">
        <w:t xml:space="preserve"> </w:t>
      </w:r>
      <w:r w:rsidRPr="00771EB4">
        <w:rPr>
          <w:i/>
        </w:rPr>
        <w:t>See</w:t>
      </w:r>
      <w:r w:rsidRPr="00771EB4">
        <w:t xml:space="preserve"> 47 U.S.C. § 155</w:t>
      </w:r>
      <w:r>
        <w:t>(c)</w:t>
      </w:r>
      <w:r w:rsidRPr="00771EB4">
        <w:t>(1)-(3).</w:t>
      </w:r>
      <w:r>
        <w:t xml:space="preserve"> </w:t>
      </w:r>
      <w:r w:rsidR="00672C6E">
        <w:t xml:space="preserve"> The </w:t>
      </w:r>
      <w:r w:rsidR="007F185D">
        <w:t>s</w:t>
      </w:r>
      <w:r w:rsidR="00672C6E">
        <w:t>ubpoena ordered VEZA to appear before the Enforcement Bureau on July 8, 2015</w:t>
      </w:r>
      <w:r w:rsidR="007F185D">
        <w:t>,</w:t>
      </w:r>
      <w:r w:rsidR="00672C6E">
        <w:t xml:space="preserve"> to give sworn testimony concerning the matters described in the </w:t>
      </w:r>
      <w:r w:rsidR="007F185D">
        <w:t>s</w:t>
      </w:r>
      <w:r w:rsidR="00672C6E">
        <w:t xml:space="preserve">ubpoena.  As an alternative to appearing in person to provide testimony, VEZA was given the option to answer the inquiries in writing and provide the requested documents.  </w:t>
      </w:r>
      <w:r w:rsidR="00672C6E" w:rsidRPr="007F185D">
        <w:rPr>
          <w:i/>
        </w:rPr>
        <w:t>See</w:t>
      </w:r>
      <w:r w:rsidR="00672C6E">
        <w:t xml:space="preserve"> Subpoena at 1.  VEZA </w:t>
      </w:r>
      <w:r w:rsidR="006B1A40">
        <w:t>elected</w:t>
      </w:r>
      <w:r w:rsidR="00672C6E">
        <w:t xml:space="preserve"> to respond to the </w:t>
      </w:r>
      <w:r w:rsidR="007F185D">
        <w:t>s</w:t>
      </w:r>
      <w:r w:rsidR="00672C6E">
        <w:t xml:space="preserve">ubpoena in writing.   </w:t>
      </w:r>
      <w:r>
        <w:t xml:space="preserve"> </w:t>
      </w:r>
    </w:p>
  </w:footnote>
  <w:footnote w:id="19">
    <w:p w:rsidR="0092312C" w:rsidRDefault="0092312C" w:rsidP="0092312C">
      <w:pPr>
        <w:pStyle w:val="FootnoteText"/>
      </w:pPr>
      <w:r>
        <w:rPr>
          <w:rStyle w:val="FootnoteReference"/>
        </w:rPr>
        <w:footnoteRef/>
      </w:r>
      <w:r>
        <w:t xml:space="preserve"> </w:t>
      </w:r>
      <w:r w:rsidRPr="0091769E">
        <w:rPr>
          <w:i/>
        </w:rPr>
        <w:t>See</w:t>
      </w:r>
      <w:r>
        <w:t xml:space="preserve"> Subpoena Response at 2–23.</w:t>
      </w:r>
    </w:p>
  </w:footnote>
  <w:footnote w:id="20">
    <w:p w:rsidR="0092312C" w:rsidRDefault="0092312C" w:rsidP="0092312C">
      <w:pPr>
        <w:pStyle w:val="FootnoteText"/>
      </w:pPr>
      <w:r>
        <w:rPr>
          <w:rStyle w:val="FootnoteReference"/>
        </w:rPr>
        <w:footnoteRef/>
      </w:r>
      <w:r>
        <w:t xml:space="preserve"> </w:t>
      </w:r>
      <w:r w:rsidRPr="0091769E">
        <w:rPr>
          <w:i/>
        </w:rPr>
        <w:t>See</w:t>
      </w:r>
      <w:r>
        <w:t xml:space="preserve"> </w:t>
      </w:r>
      <w:r w:rsidRPr="00073AC6">
        <w:rPr>
          <w:i/>
        </w:rPr>
        <w:t>id.</w:t>
      </w:r>
      <w:r>
        <w:t xml:space="preserve"> at 6</w:t>
      </w:r>
      <w:r w:rsidR="00FF0C6E">
        <w:t>-</w:t>
      </w:r>
      <w:r>
        <w:t>22.</w:t>
      </w:r>
    </w:p>
  </w:footnote>
  <w:footnote w:id="21">
    <w:p w:rsidR="0092312C" w:rsidRDefault="0092312C" w:rsidP="0092312C">
      <w:pPr>
        <w:pStyle w:val="FootnoteText"/>
      </w:pPr>
      <w:r>
        <w:rPr>
          <w:rStyle w:val="FootnoteReference"/>
        </w:rPr>
        <w:footnoteRef/>
      </w:r>
      <w:r>
        <w:t xml:space="preserve"> </w:t>
      </w:r>
      <w:r w:rsidRPr="00073AC6">
        <w:rPr>
          <w:i/>
        </w:rPr>
        <w:t>Id.</w:t>
      </w:r>
      <w:r>
        <w:t xml:space="preserve"> at 15.</w:t>
      </w:r>
    </w:p>
  </w:footnote>
  <w:footnote w:id="22">
    <w:p w:rsidR="0092312C" w:rsidRDefault="0092312C" w:rsidP="0092312C">
      <w:pPr>
        <w:pStyle w:val="FootnoteText"/>
      </w:pPr>
      <w:r>
        <w:rPr>
          <w:rStyle w:val="FootnoteReference"/>
        </w:rPr>
        <w:footnoteRef/>
      </w:r>
      <w:r>
        <w:t xml:space="preserve"> </w:t>
      </w:r>
      <w:r w:rsidRPr="00D21F39">
        <w:rPr>
          <w:i/>
        </w:rPr>
        <w:t>See</w:t>
      </w:r>
      <w:r>
        <w:t xml:space="preserve"> Warning Letter at 2.</w:t>
      </w:r>
    </w:p>
  </w:footnote>
  <w:footnote w:id="23">
    <w:p w:rsidR="0092312C" w:rsidRDefault="0092312C" w:rsidP="0092312C">
      <w:pPr>
        <w:pStyle w:val="FootnoteText"/>
      </w:pPr>
      <w:r>
        <w:rPr>
          <w:rStyle w:val="FootnoteReference"/>
        </w:rPr>
        <w:footnoteRef/>
      </w:r>
      <w:r>
        <w:t xml:space="preserve"> </w:t>
      </w:r>
      <w:r w:rsidRPr="000C14D8">
        <w:rPr>
          <w:i/>
        </w:rPr>
        <w:t>Id.</w:t>
      </w:r>
    </w:p>
  </w:footnote>
  <w:footnote w:id="24">
    <w:p w:rsidR="0092312C" w:rsidRDefault="0092312C" w:rsidP="0092312C">
      <w:pPr>
        <w:pStyle w:val="FootnoteText"/>
      </w:pPr>
      <w:r>
        <w:rPr>
          <w:rStyle w:val="FootnoteReference"/>
        </w:rPr>
        <w:footnoteRef/>
      </w:r>
      <w:r>
        <w:t xml:space="preserve"> </w:t>
      </w:r>
      <w:r w:rsidRPr="00A50E91">
        <w:rPr>
          <w:i/>
        </w:rPr>
        <w:t>See</w:t>
      </w:r>
      <w:r>
        <w:t xml:space="preserve"> certified mail receipt showing that VEZA signed for the subpoena on June 12, 2015 (on file in EB-TCD-13-00007004).</w:t>
      </w:r>
    </w:p>
  </w:footnote>
  <w:footnote w:id="25">
    <w:p w:rsidR="0092312C" w:rsidRDefault="0092312C" w:rsidP="0092312C">
      <w:pPr>
        <w:pStyle w:val="FootnoteText"/>
      </w:pPr>
      <w:r>
        <w:rPr>
          <w:rStyle w:val="FootnoteReference"/>
        </w:rPr>
        <w:footnoteRef/>
      </w:r>
      <w:r>
        <w:t xml:space="preserve"> </w:t>
      </w:r>
      <w:r w:rsidRPr="00A50E91">
        <w:rPr>
          <w:i/>
        </w:rPr>
        <w:t>See</w:t>
      </w:r>
      <w:r>
        <w:t xml:space="preserve"> Complaint filed by P. Araiza, attaching a telephone bill with VEZA Telecom, Inc., charges dated June 17, 2015.</w:t>
      </w:r>
    </w:p>
  </w:footnote>
  <w:footnote w:id="26">
    <w:p w:rsidR="0092312C" w:rsidRDefault="0092312C" w:rsidP="0092312C">
      <w:pPr>
        <w:pStyle w:val="FootnoteText"/>
      </w:pPr>
      <w:r>
        <w:rPr>
          <w:rStyle w:val="FootnoteReference"/>
        </w:rPr>
        <w:footnoteRef/>
      </w:r>
      <w:r>
        <w:t xml:space="preserve"> VEZA Section 214 Letter at 1.</w:t>
      </w:r>
    </w:p>
  </w:footnote>
  <w:footnote w:id="27">
    <w:p w:rsidR="0092312C" w:rsidRDefault="0092312C" w:rsidP="0092312C">
      <w:pPr>
        <w:pStyle w:val="FootnoteText"/>
      </w:pPr>
      <w:r>
        <w:rPr>
          <w:rStyle w:val="FootnoteReference"/>
        </w:rPr>
        <w:footnoteRef/>
      </w:r>
      <w:r>
        <w:t xml:space="preserve"> </w:t>
      </w:r>
      <w:r w:rsidRPr="00147EE3">
        <w:rPr>
          <w:i/>
        </w:rPr>
        <w:t>See</w:t>
      </w:r>
      <w:r>
        <w:t xml:space="preserve"> Supplemental Subpoena Response at 1.  VEZA also objected to the subpoena requests “to the extent that they are burdensome, moot and beyond the FCC’s jurisdiction.”  </w:t>
      </w:r>
      <w:r w:rsidRPr="00D108A9">
        <w:rPr>
          <w:i/>
        </w:rPr>
        <w:t>Id.</w:t>
      </w:r>
      <w:r>
        <w:t xml:space="preserve"> </w:t>
      </w:r>
    </w:p>
  </w:footnote>
  <w:footnote w:id="28">
    <w:p w:rsidR="00353A99" w:rsidRDefault="00353A99">
      <w:pPr>
        <w:pStyle w:val="FootnoteText"/>
      </w:pPr>
      <w:r>
        <w:rPr>
          <w:rStyle w:val="FootnoteReference"/>
        </w:rPr>
        <w:footnoteRef/>
      </w:r>
      <w:r>
        <w:t xml:space="preserve"> The </w:t>
      </w:r>
      <w:r w:rsidR="00572694">
        <w:t>s</w:t>
      </w:r>
      <w:r>
        <w:t xml:space="preserve">ubpoena directed VEZA to retain all responsive documents for twelve months from the date of the </w:t>
      </w:r>
      <w:r w:rsidR="00572694">
        <w:t>s</w:t>
      </w:r>
      <w:r>
        <w:t xml:space="preserve">ubpoena unless directed by the Enforcement Bureau in writing to retain the documents for some shorter period of time or </w:t>
      </w:r>
      <w:r w:rsidR="00572694">
        <w:t xml:space="preserve">until </w:t>
      </w:r>
      <w:r>
        <w:t xml:space="preserve">the Enforcement Bureau or Commission releases an item disposing of the issues of the investigation.  </w:t>
      </w:r>
      <w:r w:rsidRPr="00572694">
        <w:rPr>
          <w:i/>
        </w:rPr>
        <w:t xml:space="preserve">See </w:t>
      </w:r>
      <w:r>
        <w:t xml:space="preserve">Subpoena at 9. </w:t>
      </w:r>
    </w:p>
  </w:footnote>
  <w:footnote w:id="29">
    <w:p w:rsidR="0092312C" w:rsidRDefault="0092312C" w:rsidP="0092312C">
      <w:pPr>
        <w:pStyle w:val="FootnoteText"/>
      </w:pPr>
      <w:r>
        <w:rPr>
          <w:rStyle w:val="FootnoteReference"/>
        </w:rPr>
        <w:footnoteRef/>
      </w:r>
      <w:r>
        <w:t xml:space="preserve"> Subpoena at </w:t>
      </w:r>
      <w:r w:rsidR="00FF0C6E">
        <w:t>1-</w:t>
      </w:r>
      <w:r>
        <w:t xml:space="preserve">2. </w:t>
      </w:r>
    </w:p>
  </w:footnote>
  <w:footnote w:id="30">
    <w:p w:rsidR="0092312C" w:rsidRDefault="0092312C" w:rsidP="0092312C">
      <w:pPr>
        <w:pStyle w:val="FootnoteText"/>
      </w:pPr>
      <w:r>
        <w:rPr>
          <w:rStyle w:val="FootnoteReference"/>
        </w:rPr>
        <w:footnoteRef/>
      </w:r>
      <w:r>
        <w:t xml:space="preserve"> Subpoena Response at 23.   </w:t>
      </w:r>
    </w:p>
  </w:footnote>
  <w:footnote w:id="31">
    <w:p w:rsidR="0092312C" w:rsidRDefault="0092312C" w:rsidP="0092312C">
      <w:pPr>
        <w:pStyle w:val="FootnoteText"/>
      </w:pPr>
      <w:r>
        <w:rPr>
          <w:rStyle w:val="FootnoteReference"/>
        </w:rPr>
        <w:footnoteRef/>
      </w:r>
      <w:r>
        <w:t xml:space="preserve"> </w:t>
      </w:r>
      <w:r w:rsidR="00353A99">
        <w:rPr>
          <w:i/>
        </w:rPr>
        <w:t xml:space="preserve">See </w:t>
      </w:r>
      <w:r w:rsidR="00293F48" w:rsidRPr="006C4279">
        <w:rPr>
          <w:i/>
        </w:rPr>
        <w:t xml:space="preserve">SBC </w:t>
      </w:r>
      <w:r w:rsidR="00B968D6">
        <w:rPr>
          <w:i/>
        </w:rPr>
        <w:t>Communications, Inc.</w:t>
      </w:r>
      <w:r w:rsidR="00B968D6">
        <w:t xml:space="preserve">, </w:t>
      </w:r>
      <w:r w:rsidR="00293F48" w:rsidRPr="00B968D6">
        <w:t>Forfeiture Order</w:t>
      </w:r>
      <w:r w:rsidR="006B1A40">
        <w:t xml:space="preserve">, 17 FCC Rcd </w:t>
      </w:r>
      <w:r w:rsidR="00293F48">
        <w:t>7593,</w:t>
      </w:r>
      <w:r>
        <w:rPr>
          <w:i/>
        </w:rPr>
        <w:t xml:space="preserve"> </w:t>
      </w:r>
      <w:r>
        <w:t>7594, para. 10 n.29</w:t>
      </w:r>
      <w:r w:rsidR="00867718">
        <w:t xml:space="preserve"> (2002)</w:t>
      </w:r>
      <w:r>
        <w:t xml:space="preserve"> (“Attestations can be necessary to attain the level of reliability that we require to enforce the Act and our orders and rules.”).</w:t>
      </w:r>
    </w:p>
  </w:footnote>
  <w:footnote w:id="32">
    <w:p w:rsidR="0092312C" w:rsidRDefault="0092312C" w:rsidP="0092312C">
      <w:pPr>
        <w:pStyle w:val="FootnoteText"/>
      </w:pPr>
      <w:r>
        <w:rPr>
          <w:rStyle w:val="FootnoteReference"/>
        </w:rPr>
        <w:footnoteRef/>
      </w:r>
      <w:r>
        <w:t xml:space="preserve"> 47 U.S.C. </w:t>
      </w:r>
      <w:r w:rsidRPr="0082337E">
        <w:rPr>
          <w:color w:val="000000"/>
        </w:rPr>
        <w:t>§</w:t>
      </w:r>
      <w:r>
        <w:rPr>
          <w:color w:val="000000"/>
        </w:rPr>
        <w:t xml:space="preserve"> 409(e) (“For purposes of this Act, the Commission shall have the power to require by subpoena the attendance and testimony of witnesses and the production of all books, papers, schedules of charges, contacts, agreements, and documents relating to any matter under investigation.”).</w:t>
      </w:r>
      <w:r>
        <w:t xml:space="preserve"> </w:t>
      </w:r>
    </w:p>
  </w:footnote>
  <w:footnote w:id="33">
    <w:p w:rsidR="007F6982" w:rsidRDefault="007F6982" w:rsidP="007F6982">
      <w:pPr>
        <w:pStyle w:val="FootnoteText"/>
      </w:pPr>
      <w:r>
        <w:rPr>
          <w:rStyle w:val="FootnoteReference"/>
        </w:rPr>
        <w:footnoteRef/>
      </w:r>
      <w:r>
        <w:t xml:space="preserve"> </w:t>
      </w:r>
      <w:r w:rsidRPr="00001E5B">
        <w:rPr>
          <w:i/>
        </w:rPr>
        <w:t xml:space="preserve">See </w:t>
      </w:r>
      <w:r>
        <w:rPr>
          <w:i/>
        </w:rPr>
        <w:t>Net One International, LLC</w:t>
      </w:r>
      <w:r w:rsidRPr="00150DA7">
        <w:t>, </w:t>
      </w:r>
      <w:r>
        <w:t>Forfeiture Order</w:t>
      </w:r>
      <w:r w:rsidRPr="00001E5B">
        <w:t xml:space="preserve">, </w:t>
      </w:r>
      <w:r>
        <w:t>29</w:t>
      </w:r>
      <w:r w:rsidRPr="00001E5B">
        <w:t xml:space="preserve"> FCC Rcd </w:t>
      </w:r>
      <w:r>
        <w:t>264, 264-66, paras. 1-4</w:t>
      </w:r>
      <w:r w:rsidRPr="00001E5B">
        <w:t xml:space="preserve"> (E</w:t>
      </w:r>
      <w:r w:rsidR="008044F1">
        <w:t>B</w:t>
      </w:r>
      <w:r w:rsidRPr="00001E5B">
        <w:t xml:space="preserve"> 201</w:t>
      </w:r>
      <w:r>
        <w:t>4) (imposing $25,000 penalty for failure to respond fully to a</w:t>
      </w:r>
      <w:r w:rsidR="008044F1">
        <w:t xml:space="preserve"> letter of inquiry (</w:t>
      </w:r>
      <w:r>
        <w:t>LOI</w:t>
      </w:r>
      <w:r w:rsidR="008044F1">
        <w:t>)</w:t>
      </w:r>
      <w:r>
        <w:t xml:space="preserve">), </w:t>
      </w:r>
      <w:r w:rsidRPr="00564C25">
        <w:rPr>
          <w:i/>
        </w:rPr>
        <w:t>petition for reconsideration denied</w:t>
      </w:r>
      <w:r>
        <w:t xml:space="preserve">, </w:t>
      </w:r>
      <w:r w:rsidRPr="00617A6E">
        <w:t>Memorandum Opinion and Order</w:t>
      </w:r>
      <w:r>
        <w:t>, 30 FCC Rcd 1021 (E</w:t>
      </w:r>
      <w:r w:rsidR="008044F1">
        <w:t>B</w:t>
      </w:r>
      <w:r>
        <w:t xml:space="preserve"> 2015); </w:t>
      </w:r>
      <w:r w:rsidRPr="002F322C">
        <w:rPr>
          <w:i/>
        </w:rPr>
        <w:t>1st Source Information Specialists, Inc., d/b/a Locatecell.com</w:t>
      </w:r>
      <w:r>
        <w:t>, Notice of Apparent Liability for Forfeiture, 21 FCC Rcd 8193, 8196-97, para. 13 (2006), Forfeiture Order, 22 FCC Rcd 431 (2007) (imposing a forfeiture of $97,500 for the company’s failure to respond fully to an Enforcement Bureau subpoena) (</w:t>
      </w:r>
      <w:r w:rsidRPr="00E34314">
        <w:rPr>
          <w:i/>
        </w:rPr>
        <w:t>1</w:t>
      </w:r>
      <w:r w:rsidRPr="00E34314">
        <w:rPr>
          <w:i/>
          <w:vertAlign w:val="superscript"/>
        </w:rPr>
        <w:t>st</w:t>
      </w:r>
      <w:r w:rsidRPr="00E34314">
        <w:rPr>
          <w:i/>
        </w:rPr>
        <w:t xml:space="preserve"> Source Forfeiture Order</w:t>
      </w:r>
      <w:r>
        <w:t xml:space="preserve">); </w:t>
      </w:r>
      <w:r w:rsidRPr="00C35814">
        <w:rPr>
          <w:i/>
        </w:rPr>
        <w:t>BigZoo.com Corp</w:t>
      </w:r>
      <w:r>
        <w:t>., Forfeiture Order, 20 FCC Rcd 3954, 3954-55, paras. 1-4 (E</w:t>
      </w:r>
      <w:r w:rsidR="008044F1">
        <w:t>B</w:t>
      </w:r>
      <w:r>
        <w:t xml:space="preserve"> 2005) (imposing $20,000 penalty for failure to respond to an LOI).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B6C" w:rsidRDefault="004A4B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D5C" w:rsidRPr="00F60397" w:rsidRDefault="00DC3D5C" w:rsidP="00F60397">
    <w:pPr>
      <w:tabs>
        <w:tab w:val="center" w:pos="4680"/>
        <w:tab w:val="right" w:pos="9360"/>
      </w:tabs>
    </w:pPr>
    <w:r w:rsidRPr="00E92283">
      <w:rPr>
        <w:b/>
        <w:noProof/>
      </w:rPr>
      <mc:AlternateContent>
        <mc:Choice Requires="wps">
          <w:drawing>
            <wp:anchor distT="0" distB="0" distL="114300" distR="114300" simplePos="0" relativeHeight="251661312" behindDoc="1" locked="0" layoutInCell="0" allowOverlap="1" wp14:anchorId="04549791" wp14:editId="3C47578A">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FA7E89" id="Rectangle 2"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E92283">
      <w:rPr>
        <w:b/>
      </w:rPr>
      <w:tab/>
      <w:t>Federal Communications Commission</w:t>
    </w:r>
    <w:r w:rsidRPr="00E92283">
      <w:rPr>
        <w:b/>
      </w:rPr>
      <w:tab/>
    </w:r>
    <w:r w:rsidR="00E92283">
      <w:rPr>
        <w:b/>
        <w:spacing w:val="-2"/>
      </w:rPr>
      <w:t>DA</w:t>
    </w:r>
    <w:r w:rsidRPr="00E92283">
      <w:rPr>
        <w:b/>
        <w:spacing w:val="-2"/>
      </w:rPr>
      <w:t xml:space="preserve"> </w:t>
    </w:r>
    <w:r w:rsidR="001F36DD">
      <w:rPr>
        <w:b/>
        <w:spacing w:val="-2"/>
      </w:rPr>
      <w:t>16</w:t>
    </w:r>
    <w:r w:rsidRPr="005B744E">
      <w:rPr>
        <w:b/>
        <w:spacing w:val="-2"/>
      </w:rPr>
      <w:t>-</w:t>
    </w:r>
    <w:r w:rsidR="001F36DD">
      <w:rPr>
        <w:b/>
        <w:spacing w:val="-2"/>
      </w:rPr>
      <w:t>497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9FC" w:rsidRDefault="008859FC" w:rsidP="008859FC">
    <w:pPr>
      <w:pStyle w:val="Header"/>
    </w:pPr>
  </w:p>
  <w:p w:rsidR="00DC3D5C" w:rsidRPr="00F60397" w:rsidRDefault="00DC3D5C" w:rsidP="00F60397">
    <w:pPr>
      <w:tabs>
        <w:tab w:val="center" w:pos="4680"/>
        <w:tab w:val="right" w:pos="9360"/>
      </w:tabs>
    </w:pPr>
    <w:r w:rsidRPr="00E92283">
      <w:rPr>
        <w:b/>
        <w:noProof/>
      </w:rPr>
      <mc:AlternateContent>
        <mc:Choice Requires="wps">
          <w:drawing>
            <wp:anchor distT="0" distB="0" distL="114300" distR="114300" simplePos="0" relativeHeight="251659264" behindDoc="1" locked="0" layoutInCell="0" allowOverlap="1" wp14:anchorId="17F61603" wp14:editId="56B73280">
              <wp:simplePos x="0" y="0"/>
              <wp:positionH relativeFrom="margin">
                <wp:posOffset>7620</wp:posOffset>
              </wp:positionH>
              <wp:positionV relativeFrom="paragraph">
                <wp:posOffset>160655</wp:posOffset>
              </wp:positionV>
              <wp:extent cx="5943600" cy="12065"/>
              <wp:effectExtent l="0" t="0" r="19050" b="260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417093"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" o:allowincell="f" fillcolor="black" strokeweight=".05pt">
              <w10:wrap anchorx="margin"/>
            </v:rect>
          </w:pict>
        </mc:Fallback>
      </mc:AlternateContent>
    </w:r>
    <w:r w:rsidRPr="00E92283">
      <w:rPr>
        <w:b/>
      </w:rPr>
      <w:tab/>
      <w:t>Federal Communications Commission</w:t>
    </w:r>
    <w:r w:rsidRPr="00E92283">
      <w:rPr>
        <w:b/>
      </w:rPr>
      <w:tab/>
    </w:r>
    <w:r w:rsidRPr="00E92283">
      <w:rPr>
        <w:b/>
        <w:spacing w:val="-2"/>
      </w:rPr>
      <w:t xml:space="preserve">DA </w:t>
    </w:r>
    <w:r w:rsidR="001F36DD">
      <w:rPr>
        <w:b/>
        <w:spacing w:val="-2"/>
      </w:rPr>
      <w:t>16-497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923"/>
    <w:multiLevelType w:val="hybridMultilevel"/>
    <w:tmpl w:val="EE4ED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71CEB"/>
    <w:multiLevelType w:val="hybridMultilevel"/>
    <w:tmpl w:val="A7C23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E45C4E"/>
    <w:multiLevelType w:val="hybridMultilevel"/>
    <w:tmpl w:val="D2F80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CC4647"/>
    <w:multiLevelType w:val="hybridMultilevel"/>
    <w:tmpl w:val="A56803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8B5832"/>
    <w:multiLevelType w:val="hybridMultilevel"/>
    <w:tmpl w:val="57C0B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6B40596"/>
    <w:multiLevelType w:val="hybridMultilevel"/>
    <w:tmpl w:val="60CAADFC"/>
    <w:lvl w:ilvl="0" w:tplc="83B08E58">
      <w:start w:val="4"/>
      <w:numFmt w:val="bullet"/>
      <w:lvlText w:val="•"/>
      <w:lvlJc w:val="left"/>
      <w:pPr>
        <w:ind w:left="1080" w:hanging="360"/>
      </w:pPr>
      <w:rPr>
        <w:rFonts w:ascii="Times New Roman Bold" w:eastAsia="Times New Roman" w:hAnsi="Times New Roman Bold"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13">
    <w:nsid w:val="62FB739F"/>
    <w:multiLevelType w:val="hybridMultilevel"/>
    <w:tmpl w:val="B5168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15">
    <w:nsid w:val="7AD3346B"/>
    <w:multiLevelType w:val="hybridMultilevel"/>
    <w:tmpl w:val="790A13C0"/>
    <w:lvl w:ilvl="0" w:tplc="FFFFFFFF">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tplc="40CAFA9C">
      <w:start w:val="1"/>
      <w:numFmt w:val="lowerLetter"/>
      <w:pStyle w:val="StyleParaNumAfter0pt"/>
      <w:lvlText w:val="(%2)"/>
      <w:lvlJc w:val="left"/>
      <w:pPr>
        <w:tabs>
          <w:tab w:val="num" w:pos="1440"/>
        </w:tabs>
        <w:ind w:left="1440" w:hanging="360"/>
      </w:pPr>
      <w:rPr>
        <w:rFonts w:cs="Times New Roman" w:hint="default"/>
        <w:b w:val="0"/>
        <w:i w:val="0"/>
        <w:sz w:val="22"/>
        <w:szCs w:val="22"/>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4"/>
  </w:num>
  <w:num w:numId="2">
    <w:abstractNumId w:val="12"/>
  </w:num>
  <w:num w:numId="3">
    <w:abstractNumId w:val="11"/>
  </w:num>
  <w:num w:numId="4">
    <w:abstractNumId w:val="15"/>
  </w:num>
  <w:num w:numId="5">
    <w:abstractNumId w:val="8"/>
  </w:num>
  <w:num w:numId="6">
    <w:abstractNumId w:val="0"/>
  </w:num>
  <w:num w:numId="7">
    <w:abstractNumId w:val="4"/>
  </w:num>
  <w:num w:numId="8">
    <w:abstractNumId w:val="13"/>
  </w:num>
  <w:num w:numId="9">
    <w:abstractNumId w:val="3"/>
  </w:num>
  <w:num w:numId="10">
    <w:abstractNumId w:val="2"/>
  </w:num>
  <w:num w:numId="11">
    <w:abstractNumId w:val="6"/>
  </w:num>
  <w:num w:numId="12">
    <w:abstractNumId w:val="9"/>
  </w:num>
  <w:num w:numId="13">
    <w:abstractNumId w:val="7"/>
  </w:num>
  <w:num w:numId="14">
    <w:abstractNumId w:val="1"/>
  </w:num>
  <w:num w:numId="15">
    <w:abstractNumId w:val="10"/>
  </w:num>
  <w:num w:numId="16">
    <w:abstractNumId w:val="5"/>
  </w:num>
  <w:num w:numId="17">
    <w:abstractNumId w:val="11"/>
    <w:lvlOverride w:ilvl="0">
      <w:startOverride w:val="1"/>
    </w:lvlOverride>
  </w:num>
  <w:num w:numId="18">
    <w:abstractNumId w:val="11"/>
  </w:num>
  <w:num w:numId="19">
    <w:abstractNumId w:val="11"/>
  </w:num>
  <w:num w:numId="20">
    <w:abstractNumId w:val="11"/>
  </w:num>
  <w:num w:numId="21">
    <w:abstractNumId w:val="11"/>
  </w:num>
  <w:num w:numId="2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81"/>
    <w:rsid w:val="00000C6C"/>
    <w:rsid w:val="00000D69"/>
    <w:rsid w:val="00001F91"/>
    <w:rsid w:val="000021A3"/>
    <w:rsid w:val="00006096"/>
    <w:rsid w:val="00006B8F"/>
    <w:rsid w:val="0000715C"/>
    <w:rsid w:val="0001067E"/>
    <w:rsid w:val="00011FC8"/>
    <w:rsid w:val="00012592"/>
    <w:rsid w:val="0001259D"/>
    <w:rsid w:val="000136FB"/>
    <w:rsid w:val="00015D7C"/>
    <w:rsid w:val="0001758D"/>
    <w:rsid w:val="000221BE"/>
    <w:rsid w:val="00024160"/>
    <w:rsid w:val="00024D51"/>
    <w:rsid w:val="00026F3F"/>
    <w:rsid w:val="00031191"/>
    <w:rsid w:val="00032D45"/>
    <w:rsid w:val="00036451"/>
    <w:rsid w:val="00040C91"/>
    <w:rsid w:val="000412F0"/>
    <w:rsid w:val="000413FE"/>
    <w:rsid w:val="00041435"/>
    <w:rsid w:val="0004206A"/>
    <w:rsid w:val="00042E52"/>
    <w:rsid w:val="000430C1"/>
    <w:rsid w:val="00043BB1"/>
    <w:rsid w:val="00043C5E"/>
    <w:rsid w:val="000457E5"/>
    <w:rsid w:val="00045A25"/>
    <w:rsid w:val="000475FE"/>
    <w:rsid w:val="00047C22"/>
    <w:rsid w:val="00051FC4"/>
    <w:rsid w:val="0005514C"/>
    <w:rsid w:val="00060BD6"/>
    <w:rsid w:val="00061700"/>
    <w:rsid w:val="00062C72"/>
    <w:rsid w:val="0006340A"/>
    <w:rsid w:val="00064C65"/>
    <w:rsid w:val="00067DA4"/>
    <w:rsid w:val="0007102F"/>
    <w:rsid w:val="00071253"/>
    <w:rsid w:val="00075CF4"/>
    <w:rsid w:val="00077222"/>
    <w:rsid w:val="00083739"/>
    <w:rsid w:val="00083BBB"/>
    <w:rsid w:val="00084F62"/>
    <w:rsid w:val="0008593B"/>
    <w:rsid w:val="0008793B"/>
    <w:rsid w:val="000907C9"/>
    <w:rsid w:val="00092A66"/>
    <w:rsid w:val="00092BAB"/>
    <w:rsid w:val="00092BF2"/>
    <w:rsid w:val="000973EC"/>
    <w:rsid w:val="00097E37"/>
    <w:rsid w:val="000A02F1"/>
    <w:rsid w:val="000A0708"/>
    <w:rsid w:val="000A1455"/>
    <w:rsid w:val="000A2104"/>
    <w:rsid w:val="000A3027"/>
    <w:rsid w:val="000A4B2B"/>
    <w:rsid w:val="000A65A9"/>
    <w:rsid w:val="000A72EB"/>
    <w:rsid w:val="000A78F3"/>
    <w:rsid w:val="000B5FAA"/>
    <w:rsid w:val="000B6354"/>
    <w:rsid w:val="000B74EE"/>
    <w:rsid w:val="000C03A5"/>
    <w:rsid w:val="000C1022"/>
    <w:rsid w:val="000C6E17"/>
    <w:rsid w:val="000C6E40"/>
    <w:rsid w:val="000D240A"/>
    <w:rsid w:val="000D3BEE"/>
    <w:rsid w:val="000D5CEF"/>
    <w:rsid w:val="000D7F8B"/>
    <w:rsid w:val="000E0BD7"/>
    <w:rsid w:val="000E71A8"/>
    <w:rsid w:val="000F11B8"/>
    <w:rsid w:val="000F1523"/>
    <w:rsid w:val="000F1FEB"/>
    <w:rsid w:val="000F22A2"/>
    <w:rsid w:val="000F41D6"/>
    <w:rsid w:val="000F438B"/>
    <w:rsid w:val="000F7572"/>
    <w:rsid w:val="001002A6"/>
    <w:rsid w:val="001056BA"/>
    <w:rsid w:val="00106C96"/>
    <w:rsid w:val="00110261"/>
    <w:rsid w:val="00111A21"/>
    <w:rsid w:val="00113784"/>
    <w:rsid w:val="00113BC4"/>
    <w:rsid w:val="00116FE5"/>
    <w:rsid w:val="00117273"/>
    <w:rsid w:val="00122A8F"/>
    <w:rsid w:val="0013283B"/>
    <w:rsid w:val="001336C6"/>
    <w:rsid w:val="0013442B"/>
    <w:rsid w:val="001353CD"/>
    <w:rsid w:val="001374F2"/>
    <w:rsid w:val="001374F8"/>
    <w:rsid w:val="00137BCF"/>
    <w:rsid w:val="001422A3"/>
    <w:rsid w:val="001435D9"/>
    <w:rsid w:val="0014680D"/>
    <w:rsid w:val="001564D8"/>
    <w:rsid w:val="001565E0"/>
    <w:rsid w:val="001602AA"/>
    <w:rsid w:val="00161B26"/>
    <w:rsid w:val="00162CC6"/>
    <w:rsid w:val="001643B3"/>
    <w:rsid w:val="00172372"/>
    <w:rsid w:val="00172896"/>
    <w:rsid w:val="00175520"/>
    <w:rsid w:val="001765F1"/>
    <w:rsid w:val="00180FE4"/>
    <w:rsid w:val="00182136"/>
    <w:rsid w:val="00186025"/>
    <w:rsid w:val="0018718B"/>
    <w:rsid w:val="0019205D"/>
    <w:rsid w:val="00194247"/>
    <w:rsid w:val="00196363"/>
    <w:rsid w:val="001A04AB"/>
    <w:rsid w:val="001A7294"/>
    <w:rsid w:val="001A73D7"/>
    <w:rsid w:val="001B0C82"/>
    <w:rsid w:val="001B1F2B"/>
    <w:rsid w:val="001B28E2"/>
    <w:rsid w:val="001C3391"/>
    <w:rsid w:val="001C6FD2"/>
    <w:rsid w:val="001C7ACB"/>
    <w:rsid w:val="001C7E3F"/>
    <w:rsid w:val="001D1BD2"/>
    <w:rsid w:val="001D21C7"/>
    <w:rsid w:val="001D432B"/>
    <w:rsid w:val="001D43E1"/>
    <w:rsid w:val="001E0AD2"/>
    <w:rsid w:val="001E218B"/>
    <w:rsid w:val="001E3C95"/>
    <w:rsid w:val="001E5C37"/>
    <w:rsid w:val="001E5EA0"/>
    <w:rsid w:val="001E621A"/>
    <w:rsid w:val="001F0F03"/>
    <w:rsid w:val="001F1B76"/>
    <w:rsid w:val="001F36DD"/>
    <w:rsid w:val="001F39AA"/>
    <w:rsid w:val="001F6575"/>
    <w:rsid w:val="001F7A78"/>
    <w:rsid w:val="0020014C"/>
    <w:rsid w:val="002044D7"/>
    <w:rsid w:val="00204AA0"/>
    <w:rsid w:val="002051C3"/>
    <w:rsid w:val="0020572D"/>
    <w:rsid w:val="00210084"/>
    <w:rsid w:val="002112B7"/>
    <w:rsid w:val="002119D0"/>
    <w:rsid w:val="0021431B"/>
    <w:rsid w:val="00215996"/>
    <w:rsid w:val="00215F06"/>
    <w:rsid w:val="0022442C"/>
    <w:rsid w:val="00226DB0"/>
    <w:rsid w:val="002302F1"/>
    <w:rsid w:val="00232003"/>
    <w:rsid w:val="0023346D"/>
    <w:rsid w:val="002341EF"/>
    <w:rsid w:val="00237E00"/>
    <w:rsid w:val="002431CE"/>
    <w:rsid w:val="00246DD3"/>
    <w:rsid w:val="00247671"/>
    <w:rsid w:val="0025179A"/>
    <w:rsid w:val="00253BA7"/>
    <w:rsid w:val="00254133"/>
    <w:rsid w:val="00255A78"/>
    <w:rsid w:val="00255BD6"/>
    <w:rsid w:val="00255F9B"/>
    <w:rsid w:val="0025694A"/>
    <w:rsid w:val="0025762A"/>
    <w:rsid w:val="00260BE8"/>
    <w:rsid w:val="002617F1"/>
    <w:rsid w:val="002639F4"/>
    <w:rsid w:val="00264929"/>
    <w:rsid w:val="002661C4"/>
    <w:rsid w:val="00271CED"/>
    <w:rsid w:val="00271E9B"/>
    <w:rsid w:val="0027444B"/>
    <w:rsid w:val="002754BC"/>
    <w:rsid w:val="00277A4F"/>
    <w:rsid w:val="002824BA"/>
    <w:rsid w:val="00282EB3"/>
    <w:rsid w:val="002849B2"/>
    <w:rsid w:val="00285BAA"/>
    <w:rsid w:val="00286303"/>
    <w:rsid w:val="002911F1"/>
    <w:rsid w:val="0029239D"/>
    <w:rsid w:val="00293F48"/>
    <w:rsid w:val="0029779F"/>
    <w:rsid w:val="00297E39"/>
    <w:rsid w:val="002A3CC7"/>
    <w:rsid w:val="002A63EC"/>
    <w:rsid w:val="002A7EC5"/>
    <w:rsid w:val="002B1030"/>
    <w:rsid w:val="002B1319"/>
    <w:rsid w:val="002B3B4C"/>
    <w:rsid w:val="002C06AA"/>
    <w:rsid w:val="002C2BE6"/>
    <w:rsid w:val="002C52BE"/>
    <w:rsid w:val="002D27F9"/>
    <w:rsid w:val="002D67E1"/>
    <w:rsid w:val="002E1356"/>
    <w:rsid w:val="002E5566"/>
    <w:rsid w:val="002E583E"/>
    <w:rsid w:val="002E79A6"/>
    <w:rsid w:val="002F1BAF"/>
    <w:rsid w:val="002F703E"/>
    <w:rsid w:val="002F7382"/>
    <w:rsid w:val="002F761C"/>
    <w:rsid w:val="002F7F02"/>
    <w:rsid w:val="0030196C"/>
    <w:rsid w:val="003038CD"/>
    <w:rsid w:val="00304C38"/>
    <w:rsid w:val="00306D54"/>
    <w:rsid w:val="00313368"/>
    <w:rsid w:val="0031443E"/>
    <w:rsid w:val="0031468B"/>
    <w:rsid w:val="003158D5"/>
    <w:rsid w:val="003166ED"/>
    <w:rsid w:val="003210C6"/>
    <w:rsid w:val="00322349"/>
    <w:rsid w:val="0032470E"/>
    <w:rsid w:val="00326D27"/>
    <w:rsid w:val="00330752"/>
    <w:rsid w:val="003313D1"/>
    <w:rsid w:val="003338F9"/>
    <w:rsid w:val="003341E5"/>
    <w:rsid w:val="00334450"/>
    <w:rsid w:val="00334B6A"/>
    <w:rsid w:val="003369FE"/>
    <w:rsid w:val="003378A2"/>
    <w:rsid w:val="00337EC9"/>
    <w:rsid w:val="00341F54"/>
    <w:rsid w:val="00343CF0"/>
    <w:rsid w:val="00345B92"/>
    <w:rsid w:val="0034725C"/>
    <w:rsid w:val="003479EB"/>
    <w:rsid w:val="00350E1C"/>
    <w:rsid w:val="00351997"/>
    <w:rsid w:val="00353A99"/>
    <w:rsid w:val="003540E3"/>
    <w:rsid w:val="00354FD5"/>
    <w:rsid w:val="00356D15"/>
    <w:rsid w:val="003614A8"/>
    <w:rsid w:val="00364E03"/>
    <w:rsid w:val="00365439"/>
    <w:rsid w:val="0037259E"/>
    <w:rsid w:val="00373E08"/>
    <w:rsid w:val="00375EA1"/>
    <w:rsid w:val="003814CE"/>
    <w:rsid w:val="00381549"/>
    <w:rsid w:val="00384B8B"/>
    <w:rsid w:val="0038780D"/>
    <w:rsid w:val="00387B6A"/>
    <w:rsid w:val="00390031"/>
    <w:rsid w:val="00390587"/>
    <w:rsid w:val="003928DB"/>
    <w:rsid w:val="00395E9D"/>
    <w:rsid w:val="003975A7"/>
    <w:rsid w:val="003A01A5"/>
    <w:rsid w:val="003A502F"/>
    <w:rsid w:val="003B1761"/>
    <w:rsid w:val="003B1A70"/>
    <w:rsid w:val="003B30EF"/>
    <w:rsid w:val="003B5704"/>
    <w:rsid w:val="003B67C1"/>
    <w:rsid w:val="003B7B5A"/>
    <w:rsid w:val="003C2930"/>
    <w:rsid w:val="003C41A0"/>
    <w:rsid w:val="003C4A20"/>
    <w:rsid w:val="003C5824"/>
    <w:rsid w:val="003C6BD9"/>
    <w:rsid w:val="003D47BD"/>
    <w:rsid w:val="003D66C7"/>
    <w:rsid w:val="003E6415"/>
    <w:rsid w:val="003E78BF"/>
    <w:rsid w:val="003F2B5A"/>
    <w:rsid w:val="003F2E86"/>
    <w:rsid w:val="003F342B"/>
    <w:rsid w:val="003F541B"/>
    <w:rsid w:val="00401498"/>
    <w:rsid w:val="00401DF6"/>
    <w:rsid w:val="00403A86"/>
    <w:rsid w:val="0041264B"/>
    <w:rsid w:val="00413C25"/>
    <w:rsid w:val="00415029"/>
    <w:rsid w:val="004172C6"/>
    <w:rsid w:val="00420621"/>
    <w:rsid w:val="00421603"/>
    <w:rsid w:val="004223B8"/>
    <w:rsid w:val="00422B4E"/>
    <w:rsid w:val="00422D6A"/>
    <w:rsid w:val="00424852"/>
    <w:rsid w:val="00424D63"/>
    <w:rsid w:val="00424DE6"/>
    <w:rsid w:val="0042500E"/>
    <w:rsid w:val="00425CFE"/>
    <w:rsid w:val="00427883"/>
    <w:rsid w:val="00430B7E"/>
    <w:rsid w:val="00433850"/>
    <w:rsid w:val="0043465D"/>
    <w:rsid w:val="00435FED"/>
    <w:rsid w:val="00437D5A"/>
    <w:rsid w:val="004413D7"/>
    <w:rsid w:val="004428AB"/>
    <w:rsid w:val="00445065"/>
    <w:rsid w:val="004453EA"/>
    <w:rsid w:val="0044645C"/>
    <w:rsid w:val="00451BB9"/>
    <w:rsid w:val="00451C2B"/>
    <w:rsid w:val="00452E33"/>
    <w:rsid w:val="00453C5F"/>
    <w:rsid w:val="00460EC0"/>
    <w:rsid w:val="0046348E"/>
    <w:rsid w:val="004710E7"/>
    <w:rsid w:val="00471223"/>
    <w:rsid w:val="00473C64"/>
    <w:rsid w:val="00474508"/>
    <w:rsid w:val="0047487B"/>
    <w:rsid w:val="00474D14"/>
    <w:rsid w:val="00475713"/>
    <w:rsid w:val="00475D6B"/>
    <w:rsid w:val="004863AC"/>
    <w:rsid w:val="00487CDC"/>
    <w:rsid w:val="00491064"/>
    <w:rsid w:val="004914B7"/>
    <w:rsid w:val="004955BA"/>
    <w:rsid w:val="00495EF1"/>
    <w:rsid w:val="00496C73"/>
    <w:rsid w:val="004973E2"/>
    <w:rsid w:val="004A2300"/>
    <w:rsid w:val="004A4B6C"/>
    <w:rsid w:val="004B0789"/>
    <w:rsid w:val="004B1EF9"/>
    <w:rsid w:val="004B3DE7"/>
    <w:rsid w:val="004B5076"/>
    <w:rsid w:val="004B5A79"/>
    <w:rsid w:val="004B6030"/>
    <w:rsid w:val="004B6CE3"/>
    <w:rsid w:val="004B6E9D"/>
    <w:rsid w:val="004C04B0"/>
    <w:rsid w:val="004C1059"/>
    <w:rsid w:val="004C292D"/>
    <w:rsid w:val="004C7877"/>
    <w:rsid w:val="004D75AA"/>
    <w:rsid w:val="004D7C66"/>
    <w:rsid w:val="004E019C"/>
    <w:rsid w:val="004E09A2"/>
    <w:rsid w:val="004E20EC"/>
    <w:rsid w:val="004E25CA"/>
    <w:rsid w:val="004E42E2"/>
    <w:rsid w:val="004E5204"/>
    <w:rsid w:val="004E6544"/>
    <w:rsid w:val="004E78B9"/>
    <w:rsid w:val="004F2C53"/>
    <w:rsid w:val="004F2ECD"/>
    <w:rsid w:val="004F3251"/>
    <w:rsid w:val="004F470E"/>
    <w:rsid w:val="004F5A94"/>
    <w:rsid w:val="004F62E8"/>
    <w:rsid w:val="004F6B80"/>
    <w:rsid w:val="00500A05"/>
    <w:rsid w:val="00500F04"/>
    <w:rsid w:val="0050166C"/>
    <w:rsid w:val="00503DCB"/>
    <w:rsid w:val="00504785"/>
    <w:rsid w:val="00506430"/>
    <w:rsid w:val="005116BA"/>
    <w:rsid w:val="005119BA"/>
    <w:rsid w:val="005126EA"/>
    <w:rsid w:val="005142AD"/>
    <w:rsid w:val="00514A5B"/>
    <w:rsid w:val="005155B5"/>
    <w:rsid w:val="0051631C"/>
    <w:rsid w:val="00521311"/>
    <w:rsid w:val="0052262B"/>
    <w:rsid w:val="0052272D"/>
    <w:rsid w:val="00522E0F"/>
    <w:rsid w:val="00525F64"/>
    <w:rsid w:val="00526969"/>
    <w:rsid w:val="00527DF5"/>
    <w:rsid w:val="005322EB"/>
    <w:rsid w:val="005328E4"/>
    <w:rsid w:val="00532A3F"/>
    <w:rsid w:val="00532C8B"/>
    <w:rsid w:val="005336CC"/>
    <w:rsid w:val="005339B8"/>
    <w:rsid w:val="005343A9"/>
    <w:rsid w:val="00535B60"/>
    <w:rsid w:val="00537303"/>
    <w:rsid w:val="00537DB1"/>
    <w:rsid w:val="0054001D"/>
    <w:rsid w:val="0054103D"/>
    <w:rsid w:val="005413C8"/>
    <w:rsid w:val="00541EEA"/>
    <w:rsid w:val="00544B2F"/>
    <w:rsid w:val="005468DC"/>
    <w:rsid w:val="00547CE4"/>
    <w:rsid w:val="00551A08"/>
    <w:rsid w:val="00554736"/>
    <w:rsid w:val="00555D34"/>
    <w:rsid w:val="00556621"/>
    <w:rsid w:val="00556E17"/>
    <w:rsid w:val="005572E3"/>
    <w:rsid w:val="0056095A"/>
    <w:rsid w:val="00560E8B"/>
    <w:rsid w:val="0056323D"/>
    <w:rsid w:val="00564650"/>
    <w:rsid w:val="00567D61"/>
    <w:rsid w:val="0057007F"/>
    <w:rsid w:val="00570CDA"/>
    <w:rsid w:val="00572694"/>
    <w:rsid w:val="00575313"/>
    <w:rsid w:val="0057714E"/>
    <w:rsid w:val="00577295"/>
    <w:rsid w:val="0057772C"/>
    <w:rsid w:val="005779C9"/>
    <w:rsid w:val="005816FB"/>
    <w:rsid w:val="00583524"/>
    <w:rsid w:val="00584805"/>
    <w:rsid w:val="00585DC5"/>
    <w:rsid w:val="00586E9E"/>
    <w:rsid w:val="00586F83"/>
    <w:rsid w:val="00587FE4"/>
    <w:rsid w:val="00590221"/>
    <w:rsid w:val="00591B5D"/>
    <w:rsid w:val="005922F2"/>
    <w:rsid w:val="00593AF2"/>
    <w:rsid w:val="0059515B"/>
    <w:rsid w:val="00595DC2"/>
    <w:rsid w:val="00596580"/>
    <w:rsid w:val="005A027A"/>
    <w:rsid w:val="005A6922"/>
    <w:rsid w:val="005A7E20"/>
    <w:rsid w:val="005B0002"/>
    <w:rsid w:val="005B1525"/>
    <w:rsid w:val="005B56F7"/>
    <w:rsid w:val="005B73F0"/>
    <w:rsid w:val="005B744E"/>
    <w:rsid w:val="005B783E"/>
    <w:rsid w:val="005C633C"/>
    <w:rsid w:val="005C6CB8"/>
    <w:rsid w:val="005D149D"/>
    <w:rsid w:val="005D25D0"/>
    <w:rsid w:val="005D2A55"/>
    <w:rsid w:val="005D4692"/>
    <w:rsid w:val="005D5AA1"/>
    <w:rsid w:val="005E01D1"/>
    <w:rsid w:val="005E1749"/>
    <w:rsid w:val="005E1A27"/>
    <w:rsid w:val="005E1D2B"/>
    <w:rsid w:val="005E1DEF"/>
    <w:rsid w:val="005E2406"/>
    <w:rsid w:val="005E5545"/>
    <w:rsid w:val="005E5F3A"/>
    <w:rsid w:val="005F0833"/>
    <w:rsid w:val="005F177D"/>
    <w:rsid w:val="005F4E17"/>
    <w:rsid w:val="00601C05"/>
    <w:rsid w:val="00602A48"/>
    <w:rsid w:val="00603565"/>
    <w:rsid w:val="00604176"/>
    <w:rsid w:val="0060454B"/>
    <w:rsid w:val="00605611"/>
    <w:rsid w:val="006065B6"/>
    <w:rsid w:val="00606643"/>
    <w:rsid w:val="00610FDD"/>
    <w:rsid w:val="006133A9"/>
    <w:rsid w:val="00614501"/>
    <w:rsid w:val="00616460"/>
    <w:rsid w:val="00616B9F"/>
    <w:rsid w:val="00617CE3"/>
    <w:rsid w:val="00623AC8"/>
    <w:rsid w:val="00623D18"/>
    <w:rsid w:val="00623FB8"/>
    <w:rsid w:val="006300A4"/>
    <w:rsid w:val="00630C96"/>
    <w:rsid w:val="006332BD"/>
    <w:rsid w:val="00637674"/>
    <w:rsid w:val="00641561"/>
    <w:rsid w:val="00641648"/>
    <w:rsid w:val="006418FA"/>
    <w:rsid w:val="0064199A"/>
    <w:rsid w:val="00641DE6"/>
    <w:rsid w:val="00644DCE"/>
    <w:rsid w:val="0064676C"/>
    <w:rsid w:val="0064768F"/>
    <w:rsid w:val="00647E1D"/>
    <w:rsid w:val="00647E8E"/>
    <w:rsid w:val="00651163"/>
    <w:rsid w:val="0065280A"/>
    <w:rsid w:val="006557F7"/>
    <w:rsid w:val="00660ADE"/>
    <w:rsid w:val="00660F41"/>
    <w:rsid w:val="006622C2"/>
    <w:rsid w:val="006623FB"/>
    <w:rsid w:val="00665594"/>
    <w:rsid w:val="006661A1"/>
    <w:rsid w:val="00666B0A"/>
    <w:rsid w:val="00666CF4"/>
    <w:rsid w:val="0066746E"/>
    <w:rsid w:val="0067016D"/>
    <w:rsid w:val="0067177B"/>
    <w:rsid w:val="00672C6E"/>
    <w:rsid w:val="006765F1"/>
    <w:rsid w:val="006803FC"/>
    <w:rsid w:val="0068278F"/>
    <w:rsid w:val="00684DD5"/>
    <w:rsid w:val="00687285"/>
    <w:rsid w:val="00687876"/>
    <w:rsid w:val="00687E51"/>
    <w:rsid w:val="006903C3"/>
    <w:rsid w:val="00690CEF"/>
    <w:rsid w:val="0069163D"/>
    <w:rsid w:val="0069712B"/>
    <w:rsid w:val="006A1849"/>
    <w:rsid w:val="006A3742"/>
    <w:rsid w:val="006A4F86"/>
    <w:rsid w:val="006A7BE3"/>
    <w:rsid w:val="006B037D"/>
    <w:rsid w:val="006B0ABC"/>
    <w:rsid w:val="006B1A40"/>
    <w:rsid w:val="006B3B51"/>
    <w:rsid w:val="006B3C68"/>
    <w:rsid w:val="006B5691"/>
    <w:rsid w:val="006B5BB2"/>
    <w:rsid w:val="006C16A3"/>
    <w:rsid w:val="006C2C68"/>
    <w:rsid w:val="006C2FC9"/>
    <w:rsid w:val="006C3F1D"/>
    <w:rsid w:val="006D54AE"/>
    <w:rsid w:val="006E22DC"/>
    <w:rsid w:val="006E2E30"/>
    <w:rsid w:val="006E3F36"/>
    <w:rsid w:val="006E4D54"/>
    <w:rsid w:val="006F1B3B"/>
    <w:rsid w:val="006F44FE"/>
    <w:rsid w:val="006F5B75"/>
    <w:rsid w:val="006F5F9A"/>
    <w:rsid w:val="0070072B"/>
    <w:rsid w:val="00703540"/>
    <w:rsid w:val="00703EFC"/>
    <w:rsid w:val="00705182"/>
    <w:rsid w:val="00705CB9"/>
    <w:rsid w:val="00706255"/>
    <w:rsid w:val="007067C7"/>
    <w:rsid w:val="00706CCD"/>
    <w:rsid w:val="00712EEE"/>
    <w:rsid w:val="007144B3"/>
    <w:rsid w:val="00720558"/>
    <w:rsid w:val="00722503"/>
    <w:rsid w:val="00723F01"/>
    <w:rsid w:val="00724437"/>
    <w:rsid w:val="00726FD8"/>
    <w:rsid w:val="00727501"/>
    <w:rsid w:val="0073075A"/>
    <w:rsid w:val="007327A5"/>
    <w:rsid w:val="00736AFD"/>
    <w:rsid w:val="00737B49"/>
    <w:rsid w:val="00742779"/>
    <w:rsid w:val="00742889"/>
    <w:rsid w:val="007452AD"/>
    <w:rsid w:val="0074545F"/>
    <w:rsid w:val="007462B7"/>
    <w:rsid w:val="00747FFC"/>
    <w:rsid w:val="00752092"/>
    <w:rsid w:val="0075283E"/>
    <w:rsid w:val="0075306C"/>
    <w:rsid w:val="007534DB"/>
    <w:rsid w:val="007541CD"/>
    <w:rsid w:val="00755873"/>
    <w:rsid w:val="00755FE2"/>
    <w:rsid w:val="007578C2"/>
    <w:rsid w:val="00764D7C"/>
    <w:rsid w:val="00765361"/>
    <w:rsid w:val="00765D8A"/>
    <w:rsid w:val="00767D0B"/>
    <w:rsid w:val="00771D26"/>
    <w:rsid w:val="00772E30"/>
    <w:rsid w:val="007743C4"/>
    <w:rsid w:val="007749B2"/>
    <w:rsid w:val="007755D2"/>
    <w:rsid w:val="007764E8"/>
    <w:rsid w:val="00785376"/>
    <w:rsid w:val="007858CB"/>
    <w:rsid w:val="00785FC5"/>
    <w:rsid w:val="007864EE"/>
    <w:rsid w:val="00787620"/>
    <w:rsid w:val="0078786B"/>
    <w:rsid w:val="00790620"/>
    <w:rsid w:val="00795B29"/>
    <w:rsid w:val="00796CA3"/>
    <w:rsid w:val="007A02D8"/>
    <w:rsid w:val="007A0888"/>
    <w:rsid w:val="007A3E03"/>
    <w:rsid w:val="007A4F9B"/>
    <w:rsid w:val="007A54EF"/>
    <w:rsid w:val="007A5A51"/>
    <w:rsid w:val="007A5DD2"/>
    <w:rsid w:val="007A7EB6"/>
    <w:rsid w:val="007B19EF"/>
    <w:rsid w:val="007B20EE"/>
    <w:rsid w:val="007B3424"/>
    <w:rsid w:val="007B3B86"/>
    <w:rsid w:val="007B456D"/>
    <w:rsid w:val="007B4AC3"/>
    <w:rsid w:val="007C0BBA"/>
    <w:rsid w:val="007C0CA0"/>
    <w:rsid w:val="007C1F9C"/>
    <w:rsid w:val="007C2F15"/>
    <w:rsid w:val="007C3A62"/>
    <w:rsid w:val="007C3A92"/>
    <w:rsid w:val="007C446B"/>
    <w:rsid w:val="007C4891"/>
    <w:rsid w:val="007C5141"/>
    <w:rsid w:val="007D4BB3"/>
    <w:rsid w:val="007D7384"/>
    <w:rsid w:val="007E21DC"/>
    <w:rsid w:val="007E2347"/>
    <w:rsid w:val="007E3450"/>
    <w:rsid w:val="007E62D6"/>
    <w:rsid w:val="007E67F3"/>
    <w:rsid w:val="007F1655"/>
    <w:rsid w:val="007F17B2"/>
    <w:rsid w:val="007F185D"/>
    <w:rsid w:val="007F4F8B"/>
    <w:rsid w:val="007F5784"/>
    <w:rsid w:val="007F683C"/>
    <w:rsid w:val="007F6982"/>
    <w:rsid w:val="007F7D64"/>
    <w:rsid w:val="0080023B"/>
    <w:rsid w:val="00801B07"/>
    <w:rsid w:val="00803120"/>
    <w:rsid w:val="008044F1"/>
    <w:rsid w:val="00807FED"/>
    <w:rsid w:val="0081222B"/>
    <w:rsid w:val="008127D1"/>
    <w:rsid w:val="00812803"/>
    <w:rsid w:val="008141EF"/>
    <w:rsid w:val="00814895"/>
    <w:rsid w:val="008149CC"/>
    <w:rsid w:val="00815415"/>
    <w:rsid w:val="008208EC"/>
    <w:rsid w:val="00820B84"/>
    <w:rsid w:val="00824196"/>
    <w:rsid w:val="008246E8"/>
    <w:rsid w:val="00826423"/>
    <w:rsid w:val="0082669E"/>
    <w:rsid w:val="0082799E"/>
    <w:rsid w:val="00830755"/>
    <w:rsid w:val="00831FDE"/>
    <w:rsid w:val="00834D3A"/>
    <w:rsid w:val="00836099"/>
    <w:rsid w:val="00836180"/>
    <w:rsid w:val="0083689A"/>
    <w:rsid w:val="008379F2"/>
    <w:rsid w:val="008422AD"/>
    <w:rsid w:val="0084468E"/>
    <w:rsid w:val="00845BF0"/>
    <w:rsid w:val="00846283"/>
    <w:rsid w:val="0084768E"/>
    <w:rsid w:val="00847FB4"/>
    <w:rsid w:val="0085092B"/>
    <w:rsid w:val="00852A0C"/>
    <w:rsid w:val="0085593E"/>
    <w:rsid w:val="00855AD3"/>
    <w:rsid w:val="00855F22"/>
    <w:rsid w:val="008577C9"/>
    <w:rsid w:val="00862439"/>
    <w:rsid w:val="008629F9"/>
    <w:rsid w:val="0086335B"/>
    <w:rsid w:val="00863418"/>
    <w:rsid w:val="008640E1"/>
    <w:rsid w:val="00866E03"/>
    <w:rsid w:val="00867718"/>
    <w:rsid w:val="00872507"/>
    <w:rsid w:val="00874165"/>
    <w:rsid w:val="008743C3"/>
    <w:rsid w:val="00877187"/>
    <w:rsid w:val="0088088D"/>
    <w:rsid w:val="00881D01"/>
    <w:rsid w:val="00882F22"/>
    <w:rsid w:val="008859FC"/>
    <w:rsid w:val="00894020"/>
    <w:rsid w:val="00894B8B"/>
    <w:rsid w:val="00896373"/>
    <w:rsid w:val="008963E7"/>
    <w:rsid w:val="008A0341"/>
    <w:rsid w:val="008A0F7A"/>
    <w:rsid w:val="008A1CCF"/>
    <w:rsid w:val="008A3AA7"/>
    <w:rsid w:val="008A4054"/>
    <w:rsid w:val="008A7F41"/>
    <w:rsid w:val="008B4BAC"/>
    <w:rsid w:val="008B6878"/>
    <w:rsid w:val="008C037D"/>
    <w:rsid w:val="008C0495"/>
    <w:rsid w:val="008C0524"/>
    <w:rsid w:val="008C11DC"/>
    <w:rsid w:val="008C1366"/>
    <w:rsid w:val="008C1A56"/>
    <w:rsid w:val="008C2094"/>
    <w:rsid w:val="008C24FE"/>
    <w:rsid w:val="008C2B8B"/>
    <w:rsid w:val="008C3DA7"/>
    <w:rsid w:val="008C7EF1"/>
    <w:rsid w:val="008D1D4B"/>
    <w:rsid w:val="008D3CD4"/>
    <w:rsid w:val="008D4952"/>
    <w:rsid w:val="008E2775"/>
    <w:rsid w:val="008E56D7"/>
    <w:rsid w:val="008E5E76"/>
    <w:rsid w:val="008E7466"/>
    <w:rsid w:val="008F1AD2"/>
    <w:rsid w:val="008F1ED7"/>
    <w:rsid w:val="008F21CC"/>
    <w:rsid w:val="008F4015"/>
    <w:rsid w:val="008F6B03"/>
    <w:rsid w:val="008F6B27"/>
    <w:rsid w:val="00901083"/>
    <w:rsid w:val="00904F5B"/>
    <w:rsid w:val="0090690B"/>
    <w:rsid w:val="00906BE7"/>
    <w:rsid w:val="009116A8"/>
    <w:rsid w:val="009122C7"/>
    <w:rsid w:val="00915801"/>
    <w:rsid w:val="00921F64"/>
    <w:rsid w:val="00922BEA"/>
    <w:rsid w:val="00922DC6"/>
    <w:rsid w:val="0092312C"/>
    <w:rsid w:val="009316B9"/>
    <w:rsid w:val="00934084"/>
    <w:rsid w:val="0093611D"/>
    <w:rsid w:val="00941051"/>
    <w:rsid w:val="009420B0"/>
    <w:rsid w:val="00945F4D"/>
    <w:rsid w:val="009466B6"/>
    <w:rsid w:val="0094681D"/>
    <w:rsid w:val="00946EC0"/>
    <w:rsid w:val="009476ED"/>
    <w:rsid w:val="00950220"/>
    <w:rsid w:val="00951DE8"/>
    <w:rsid w:val="00953743"/>
    <w:rsid w:val="00954FA7"/>
    <w:rsid w:val="0095625E"/>
    <w:rsid w:val="009564F1"/>
    <w:rsid w:val="00956595"/>
    <w:rsid w:val="0096355B"/>
    <w:rsid w:val="009645E5"/>
    <w:rsid w:val="009656E8"/>
    <w:rsid w:val="00966BA9"/>
    <w:rsid w:val="00970E37"/>
    <w:rsid w:val="009752A0"/>
    <w:rsid w:val="00975A85"/>
    <w:rsid w:val="0097654D"/>
    <w:rsid w:val="0097675F"/>
    <w:rsid w:val="009776AB"/>
    <w:rsid w:val="0098034E"/>
    <w:rsid w:val="00981228"/>
    <w:rsid w:val="00981B70"/>
    <w:rsid w:val="0098205B"/>
    <w:rsid w:val="00982C5A"/>
    <w:rsid w:val="009830F7"/>
    <w:rsid w:val="00983A6A"/>
    <w:rsid w:val="00984CAF"/>
    <w:rsid w:val="00987969"/>
    <w:rsid w:val="00987C33"/>
    <w:rsid w:val="00990B34"/>
    <w:rsid w:val="00991553"/>
    <w:rsid w:val="00991F95"/>
    <w:rsid w:val="009921DB"/>
    <w:rsid w:val="009929C2"/>
    <w:rsid w:val="0099520D"/>
    <w:rsid w:val="009959C2"/>
    <w:rsid w:val="009A1F9B"/>
    <w:rsid w:val="009A2D17"/>
    <w:rsid w:val="009A2F81"/>
    <w:rsid w:val="009A4018"/>
    <w:rsid w:val="009A4C05"/>
    <w:rsid w:val="009B18C6"/>
    <w:rsid w:val="009C031C"/>
    <w:rsid w:val="009C276F"/>
    <w:rsid w:val="009C37E4"/>
    <w:rsid w:val="009C42E1"/>
    <w:rsid w:val="009C4D84"/>
    <w:rsid w:val="009D265E"/>
    <w:rsid w:val="009D276A"/>
    <w:rsid w:val="009D2ACC"/>
    <w:rsid w:val="009D3ADE"/>
    <w:rsid w:val="009D587C"/>
    <w:rsid w:val="009D701C"/>
    <w:rsid w:val="009D7C9B"/>
    <w:rsid w:val="009E08F3"/>
    <w:rsid w:val="009E0958"/>
    <w:rsid w:val="009E294B"/>
    <w:rsid w:val="009E4072"/>
    <w:rsid w:val="009E64A3"/>
    <w:rsid w:val="009E73DC"/>
    <w:rsid w:val="009E76DF"/>
    <w:rsid w:val="009F08AB"/>
    <w:rsid w:val="009F11C8"/>
    <w:rsid w:val="009F2F9A"/>
    <w:rsid w:val="009F7B1A"/>
    <w:rsid w:val="00A001BE"/>
    <w:rsid w:val="00A0096E"/>
    <w:rsid w:val="00A026C9"/>
    <w:rsid w:val="00A031CA"/>
    <w:rsid w:val="00A0350D"/>
    <w:rsid w:val="00A0573A"/>
    <w:rsid w:val="00A05D59"/>
    <w:rsid w:val="00A12292"/>
    <w:rsid w:val="00A13C44"/>
    <w:rsid w:val="00A14137"/>
    <w:rsid w:val="00A14EE4"/>
    <w:rsid w:val="00A15A13"/>
    <w:rsid w:val="00A15B42"/>
    <w:rsid w:val="00A15BB3"/>
    <w:rsid w:val="00A16D7C"/>
    <w:rsid w:val="00A2151C"/>
    <w:rsid w:val="00A248D1"/>
    <w:rsid w:val="00A31120"/>
    <w:rsid w:val="00A31B76"/>
    <w:rsid w:val="00A3692B"/>
    <w:rsid w:val="00A37677"/>
    <w:rsid w:val="00A3775B"/>
    <w:rsid w:val="00A40AED"/>
    <w:rsid w:val="00A4110C"/>
    <w:rsid w:val="00A435AA"/>
    <w:rsid w:val="00A435C0"/>
    <w:rsid w:val="00A455AF"/>
    <w:rsid w:val="00A46411"/>
    <w:rsid w:val="00A50C1B"/>
    <w:rsid w:val="00A55B84"/>
    <w:rsid w:val="00A56690"/>
    <w:rsid w:val="00A569CE"/>
    <w:rsid w:val="00A60117"/>
    <w:rsid w:val="00A602D6"/>
    <w:rsid w:val="00A60B23"/>
    <w:rsid w:val="00A625BA"/>
    <w:rsid w:val="00A62DF2"/>
    <w:rsid w:val="00A64975"/>
    <w:rsid w:val="00A75348"/>
    <w:rsid w:val="00A75550"/>
    <w:rsid w:val="00A7610E"/>
    <w:rsid w:val="00A77F8F"/>
    <w:rsid w:val="00A831C4"/>
    <w:rsid w:val="00A85E6C"/>
    <w:rsid w:val="00A85E88"/>
    <w:rsid w:val="00A87AC2"/>
    <w:rsid w:val="00A97B3D"/>
    <w:rsid w:val="00AA1D69"/>
    <w:rsid w:val="00AA3F96"/>
    <w:rsid w:val="00AA7E13"/>
    <w:rsid w:val="00AB1D2C"/>
    <w:rsid w:val="00AB67DE"/>
    <w:rsid w:val="00AB6DA5"/>
    <w:rsid w:val="00AB7987"/>
    <w:rsid w:val="00AB7AB4"/>
    <w:rsid w:val="00AB7C01"/>
    <w:rsid w:val="00AC3F50"/>
    <w:rsid w:val="00AC5B1B"/>
    <w:rsid w:val="00AC6480"/>
    <w:rsid w:val="00AC7021"/>
    <w:rsid w:val="00AC70F3"/>
    <w:rsid w:val="00AD1BD2"/>
    <w:rsid w:val="00AD2F9B"/>
    <w:rsid w:val="00AD6817"/>
    <w:rsid w:val="00AD7876"/>
    <w:rsid w:val="00AE0DC1"/>
    <w:rsid w:val="00AE12C0"/>
    <w:rsid w:val="00AE1573"/>
    <w:rsid w:val="00AE1A8D"/>
    <w:rsid w:val="00AE1BBA"/>
    <w:rsid w:val="00AE2583"/>
    <w:rsid w:val="00AE2BC0"/>
    <w:rsid w:val="00AE3027"/>
    <w:rsid w:val="00AE35F6"/>
    <w:rsid w:val="00AE54D6"/>
    <w:rsid w:val="00AE6635"/>
    <w:rsid w:val="00AF44BB"/>
    <w:rsid w:val="00AF4AE5"/>
    <w:rsid w:val="00AF5168"/>
    <w:rsid w:val="00AF543D"/>
    <w:rsid w:val="00AF6392"/>
    <w:rsid w:val="00AF6F6E"/>
    <w:rsid w:val="00B0320D"/>
    <w:rsid w:val="00B04BF9"/>
    <w:rsid w:val="00B05FD6"/>
    <w:rsid w:val="00B10724"/>
    <w:rsid w:val="00B13100"/>
    <w:rsid w:val="00B156D6"/>
    <w:rsid w:val="00B16B77"/>
    <w:rsid w:val="00B16C61"/>
    <w:rsid w:val="00B1708D"/>
    <w:rsid w:val="00B21387"/>
    <w:rsid w:val="00B21F54"/>
    <w:rsid w:val="00B24061"/>
    <w:rsid w:val="00B24A9A"/>
    <w:rsid w:val="00B27944"/>
    <w:rsid w:val="00B32E45"/>
    <w:rsid w:val="00B335B9"/>
    <w:rsid w:val="00B33D37"/>
    <w:rsid w:val="00B35874"/>
    <w:rsid w:val="00B44CB9"/>
    <w:rsid w:val="00B46A8D"/>
    <w:rsid w:val="00B47B65"/>
    <w:rsid w:val="00B51F5E"/>
    <w:rsid w:val="00B52385"/>
    <w:rsid w:val="00B5247D"/>
    <w:rsid w:val="00B52903"/>
    <w:rsid w:val="00B552EB"/>
    <w:rsid w:val="00B5612A"/>
    <w:rsid w:val="00B57988"/>
    <w:rsid w:val="00B6139D"/>
    <w:rsid w:val="00B6266B"/>
    <w:rsid w:val="00B63DDB"/>
    <w:rsid w:val="00B64831"/>
    <w:rsid w:val="00B66750"/>
    <w:rsid w:val="00B67DC8"/>
    <w:rsid w:val="00B70FE9"/>
    <w:rsid w:val="00B73AEA"/>
    <w:rsid w:val="00B73BC5"/>
    <w:rsid w:val="00B76783"/>
    <w:rsid w:val="00B76A8F"/>
    <w:rsid w:val="00B76AAB"/>
    <w:rsid w:val="00B81209"/>
    <w:rsid w:val="00B81A00"/>
    <w:rsid w:val="00B86D7B"/>
    <w:rsid w:val="00B876CE"/>
    <w:rsid w:val="00B93325"/>
    <w:rsid w:val="00B937E0"/>
    <w:rsid w:val="00B937E9"/>
    <w:rsid w:val="00B95C4E"/>
    <w:rsid w:val="00B968D6"/>
    <w:rsid w:val="00BA00A5"/>
    <w:rsid w:val="00BA129B"/>
    <w:rsid w:val="00BA36F4"/>
    <w:rsid w:val="00BA79C3"/>
    <w:rsid w:val="00BB00EA"/>
    <w:rsid w:val="00BB02AB"/>
    <w:rsid w:val="00BB182F"/>
    <w:rsid w:val="00BB2173"/>
    <w:rsid w:val="00BB2350"/>
    <w:rsid w:val="00BB2656"/>
    <w:rsid w:val="00BB41A5"/>
    <w:rsid w:val="00BC2102"/>
    <w:rsid w:val="00BC235B"/>
    <w:rsid w:val="00BC32AF"/>
    <w:rsid w:val="00BC4622"/>
    <w:rsid w:val="00BC6994"/>
    <w:rsid w:val="00BD30AC"/>
    <w:rsid w:val="00BD4E1A"/>
    <w:rsid w:val="00BD5746"/>
    <w:rsid w:val="00BE08DF"/>
    <w:rsid w:val="00BE0DF0"/>
    <w:rsid w:val="00BE1E9D"/>
    <w:rsid w:val="00BE4559"/>
    <w:rsid w:val="00BE71D8"/>
    <w:rsid w:val="00BE7B23"/>
    <w:rsid w:val="00BF1CB0"/>
    <w:rsid w:val="00BF6FE2"/>
    <w:rsid w:val="00BF7335"/>
    <w:rsid w:val="00C01F37"/>
    <w:rsid w:val="00C04A83"/>
    <w:rsid w:val="00C05E50"/>
    <w:rsid w:val="00C07E24"/>
    <w:rsid w:val="00C152E5"/>
    <w:rsid w:val="00C210E7"/>
    <w:rsid w:val="00C21101"/>
    <w:rsid w:val="00C219A7"/>
    <w:rsid w:val="00C26416"/>
    <w:rsid w:val="00C31528"/>
    <w:rsid w:val="00C32D73"/>
    <w:rsid w:val="00C3593A"/>
    <w:rsid w:val="00C359DC"/>
    <w:rsid w:val="00C3752C"/>
    <w:rsid w:val="00C46AD6"/>
    <w:rsid w:val="00C50243"/>
    <w:rsid w:val="00C5180F"/>
    <w:rsid w:val="00C52227"/>
    <w:rsid w:val="00C52825"/>
    <w:rsid w:val="00C52C52"/>
    <w:rsid w:val="00C52E9F"/>
    <w:rsid w:val="00C532D4"/>
    <w:rsid w:val="00C535F8"/>
    <w:rsid w:val="00C56892"/>
    <w:rsid w:val="00C6209F"/>
    <w:rsid w:val="00C67360"/>
    <w:rsid w:val="00C67DCF"/>
    <w:rsid w:val="00C756EA"/>
    <w:rsid w:val="00C75D98"/>
    <w:rsid w:val="00C87338"/>
    <w:rsid w:val="00C9031A"/>
    <w:rsid w:val="00C91870"/>
    <w:rsid w:val="00C97955"/>
    <w:rsid w:val="00C97BE2"/>
    <w:rsid w:val="00CA19B9"/>
    <w:rsid w:val="00CA22ED"/>
    <w:rsid w:val="00CA63CC"/>
    <w:rsid w:val="00CA7E59"/>
    <w:rsid w:val="00CB2CB3"/>
    <w:rsid w:val="00CB3253"/>
    <w:rsid w:val="00CB3475"/>
    <w:rsid w:val="00CB3E08"/>
    <w:rsid w:val="00CB5252"/>
    <w:rsid w:val="00CB5917"/>
    <w:rsid w:val="00CB5FB7"/>
    <w:rsid w:val="00CB60F6"/>
    <w:rsid w:val="00CB6313"/>
    <w:rsid w:val="00CB7CDC"/>
    <w:rsid w:val="00CC1EF0"/>
    <w:rsid w:val="00CC2B32"/>
    <w:rsid w:val="00CC7A35"/>
    <w:rsid w:val="00CD1883"/>
    <w:rsid w:val="00CD372F"/>
    <w:rsid w:val="00CD4460"/>
    <w:rsid w:val="00CD4AF9"/>
    <w:rsid w:val="00CE0212"/>
    <w:rsid w:val="00CE25C4"/>
    <w:rsid w:val="00CE2CD7"/>
    <w:rsid w:val="00CE43FD"/>
    <w:rsid w:val="00CE4637"/>
    <w:rsid w:val="00CE6C03"/>
    <w:rsid w:val="00CF0B35"/>
    <w:rsid w:val="00CF0C10"/>
    <w:rsid w:val="00CF1512"/>
    <w:rsid w:val="00CF412B"/>
    <w:rsid w:val="00CF750C"/>
    <w:rsid w:val="00CF7F0D"/>
    <w:rsid w:val="00D0158A"/>
    <w:rsid w:val="00D029C5"/>
    <w:rsid w:val="00D0680D"/>
    <w:rsid w:val="00D10070"/>
    <w:rsid w:val="00D20F36"/>
    <w:rsid w:val="00D22FDF"/>
    <w:rsid w:val="00D23390"/>
    <w:rsid w:val="00D24E13"/>
    <w:rsid w:val="00D2638A"/>
    <w:rsid w:val="00D31832"/>
    <w:rsid w:val="00D3690C"/>
    <w:rsid w:val="00D40B62"/>
    <w:rsid w:val="00D415D9"/>
    <w:rsid w:val="00D46AD4"/>
    <w:rsid w:val="00D517C2"/>
    <w:rsid w:val="00D522EE"/>
    <w:rsid w:val="00D52DEA"/>
    <w:rsid w:val="00D535BE"/>
    <w:rsid w:val="00D5405B"/>
    <w:rsid w:val="00D56C0E"/>
    <w:rsid w:val="00D61398"/>
    <w:rsid w:val="00D64338"/>
    <w:rsid w:val="00D66364"/>
    <w:rsid w:val="00D669CC"/>
    <w:rsid w:val="00D66FF5"/>
    <w:rsid w:val="00D67FCE"/>
    <w:rsid w:val="00D7118B"/>
    <w:rsid w:val="00D71513"/>
    <w:rsid w:val="00D71F99"/>
    <w:rsid w:val="00D731FE"/>
    <w:rsid w:val="00D73FC3"/>
    <w:rsid w:val="00D74C4E"/>
    <w:rsid w:val="00D80074"/>
    <w:rsid w:val="00D818C8"/>
    <w:rsid w:val="00D8476B"/>
    <w:rsid w:val="00D85DAF"/>
    <w:rsid w:val="00D87441"/>
    <w:rsid w:val="00D877AC"/>
    <w:rsid w:val="00D92CC6"/>
    <w:rsid w:val="00D944AF"/>
    <w:rsid w:val="00D94648"/>
    <w:rsid w:val="00D97661"/>
    <w:rsid w:val="00DA4CDB"/>
    <w:rsid w:val="00DA4DED"/>
    <w:rsid w:val="00DA7007"/>
    <w:rsid w:val="00DB1253"/>
    <w:rsid w:val="00DB7B33"/>
    <w:rsid w:val="00DC030E"/>
    <w:rsid w:val="00DC39C5"/>
    <w:rsid w:val="00DC3D5C"/>
    <w:rsid w:val="00DC5525"/>
    <w:rsid w:val="00DC710C"/>
    <w:rsid w:val="00DD03BA"/>
    <w:rsid w:val="00DD2559"/>
    <w:rsid w:val="00DD26EA"/>
    <w:rsid w:val="00DD400A"/>
    <w:rsid w:val="00DD42E6"/>
    <w:rsid w:val="00DE3BA3"/>
    <w:rsid w:val="00DE7AA2"/>
    <w:rsid w:val="00DF0D42"/>
    <w:rsid w:val="00DF2406"/>
    <w:rsid w:val="00DF270A"/>
    <w:rsid w:val="00DF3969"/>
    <w:rsid w:val="00DF3A53"/>
    <w:rsid w:val="00DF55BA"/>
    <w:rsid w:val="00E016A5"/>
    <w:rsid w:val="00E06091"/>
    <w:rsid w:val="00E06F13"/>
    <w:rsid w:val="00E06F80"/>
    <w:rsid w:val="00E11EAB"/>
    <w:rsid w:val="00E136C0"/>
    <w:rsid w:val="00E139CC"/>
    <w:rsid w:val="00E15F9C"/>
    <w:rsid w:val="00E21200"/>
    <w:rsid w:val="00E26878"/>
    <w:rsid w:val="00E30369"/>
    <w:rsid w:val="00E30FB0"/>
    <w:rsid w:val="00E315AE"/>
    <w:rsid w:val="00E32BA9"/>
    <w:rsid w:val="00E34768"/>
    <w:rsid w:val="00E35544"/>
    <w:rsid w:val="00E37EAF"/>
    <w:rsid w:val="00E426B8"/>
    <w:rsid w:val="00E43A7C"/>
    <w:rsid w:val="00E43FFF"/>
    <w:rsid w:val="00E4646F"/>
    <w:rsid w:val="00E46843"/>
    <w:rsid w:val="00E50979"/>
    <w:rsid w:val="00E51A4C"/>
    <w:rsid w:val="00E52524"/>
    <w:rsid w:val="00E5273B"/>
    <w:rsid w:val="00E56CAD"/>
    <w:rsid w:val="00E60F3F"/>
    <w:rsid w:val="00E62F6B"/>
    <w:rsid w:val="00E64E7E"/>
    <w:rsid w:val="00E65578"/>
    <w:rsid w:val="00E6640C"/>
    <w:rsid w:val="00E66B4B"/>
    <w:rsid w:val="00E70296"/>
    <w:rsid w:val="00E71632"/>
    <w:rsid w:val="00E716A2"/>
    <w:rsid w:val="00E718A9"/>
    <w:rsid w:val="00E72286"/>
    <w:rsid w:val="00E739A8"/>
    <w:rsid w:val="00E73E7E"/>
    <w:rsid w:val="00E81DAB"/>
    <w:rsid w:val="00E83C6B"/>
    <w:rsid w:val="00E849F7"/>
    <w:rsid w:val="00E9018D"/>
    <w:rsid w:val="00E919B3"/>
    <w:rsid w:val="00E92283"/>
    <w:rsid w:val="00E9376C"/>
    <w:rsid w:val="00E9542E"/>
    <w:rsid w:val="00E97F7E"/>
    <w:rsid w:val="00EA0F47"/>
    <w:rsid w:val="00EA1A1A"/>
    <w:rsid w:val="00EA2EEF"/>
    <w:rsid w:val="00EA3659"/>
    <w:rsid w:val="00EA6AF9"/>
    <w:rsid w:val="00EB0154"/>
    <w:rsid w:val="00EB02A6"/>
    <w:rsid w:val="00EB1974"/>
    <w:rsid w:val="00EB1EEC"/>
    <w:rsid w:val="00EB332B"/>
    <w:rsid w:val="00EB48B6"/>
    <w:rsid w:val="00EB5D29"/>
    <w:rsid w:val="00EC0628"/>
    <w:rsid w:val="00EC0B41"/>
    <w:rsid w:val="00EC0F9E"/>
    <w:rsid w:val="00EC18D0"/>
    <w:rsid w:val="00EC477F"/>
    <w:rsid w:val="00EC4EA7"/>
    <w:rsid w:val="00ED064C"/>
    <w:rsid w:val="00ED2556"/>
    <w:rsid w:val="00ED6EB3"/>
    <w:rsid w:val="00EE0059"/>
    <w:rsid w:val="00EE2577"/>
    <w:rsid w:val="00EE342F"/>
    <w:rsid w:val="00EE6164"/>
    <w:rsid w:val="00EE6F86"/>
    <w:rsid w:val="00EF1543"/>
    <w:rsid w:val="00EF1757"/>
    <w:rsid w:val="00EF2F70"/>
    <w:rsid w:val="00EF4852"/>
    <w:rsid w:val="00EF5FA1"/>
    <w:rsid w:val="00F013FD"/>
    <w:rsid w:val="00F02FFD"/>
    <w:rsid w:val="00F0555E"/>
    <w:rsid w:val="00F06973"/>
    <w:rsid w:val="00F06FEA"/>
    <w:rsid w:val="00F13CCB"/>
    <w:rsid w:val="00F15904"/>
    <w:rsid w:val="00F20EE9"/>
    <w:rsid w:val="00F2398A"/>
    <w:rsid w:val="00F24332"/>
    <w:rsid w:val="00F3069C"/>
    <w:rsid w:val="00F30760"/>
    <w:rsid w:val="00F32F68"/>
    <w:rsid w:val="00F33C53"/>
    <w:rsid w:val="00F377C6"/>
    <w:rsid w:val="00F40CCD"/>
    <w:rsid w:val="00F41566"/>
    <w:rsid w:val="00F468EB"/>
    <w:rsid w:val="00F47251"/>
    <w:rsid w:val="00F50713"/>
    <w:rsid w:val="00F60397"/>
    <w:rsid w:val="00F604EE"/>
    <w:rsid w:val="00F62647"/>
    <w:rsid w:val="00F64B4A"/>
    <w:rsid w:val="00F65609"/>
    <w:rsid w:val="00F65A9F"/>
    <w:rsid w:val="00F66644"/>
    <w:rsid w:val="00F6681B"/>
    <w:rsid w:val="00F70C81"/>
    <w:rsid w:val="00F7194A"/>
    <w:rsid w:val="00F72C93"/>
    <w:rsid w:val="00F72F4E"/>
    <w:rsid w:val="00F769AB"/>
    <w:rsid w:val="00F7799C"/>
    <w:rsid w:val="00F813C6"/>
    <w:rsid w:val="00F83505"/>
    <w:rsid w:val="00F844AF"/>
    <w:rsid w:val="00F8719D"/>
    <w:rsid w:val="00F876A5"/>
    <w:rsid w:val="00F90659"/>
    <w:rsid w:val="00F9689C"/>
    <w:rsid w:val="00F9764A"/>
    <w:rsid w:val="00FA158F"/>
    <w:rsid w:val="00FA1E04"/>
    <w:rsid w:val="00FA3A82"/>
    <w:rsid w:val="00FB4923"/>
    <w:rsid w:val="00FB5014"/>
    <w:rsid w:val="00FB7DB0"/>
    <w:rsid w:val="00FC744E"/>
    <w:rsid w:val="00FC7C47"/>
    <w:rsid w:val="00FD2990"/>
    <w:rsid w:val="00FD5D92"/>
    <w:rsid w:val="00FD71A6"/>
    <w:rsid w:val="00FE31E3"/>
    <w:rsid w:val="00FE3B90"/>
    <w:rsid w:val="00FE6BE5"/>
    <w:rsid w:val="00FF0C6E"/>
    <w:rsid w:val="00FF1806"/>
    <w:rsid w:val="00FF28C9"/>
    <w:rsid w:val="00FF338D"/>
    <w:rsid w:val="00FF3906"/>
    <w:rsid w:val="00FF422D"/>
    <w:rsid w:val="00FF4F69"/>
    <w:rsid w:val="00FF4F8F"/>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32D45"/>
    <w:pPr>
      <w:widowControl w:val="0"/>
    </w:pPr>
    <w:rPr>
      <w:snapToGrid w:val="0"/>
      <w:kern w:val="28"/>
      <w:szCs w:val="20"/>
    </w:rPr>
  </w:style>
  <w:style w:type="paragraph" w:styleId="Heading1">
    <w:name w:val="heading 1"/>
    <w:basedOn w:val="Normal"/>
    <w:next w:val="ParaNum"/>
    <w:link w:val="Heading1Char"/>
    <w:qFormat/>
    <w:rsid w:val="00032D45"/>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32D45"/>
    <w:pPr>
      <w:keepNext/>
      <w:numPr>
        <w:ilvl w:val="1"/>
        <w:numId w:val="5"/>
      </w:numPr>
      <w:spacing w:after="120"/>
      <w:outlineLvl w:val="1"/>
    </w:pPr>
    <w:rPr>
      <w:b/>
    </w:rPr>
  </w:style>
  <w:style w:type="paragraph" w:styleId="Heading3">
    <w:name w:val="heading 3"/>
    <w:basedOn w:val="Normal"/>
    <w:next w:val="ParaNum"/>
    <w:link w:val="Heading3Char"/>
    <w:qFormat/>
    <w:rsid w:val="00032D45"/>
    <w:pPr>
      <w:keepNext/>
      <w:numPr>
        <w:ilvl w:val="2"/>
        <w:numId w:val="5"/>
      </w:numPr>
      <w:tabs>
        <w:tab w:val="left" w:pos="2160"/>
      </w:tabs>
      <w:spacing w:after="120"/>
      <w:outlineLvl w:val="2"/>
    </w:pPr>
    <w:rPr>
      <w:b/>
    </w:rPr>
  </w:style>
  <w:style w:type="paragraph" w:styleId="Heading4">
    <w:name w:val="heading 4"/>
    <w:basedOn w:val="Normal"/>
    <w:next w:val="ParaNum"/>
    <w:link w:val="Heading4Char"/>
    <w:qFormat/>
    <w:rsid w:val="00032D45"/>
    <w:pPr>
      <w:keepNext/>
      <w:numPr>
        <w:ilvl w:val="3"/>
        <w:numId w:val="5"/>
      </w:numPr>
      <w:tabs>
        <w:tab w:val="left" w:pos="2880"/>
      </w:tabs>
      <w:spacing w:after="120"/>
      <w:outlineLvl w:val="3"/>
    </w:pPr>
    <w:rPr>
      <w:b/>
    </w:rPr>
  </w:style>
  <w:style w:type="paragraph" w:styleId="Heading5">
    <w:name w:val="heading 5"/>
    <w:basedOn w:val="Normal"/>
    <w:next w:val="ParaNum"/>
    <w:link w:val="Heading5Char"/>
    <w:qFormat/>
    <w:rsid w:val="00032D45"/>
    <w:pPr>
      <w:keepNext/>
      <w:numPr>
        <w:ilvl w:val="4"/>
        <w:numId w:val="5"/>
      </w:numPr>
      <w:tabs>
        <w:tab w:val="left" w:pos="3600"/>
      </w:tabs>
      <w:suppressAutoHyphens/>
      <w:spacing w:after="120"/>
      <w:outlineLvl w:val="4"/>
    </w:pPr>
    <w:rPr>
      <w:b/>
    </w:rPr>
  </w:style>
  <w:style w:type="paragraph" w:styleId="Heading6">
    <w:name w:val="heading 6"/>
    <w:basedOn w:val="Normal"/>
    <w:next w:val="ParaNum"/>
    <w:link w:val="Heading6Char"/>
    <w:qFormat/>
    <w:rsid w:val="00032D45"/>
    <w:pPr>
      <w:numPr>
        <w:ilvl w:val="5"/>
        <w:numId w:val="5"/>
      </w:numPr>
      <w:tabs>
        <w:tab w:val="left" w:pos="4320"/>
      </w:tabs>
      <w:spacing w:after="120"/>
      <w:outlineLvl w:val="5"/>
    </w:pPr>
    <w:rPr>
      <w:b/>
    </w:rPr>
  </w:style>
  <w:style w:type="paragraph" w:styleId="Heading7">
    <w:name w:val="heading 7"/>
    <w:basedOn w:val="Normal"/>
    <w:next w:val="ParaNum"/>
    <w:link w:val="Heading7Char"/>
    <w:qFormat/>
    <w:rsid w:val="00032D45"/>
    <w:pPr>
      <w:numPr>
        <w:ilvl w:val="6"/>
        <w:numId w:val="5"/>
      </w:numPr>
      <w:tabs>
        <w:tab w:val="left" w:pos="5040"/>
      </w:tabs>
      <w:spacing w:after="120"/>
      <w:ind w:left="5040" w:hanging="720"/>
      <w:outlineLvl w:val="6"/>
    </w:pPr>
    <w:rPr>
      <w:b/>
    </w:rPr>
  </w:style>
  <w:style w:type="paragraph" w:styleId="Heading8">
    <w:name w:val="heading 8"/>
    <w:basedOn w:val="Normal"/>
    <w:next w:val="ParaNum"/>
    <w:link w:val="Heading8Char"/>
    <w:qFormat/>
    <w:rsid w:val="00032D45"/>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32D45"/>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32D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2D45"/>
  </w:style>
  <w:style w:type="character" w:customStyle="1" w:styleId="Heading1Char">
    <w:name w:val="Heading 1 Char"/>
    <w:basedOn w:val="DefaultParagraphFont"/>
    <w:link w:val="Heading1"/>
    <w:locked/>
    <w:rsid w:val="004E5204"/>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4E5204"/>
    <w:rPr>
      <w:b/>
      <w:snapToGrid w:val="0"/>
      <w:kern w:val="28"/>
      <w:szCs w:val="20"/>
    </w:rPr>
  </w:style>
  <w:style w:type="character" w:customStyle="1" w:styleId="Heading3Char">
    <w:name w:val="Heading 3 Char"/>
    <w:basedOn w:val="DefaultParagraphFont"/>
    <w:link w:val="Heading3"/>
    <w:locked/>
    <w:rsid w:val="004E5204"/>
    <w:rPr>
      <w:b/>
      <w:snapToGrid w:val="0"/>
      <w:kern w:val="28"/>
      <w:szCs w:val="20"/>
    </w:rPr>
  </w:style>
  <w:style w:type="character" w:customStyle="1" w:styleId="Heading4Char">
    <w:name w:val="Heading 4 Char"/>
    <w:basedOn w:val="DefaultParagraphFont"/>
    <w:link w:val="Heading4"/>
    <w:locked/>
    <w:rsid w:val="004E5204"/>
    <w:rPr>
      <w:b/>
      <w:snapToGrid w:val="0"/>
      <w:kern w:val="28"/>
      <w:szCs w:val="20"/>
    </w:rPr>
  </w:style>
  <w:style w:type="character" w:customStyle="1" w:styleId="Heading5Char">
    <w:name w:val="Heading 5 Char"/>
    <w:basedOn w:val="DefaultParagraphFont"/>
    <w:link w:val="Heading5"/>
    <w:locked/>
    <w:rsid w:val="004E5204"/>
    <w:rPr>
      <w:b/>
      <w:snapToGrid w:val="0"/>
      <w:kern w:val="28"/>
      <w:szCs w:val="20"/>
    </w:rPr>
  </w:style>
  <w:style w:type="character" w:customStyle="1" w:styleId="Heading6Char">
    <w:name w:val="Heading 6 Char"/>
    <w:basedOn w:val="DefaultParagraphFont"/>
    <w:link w:val="Heading6"/>
    <w:locked/>
    <w:rsid w:val="004E5204"/>
    <w:rPr>
      <w:b/>
      <w:snapToGrid w:val="0"/>
      <w:kern w:val="28"/>
      <w:szCs w:val="20"/>
    </w:rPr>
  </w:style>
  <w:style w:type="character" w:customStyle="1" w:styleId="Heading7Char">
    <w:name w:val="Heading 7 Char"/>
    <w:basedOn w:val="DefaultParagraphFont"/>
    <w:link w:val="Heading7"/>
    <w:locked/>
    <w:rsid w:val="008640E1"/>
    <w:rPr>
      <w:b/>
      <w:snapToGrid w:val="0"/>
      <w:kern w:val="28"/>
      <w:szCs w:val="20"/>
    </w:rPr>
  </w:style>
  <w:style w:type="character" w:customStyle="1" w:styleId="Heading8Char">
    <w:name w:val="Heading 8 Char"/>
    <w:basedOn w:val="DefaultParagraphFont"/>
    <w:link w:val="Heading8"/>
    <w:locked/>
    <w:rsid w:val="008640E1"/>
    <w:rPr>
      <w:b/>
      <w:snapToGrid w:val="0"/>
      <w:kern w:val="28"/>
      <w:szCs w:val="20"/>
    </w:rPr>
  </w:style>
  <w:style w:type="character" w:customStyle="1" w:styleId="Heading9Char">
    <w:name w:val="Heading 9 Char"/>
    <w:basedOn w:val="DefaultParagraphFont"/>
    <w:link w:val="Heading9"/>
    <w:locked/>
    <w:rsid w:val="008640E1"/>
    <w:rPr>
      <w:b/>
      <w:snapToGrid w:val="0"/>
      <w:kern w:val="28"/>
      <w:szCs w:val="20"/>
    </w:rPr>
  </w:style>
  <w:style w:type="paragraph" w:styleId="BalloonText">
    <w:name w:val="Balloon Text"/>
    <w:basedOn w:val="Normal"/>
    <w:link w:val="BalloonTextChar"/>
    <w:uiPriority w:val="99"/>
    <w:semiHidden/>
    <w:rsid w:val="005E1749"/>
    <w:rPr>
      <w:kern w:val="0"/>
      <w:sz w:val="20"/>
    </w:rPr>
  </w:style>
  <w:style w:type="character" w:customStyle="1" w:styleId="BalloonTextChar">
    <w:name w:val="Balloon Text Char"/>
    <w:basedOn w:val="DefaultParagraphFont"/>
    <w:link w:val="BalloonText"/>
    <w:uiPriority w:val="99"/>
    <w:semiHidden/>
    <w:locked/>
    <w:rsid w:val="005E1749"/>
    <w:rPr>
      <w:rFonts w:cs="Times New Roman"/>
      <w:sz w:val="20"/>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2"/>
    <w:rsid w:val="00032D45"/>
    <w:pPr>
      <w:spacing w:after="120"/>
    </w:pPr>
    <w:rPr>
      <w:sz w:val="20"/>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ocked/>
    <w:rsid w:val="00BC32AF"/>
    <w:rPr>
      <w:rFonts w:cs="Times New Roman"/>
      <w:sz w:val="24"/>
      <w:lang w:val="en-US" w:eastAsia="en-US"/>
    </w:rPr>
  </w:style>
  <w:style w:type="character" w:styleId="FootnoteReference">
    <w:name w:val="footnote reference"/>
    <w:aliases w:val="Style 4,Appel note de bas de p,Style 12,(NECG) Footnote Reference,Style 124,Style 13,o,fr,Style 3,Footnote Reference1,FR,Style 17,Style 6,Footnote Reference/"/>
    <w:rsid w:val="00032D45"/>
    <w:rPr>
      <w:rFonts w:ascii="Times New Roman" w:hAnsi="Times New Roman"/>
      <w:dstrike w:val="0"/>
      <w:color w:val="auto"/>
      <w:sz w:val="20"/>
      <w:vertAlign w:val="superscript"/>
    </w:rPr>
  </w:style>
  <w:style w:type="paragraph" w:styleId="Header">
    <w:name w:val="header"/>
    <w:basedOn w:val="Normal"/>
    <w:link w:val="HeaderChar"/>
    <w:autoRedefine/>
    <w:rsid w:val="00032D45"/>
    <w:pPr>
      <w:tabs>
        <w:tab w:val="center" w:pos="4680"/>
        <w:tab w:val="right" w:pos="9360"/>
      </w:tabs>
    </w:pPr>
    <w:rPr>
      <w:b/>
    </w:rPr>
  </w:style>
  <w:style w:type="character" w:customStyle="1" w:styleId="HeaderChar">
    <w:name w:val="Header Char"/>
    <w:basedOn w:val="DefaultParagraphFont"/>
    <w:link w:val="Header"/>
    <w:locked/>
    <w:rsid w:val="009D701C"/>
    <w:rPr>
      <w:b/>
      <w:snapToGrid w:val="0"/>
      <w:kern w:val="28"/>
      <w:szCs w:val="20"/>
    </w:rPr>
  </w:style>
  <w:style w:type="paragraph" w:styleId="Footer">
    <w:name w:val="footer"/>
    <w:basedOn w:val="Normal"/>
    <w:link w:val="FooterChar"/>
    <w:rsid w:val="00032D45"/>
    <w:pPr>
      <w:tabs>
        <w:tab w:val="center" w:pos="4320"/>
        <w:tab w:val="right" w:pos="8640"/>
      </w:tabs>
    </w:pPr>
  </w:style>
  <w:style w:type="character" w:customStyle="1" w:styleId="FooterChar">
    <w:name w:val="Footer Char"/>
    <w:basedOn w:val="DefaultParagraphFont"/>
    <w:link w:val="Footer"/>
    <w:locked/>
    <w:rsid w:val="008640E1"/>
    <w:rPr>
      <w:snapToGrid w:val="0"/>
      <w:kern w:val="28"/>
      <w:szCs w:val="20"/>
    </w:rPr>
  </w:style>
  <w:style w:type="character" w:styleId="PageNumber">
    <w:name w:val="page number"/>
    <w:basedOn w:val="DefaultParagraphFont"/>
    <w:rsid w:val="00032D45"/>
  </w:style>
  <w:style w:type="paragraph" w:customStyle="1" w:styleId="Paranum0">
    <w:name w:val="Paranum"/>
    <w:uiPriority w:val="99"/>
    <w:rsid w:val="00BC32AF"/>
    <w:pPr>
      <w:numPr>
        <w:numId w:val="1"/>
      </w:numPr>
      <w:tabs>
        <w:tab w:val="left" w:pos="1440"/>
      </w:tabs>
      <w:spacing w:after="240"/>
      <w:jc w:val="both"/>
    </w:pPr>
    <w:rPr>
      <w:szCs w:val="20"/>
    </w:rPr>
  </w:style>
  <w:style w:type="paragraph" w:customStyle="1" w:styleId="par1">
    <w:name w:val="par1"/>
    <w:basedOn w:val="Normal"/>
    <w:link w:val="par1Char"/>
    <w:uiPriority w:val="99"/>
    <w:rsid w:val="00BC32AF"/>
    <w:pPr>
      <w:numPr>
        <w:numId w:val="2"/>
      </w:numPr>
    </w:pPr>
    <w:rPr>
      <w:sz w:val="20"/>
    </w:rPr>
  </w:style>
  <w:style w:type="paragraph" w:customStyle="1" w:styleId="ParaNum">
    <w:name w:val="ParaNum"/>
    <w:basedOn w:val="Normal"/>
    <w:link w:val="ParaNumChar"/>
    <w:rsid w:val="00032D45"/>
    <w:pPr>
      <w:numPr>
        <w:numId w:val="3"/>
      </w:numPr>
      <w:tabs>
        <w:tab w:val="clear" w:pos="1080"/>
        <w:tab w:val="num" w:pos="1440"/>
      </w:tabs>
      <w:spacing w:after="120"/>
    </w:pPr>
  </w:style>
  <w:style w:type="paragraph" w:styleId="BodyText">
    <w:name w:val="Body Text"/>
    <w:aliases w:val="b"/>
    <w:basedOn w:val="Normal"/>
    <w:link w:val="BodyTextChar"/>
    <w:uiPriority w:val="99"/>
    <w:rsid w:val="00BC32AF"/>
    <w:rPr>
      <w:b/>
      <w:kern w:val="0"/>
      <w:sz w:val="24"/>
      <w:u w:val="single"/>
    </w:rPr>
  </w:style>
  <w:style w:type="character" w:customStyle="1" w:styleId="BodyTextChar">
    <w:name w:val="Body Text Char"/>
    <w:aliases w:val="b Char"/>
    <w:basedOn w:val="DefaultParagraphFont"/>
    <w:link w:val="BodyText"/>
    <w:uiPriority w:val="99"/>
    <w:semiHidden/>
    <w:locked/>
    <w:rsid w:val="00BC32AF"/>
    <w:rPr>
      <w:rFonts w:cs="Times New Roman"/>
      <w:b/>
      <w:sz w:val="24"/>
      <w:u w:val="single"/>
      <w:lang w:val="en-US" w:eastAsia="en-US"/>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BC32AF"/>
    <w:rPr>
      <w:lang w:val="en-US" w:eastAsia="en-US"/>
    </w:rPr>
  </w:style>
  <w:style w:type="character" w:customStyle="1" w:styleId="ParanumChar0">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PreformattedChar">
    <w:name w:val="HTML Preformatted Char"/>
    <w:basedOn w:val="DefaultParagraphFont"/>
    <w:link w:val="HTMLPreformatted"/>
    <w:uiPriority w:val="99"/>
    <w:semiHidden/>
    <w:locked/>
    <w:rsid w:val="008640E1"/>
    <w:rPr>
      <w:rFonts w:ascii="Courier New" w:hAnsi="Courier New" w:cs="Times New Roman"/>
      <w:sz w:val="20"/>
    </w:rPr>
  </w:style>
  <w:style w:type="character" w:styleId="Hyperlink">
    <w:name w:val="Hyperlink"/>
    <w:rsid w:val="00032D45"/>
    <w:rPr>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A15BB3"/>
    <w:rPr>
      <w:sz w:val="20"/>
      <w:szCs w:val="20"/>
    </w:rPr>
  </w:style>
  <w:style w:type="character" w:styleId="Strong">
    <w:name w:val="Strong"/>
    <w:basedOn w:val="DefaultParagraphFont"/>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rPr>
      <w:kern w:val="0"/>
      <w:sz w:val="24"/>
    </w:rPr>
  </w:style>
  <w:style w:type="character" w:customStyle="1" w:styleId="BodyTextIndent2Char">
    <w:name w:val="Body Text Indent 2 Char"/>
    <w:basedOn w:val="DefaultParagraphFont"/>
    <w:link w:val="BodyTextIndent2"/>
    <w:uiPriority w:val="99"/>
    <w:semiHidden/>
    <w:locked/>
    <w:rsid w:val="008640E1"/>
    <w:rPr>
      <w:rFonts w:cs="Times New Roman"/>
      <w:sz w:val="24"/>
    </w:rPr>
  </w:style>
  <w:style w:type="paragraph" w:customStyle="1" w:styleId="StyleBoldCentered">
    <w:name w:val="Style Bold Centered"/>
    <w:basedOn w:val="Normal"/>
    <w:rsid w:val="00032D45"/>
    <w:pPr>
      <w:jc w:val="center"/>
    </w:pPr>
    <w:rPr>
      <w:rFonts w:ascii="Times New Roman Bold" w:hAnsi="Times New Roman Bold"/>
      <w:b/>
      <w:bCs/>
      <w:caps/>
      <w:szCs w:val="22"/>
    </w:rPr>
  </w:style>
  <w:style w:type="paragraph" w:styleId="TOAHeading">
    <w:name w:val="toa heading"/>
    <w:basedOn w:val="Normal"/>
    <w:next w:val="Normal"/>
    <w:semiHidden/>
    <w:rsid w:val="00032D45"/>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style>
  <w:style w:type="paragraph" w:styleId="ListParagraph">
    <w:name w:val="List Paragraph"/>
    <w:basedOn w:val="Normal"/>
    <w:uiPriority w:val="99"/>
    <w:qFormat/>
    <w:rsid w:val="00060BD6"/>
    <w:pPr>
      <w:ind w:left="720"/>
    </w:pPr>
  </w:style>
  <w:style w:type="character" w:styleId="CommentReference">
    <w:name w:val="annotation reference"/>
    <w:basedOn w:val="DefaultParagraphFont"/>
    <w:uiPriority w:val="99"/>
    <w:rsid w:val="00422D6A"/>
    <w:rPr>
      <w:rFonts w:cs="Times New Roman"/>
      <w:sz w:val="16"/>
    </w:rPr>
  </w:style>
  <w:style w:type="paragraph" w:styleId="CommentText">
    <w:name w:val="annotation text"/>
    <w:basedOn w:val="Normal"/>
    <w:link w:val="CommentTextChar"/>
    <w:uiPriority w:val="99"/>
    <w:rsid w:val="00422D6A"/>
    <w:rPr>
      <w:kern w:val="0"/>
      <w:sz w:val="20"/>
    </w:rPr>
  </w:style>
  <w:style w:type="character" w:customStyle="1" w:styleId="CommentTextChar">
    <w:name w:val="Comment Text Char"/>
    <w:basedOn w:val="DefaultParagraphFont"/>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basedOn w:val="CommentTextChar"/>
    <w:link w:val="CommentSubject"/>
    <w:uiPriority w:val="99"/>
    <w:locked/>
    <w:rsid w:val="00422D6A"/>
    <w:rPr>
      <w:rFonts w:cs="Times New Roman"/>
      <w:b/>
    </w:rPr>
  </w:style>
  <w:style w:type="character" w:customStyle="1" w:styleId="par1Char">
    <w:name w:val="par1 Char"/>
    <w:link w:val="par1"/>
    <w:uiPriority w:val="99"/>
    <w:locked/>
    <w:rsid w:val="00D5405B"/>
    <w:rPr>
      <w:snapToGrid w:val="0"/>
      <w:kern w:val="28"/>
      <w:sz w:val="20"/>
      <w:szCs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032D45"/>
    <w:rPr>
      <w:sz w:val="20"/>
    </w:rPr>
  </w:style>
  <w:style w:type="character" w:customStyle="1" w:styleId="EndnoteTextChar">
    <w:name w:val="Endnote Text Char"/>
    <w:basedOn w:val="DefaultParagraphFont"/>
    <w:link w:val="EndnoteText"/>
    <w:semiHidden/>
    <w:locked/>
    <w:rsid w:val="002119D0"/>
    <w:rPr>
      <w:snapToGrid w:val="0"/>
      <w:kern w:val="28"/>
      <w:sz w:val="20"/>
      <w:szCs w:val="20"/>
    </w:rPr>
  </w:style>
  <w:style w:type="character" w:styleId="EndnoteReference">
    <w:name w:val="endnote reference"/>
    <w:semiHidden/>
    <w:locked/>
    <w:rsid w:val="00032D45"/>
    <w:rPr>
      <w:vertAlign w:val="superscript"/>
    </w:rPr>
  </w:style>
  <w:style w:type="paragraph" w:styleId="TOC1">
    <w:name w:val="toc 1"/>
    <w:basedOn w:val="Normal"/>
    <w:next w:val="Normal"/>
    <w:semiHidden/>
    <w:locked/>
    <w:rsid w:val="00032D45"/>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032D45"/>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032D4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032D4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032D4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032D45"/>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032D45"/>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032D45"/>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032D45"/>
    <w:pPr>
      <w:tabs>
        <w:tab w:val="left" w:pos="3240"/>
        <w:tab w:val="right" w:leader="dot" w:pos="9360"/>
      </w:tabs>
      <w:suppressAutoHyphens/>
      <w:ind w:left="3240" w:hanging="360"/>
    </w:pPr>
    <w:rPr>
      <w:noProof/>
    </w:rPr>
  </w:style>
  <w:style w:type="character" w:customStyle="1" w:styleId="EquationCaption">
    <w:name w:val="_Equation Caption"/>
    <w:rsid w:val="00032D45"/>
  </w:style>
  <w:style w:type="paragraph" w:styleId="BlockText">
    <w:name w:val="Block Text"/>
    <w:basedOn w:val="Normal"/>
    <w:locked/>
    <w:rsid w:val="00032D45"/>
    <w:pPr>
      <w:spacing w:after="240"/>
      <w:ind w:left="1440" w:right="1440"/>
    </w:pPr>
  </w:style>
  <w:style w:type="paragraph" w:customStyle="1" w:styleId="Paratitle">
    <w:name w:val="Para title"/>
    <w:basedOn w:val="Normal"/>
    <w:rsid w:val="00032D45"/>
    <w:pPr>
      <w:tabs>
        <w:tab w:val="center" w:pos="9270"/>
      </w:tabs>
      <w:spacing w:after="240"/>
    </w:pPr>
    <w:rPr>
      <w:spacing w:val="-2"/>
    </w:rPr>
  </w:style>
  <w:style w:type="paragraph" w:customStyle="1" w:styleId="Bullet">
    <w:name w:val="Bullet"/>
    <w:basedOn w:val="Normal"/>
    <w:rsid w:val="00032D45"/>
    <w:pPr>
      <w:tabs>
        <w:tab w:val="left" w:pos="2160"/>
      </w:tabs>
      <w:spacing w:after="220"/>
      <w:ind w:left="2160" w:hanging="720"/>
    </w:pPr>
  </w:style>
  <w:style w:type="paragraph" w:customStyle="1" w:styleId="TableFormat">
    <w:name w:val="TableFormat"/>
    <w:basedOn w:val="Bullet"/>
    <w:rsid w:val="00032D45"/>
    <w:pPr>
      <w:tabs>
        <w:tab w:val="clear" w:pos="2160"/>
        <w:tab w:val="left" w:pos="5040"/>
      </w:tabs>
      <w:ind w:left="5040" w:hanging="3600"/>
    </w:pPr>
  </w:style>
  <w:style w:type="paragraph" w:customStyle="1" w:styleId="TOCTitle">
    <w:name w:val="TOC Title"/>
    <w:basedOn w:val="Normal"/>
    <w:rsid w:val="00032D45"/>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locked/>
    <w:rsid w:val="00D87441"/>
    <w:rPr>
      <w:lang w:val="en-US" w:eastAsia="en-US"/>
    </w:rPr>
  </w:style>
  <w:style w:type="character" w:customStyle="1" w:styleId="ALTSFOOTNOTECharChar">
    <w:name w:val="ALTS FOOTNOTE Char Char"/>
    <w:aliases w:val="fn Char Char,rrfootnote Char1 Char,rrfootnote Char Char Char Char Char,f Char"/>
    <w:locked/>
    <w:rsid w:val="00A031CA"/>
  </w:style>
  <w:style w:type="character" w:customStyle="1" w:styleId="ParaNumChar">
    <w:name w:val="ParaNum Char"/>
    <w:link w:val="ParaNum"/>
    <w:locked/>
    <w:rsid w:val="00CB3253"/>
    <w:rPr>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32D45"/>
    <w:pPr>
      <w:widowControl w:val="0"/>
    </w:pPr>
    <w:rPr>
      <w:snapToGrid w:val="0"/>
      <w:kern w:val="28"/>
      <w:szCs w:val="20"/>
    </w:rPr>
  </w:style>
  <w:style w:type="paragraph" w:styleId="Heading1">
    <w:name w:val="heading 1"/>
    <w:basedOn w:val="Normal"/>
    <w:next w:val="ParaNum"/>
    <w:link w:val="Heading1Char"/>
    <w:qFormat/>
    <w:rsid w:val="00032D45"/>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32D45"/>
    <w:pPr>
      <w:keepNext/>
      <w:numPr>
        <w:ilvl w:val="1"/>
        <w:numId w:val="5"/>
      </w:numPr>
      <w:spacing w:after="120"/>
      <w:outlineLvl w:val="1"/>
    </w:pPr>
    <w:rPr>
      <w:b/>
    </w:rPr>
  </w:style>
  <w:style w:type="paragraph" w:styleId="Heading3">
    <w:name w:val="heading 3"/>
    <w:basedOn w:val="Normal"/>
    <w:next w:val="ParaNum"/>
    <w:link w:val="Heading3Char"/>
    <w:qFormat/>
    <w:rsid w:val="00032D45"/>
    <w:pPr>
      <w:keepNext/>
      <w:numPr>
        <w:ilvl w:val="2"/>
        <w:numId w:val="5"/>
      </w:numPr>
      <w:tabs>
        <w:tab w:val="left" w:pos="2160"/>
      </w:tabs>
      <w:spacing w:after="120"/>
      <w:outlineLvl w:val="2"/>
    </w:pPr>
    <w:rPr>
      <w:b/>
    </w:rPr>
  </w:style>
  <w:style w:type="paragraph" w:styleId="Heading4">
    <w:name w:val="heading 4"/>
    <w:basedOn w:val="Normal"/>
    <w:next w:val="ParaNum"/>
    <w:link w:val="Heading4Char"/>
    <w:qFormat/>
    <w:rsid w:val="00032D45"/>
    <w:pPr>
      <w:keepNext/>
      <w:numPr>
        <w:ilvl w:val="3"/>
        <w:numId w:val="5"/>
      </w:numPr>
      <w:tabs>
        <w:tab w:val="left" w:pos="2880"/>
      </w:tabs>
      <w:spacing w:after="120"/>
      <w:outlineLvl w:val="3"/>
    </w:pPr>
    <w:rPr>
      <w:b/>
    </w:rPr>
  </w:style>
  <w:style w:type="paragraph" w:styleId="Heading5">
    <w:name w:val="heading 5"/>
    <w:basedOn w:val="Normal"/>
    <w:next w:val="ParaNum"/>
    <w:link w:val="Heading5Char"/>
    <w:qFormat/>
    <w:rsid w:val="00032D45"/>
    <w:pPr>
      <w:keepNext/>
      <w:numPr>
        <w:ilvl w:val="4"/>
        <w:numId w:val="5"/>
      </w:numPr>
      <w:tabs>
        <w:tab w:val="left" w:pos="3600"/>
      </w:tabs>
      <w:suppressAutoHyphens/>
      <w:spacing w:after="120"/>
      <w:outlineLvl w:val="4"/>
    </w:pPr>
    <w:rPr>
      <w:b/>
    </w:rPr>
  </w:style>
  <w:style w:type="paragraph" w:styleId="Heading6">
    <w:name w:val="heading 6"/>
    <w:basedOn w:val="Normal"/>
    <w:next w:val="ParaNum"/>
    <w:link w:val="Heading6Char"/>
    <w:qFormat/>
    <w:rsid w:val="00032D45"/>
    <w:pPr>
      <w:numPr>
        <w:ilvl w:val="5"/>
        <w:numId w:val="5"/>
      </w:numPr>
      <w:tabs>
        <w:tab w:val="left" w:pos="4320"/>
      </w:tabs>
      <w:spacing w:after="120"/>
      <w:outlineLvl w:val="5"/>
    </w:pPr>
    <w:rPr>
      <w:b/>
    </w:rPr>
  </w:style>
  <w:style w:type="paragraph" w:styleId="Heading7">
    <w:name w:val="heading 7"/>
    <w:basedOn w:val="Normal"/>
    <w:next w:val="ParaNum"/>
    <w:link w:val="Heading7Char"/>
    <w:qFormat/>
    <w:rsid w:val="00032D45"/>
    <w:pPr>
      <w:numPr>
        <w:ilvl w:val="6"/>
        <w:numId w:val="5"/>
      </w:numPr>
      <w:tabs>
        <w:tab w:val="left" w:pos="5040"/>
      </w:tabs>
      <w:spacing w:after="120"/>
      <w:ind w:left="5040" w:hanging="720"/>
      <w:outlineLvl w:val="6"/>
    </w:pPr>
    <w:rPr>
      <w:b/>
    </w:rPr>
  </w:style>
  <w:style w:type="paragraph" w:styleId="Heading8">
    <w:name w:val="heading 8"/>
    <w:basedOn w:val="Normal"/>
    <w:next w:val="ParaNum"/>
    <w:link w:val="Heading8Char"/>
    <w:qFormat/>
    <w:rsid w:val="00032D45"/>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32D45"/>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32D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2D45"/>
  </w:style>
  <w:style w:type="character" w:customStyle="1" w:styleId="Heading1Char">
    <w:name w:val="Heading 1 Char"/>
    <w:basedOn w:val="DefaultParagraphFont"/>
    <w:link w:val="Heading1"/>
    <w:locked/>
    <w:rsid w:val="004E5204"/>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4E5204"/>
    <w:rPr>
      <w:b/>
      <w:snapToGrid w:val="0"/>
      <w:kern w:val="28"/>
      <w:szCs w:val="20"/>
    </w:rPr>
  </w:style>
  <w:style w:type="character" w:customStyle="1" w:styleId="Heading3Char">
    <w:name w:val="Heading 3 Char"/>
    <w:basedOn w:val="DefaultParagraphFont"/>
    <w:link w:val="Heading3"/>
    <w:locked/>
    <w:rsid w:val="004E5204"/>
    <w:rPr>
      <w:b/>
      <w:snapToGrid w:val="0"/>
      <w:kern w:val="28"/>
      <w:szCs w:val="20"/>
    </w:rPr>
  </w:style>
  <w:style w:type="character" w:customStyle="1" w:styleId="Heading4Char">
    <w:name w:val="Heading 4 Char"/>
    <w:basedOn w:val="DefaultParagraphFont"/>
    <w:link w:val="Heading4"/>
    <w:locked/>
    <w:rsid w:val="004E5204"/>
    <w:rPr>
      <w:b/>
      <w:snapToGrid w:val="0"/>
      <w:kern w:val="28"/>
      <w:szCs w:val="20"/>
    </w:rPr>
  </w:style>
  <w:style w:type="character" w:customStyle="1" w:styleId="Heading5Char">
    <w:name w:val="Heading 5 Char"/>
    <w:basedOn w:val="DefaultParagraphFont"/>
    <w:link w:val="Heading5"/>
    <w:locked/>
    <w:rsid w:val="004E5204"/>
    <w:rPr>
      <w:b/>
      <w:snapToGrid w:val="0"/>
      <w:kern w:val="28"/>
      <w:szCs w:val="20"/>
    </w:rPr>
  </w:style>
  <w:style w:type="character" w:customStyle="1" w:styleId="Heading6Char">
    <w:name w:val="Heading 6 Char"/>
    <w:basedOn w:val="DefaultParagraphFont"/>
    <w:link w:val="Heading6"/>
    <w:locked/>
    <w:rsid w:val="004E5204"/>
    <w:rPr>
      <w:b/>
      <w:snapToGrid w:val="0"/>
      <w:kern w:val="28"/>
      <w:szCs w:val="20"/>
    </w:rPr>
  </w:style>
  <w:style w:type="character" w:customStyle="1" w:styleId="Heading7Char">
    <w:name w:val="Heading 7 Char"/>
    <w:basedOn w:val="DefaultParagraphFont"/>
    <w:link w:val="Heading7"/>
    <w:locked/>
    <w:rsid w:val="008640E1"/>
    <w:rPr>
      <w:b/>
      <w:snapToGrid w:val="0"/>
      <w:kern w:val="28"/>
      <w:szCs w:val="20"/>
    </w:rPr>
  </w:style>
  <w:style w:type="character" w:customStyle="1" w:styleId="Heading8Char">
    <w:name w:val="Heading 8 Char"/>
    <w:basedOn w:val="DefaultParagraphFont"/>
    <w:link w:val="Heading8"/>
    <w:locked/>
    <w:rsid w:val="008640E1"/>
    <w:rPr>
      <w:b/>
      <w:snapToGrid w:val="0"/>
      <w:kern w:val="28"/>
      <w:szCs w:val="20"/>
    </w:rPr>
  </w:style>
  <w:style w:type="character" w:customStyle="1" w:styleId="Heading9Char">
    <w:name w:val="Heading 9 Char"/>
    <w:basedOn w:val="DefaultParagraphFont"/>
    <w:link w:val="Heading9"/>
    <w:locked/>
    <w:rsid w:val="008640E1"/>
    <w:rPr>
      <w:b/>
      <w:snapToGrid w:val="0"/>
      <w:kern w:val="28"/>
      <w:szCs w:val="20"/>
    </w:rPr>
  </w:style>
  <w:style w:type="paragraph" w:styleId="BalloonText">
    <w:name w:val="Balloon Text"/>
    <w:basedOn w:val="Normal"/>
    <w:link w:val="BalloonTextChar"/>
    <w:uiPriority w:val="99"/>
    <w:semiHidden/>
    <w:rsid w:val="005E1749"/>
    <w:rPr>
      <w:kern w:val="0"/>
      <w:sz w:val="20"/>
    </w:rPr>
  </w:style>
  <w:style w:type="character" w:customStyle="1" w:styleId="BalloonTextChar">
    <w:name w:val="Balloon Text Char"/>
    <w:basedOn w:val="DefaultParagraphFont"/>
    <w:link w:val="BalloonText"/>
    <w:uiPriority w:val="99"/>
    <w:semiHidden/>
    <w:locked/>
    <w:rsid w:val="005E1749"/>
    <w:rPr>
      <w:rFonts w:cs="Times New Roman"/>
      <w:sz w:val="20"/>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2"/>
    <w:rsid w:val="00032D45"/>
    <w:pPr>
      <w:spacing w:after="120"/>
    </w:pPr>
    <w:rPr>
      <w:sz w:val="20"/>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ocked/>
    <w:rsid w:val="00BC32AF"/>
    <w:rPr>
      <w:rFonts w:cs="Times New Roman"/>
      <w:sz w:val="24"/>
      <w:lang w:val="en-US" w:eastAsia="en-US"/>
    </w:rPr>
  </w:style>
  <w:style w:type="character" w:styleId="FootnoteReference">
    <w:name w:val="footnote reference"/>
    <w:aliases w:val="Style 4,Appel note de bas de p,Style 12,(NECG) Footnote Reference,Style 124,Style 13,o,fr,Style 3,Footnote Reference1,FR,Style 17,Style 6,Footnote Reference/"/>
    <w:rsid w:val="00032D45"/>
    <w:rPr>
      <w:rFonts w:ascii="Times New Roman" w:hAnsi="Times New Roman"/>
      <w:dstrike w:val="0"/>
      <w:color w:val="auto"/>
      <w:sz w:val="20"/>
      <w:vertAlign w:val="superscript"/>
    </w:rPr>
  </w:style>
  <w:style w:type="paragraph" w:styleId="Header">
    <w:name w:val="header"/>
    <w:basedOn w:val="Normal"/>
    <w:link w:val="HeaderChar"/>
    <w:autoRedefine/>
    <w:rsid w:val="00032D45"/>
    <w:pPr>
      <w:tabs>
        <w:tab w:val="center" w:pos="4680"/>
        <w:tab w:val="right" w:pos="9360"/>
      </w:tabs>
    </w:pPr>
    <w:rPr>
      <w:b/>
    </w:rPr>
  </w:style>
  <w:style w:type="character" w:customStyle="1" w:styleId="HeaderChar">
    <w:name w:val="Header Char"/>
    <w:basedOn w:val="DefaultParagraphFont"/>
    <w:link w:val="Header"/>
    <w:locked/>
    <w:rsid w:val="009D701C"/>
    <w:rPr>
      <w:b/>
      <w:snapToGrid w:val="0"/>
      <w:kern w:val="28"/>
      <w:szCs w:val="20"/>
    </w:rPr>
  </w:style>
  <w:style w:type="paragraph" w:styleId="Footer">
    <w:name w:val="footer"/>
    <w:basedOn w:val="Normal"/>
    <w:link w:val="FooterChar"/>
    <w:rsid w:val="00032D45"/>
    <w:pPr>
      <w:tabs>
        <w:tab w:val="center" w:pos="4320"/>
        <w:tab w:val="right" w:pos="8640"/>
      </w:tabs>
    </w:pPr>
  </w:style>
  <w:style w:type="character" w:customStyle="1" w:styleId="FooterChar">
    <w:name w:val="Footer Char"/>
    <w:basedOn w:val="DefaultParagraphFont"/>
    <w:link w:val="Footer"/>
    <w:locked/>
    <w:rsid w:val="008640E1"/>
    <w:rPr>
      <w:snapToGrid w:val="0"/>
      <w:kern w:val="28"/>
      <w:szCs w:val="20"/>
    </w:rPr>
  </w:style>
  <w:style w:type="character" w:styleId="PageNumber">
    <w:name w:val="page number"/>
    <w:basedOn w:val="DefaultParagraphFont"/>
    <w:rsid w:val="00032D45"/>
  </w:style>
  <w:style w:type="paragraph" w:customStyle="1" w:styleId="Paranum0">
    <w:name w:val="Paranum"/>
    <w:uiPriority w:val="99"/>
    <w:rsid w:val="00BC32AF"/>
    <w:pPr>
      <w:numPr>
        <w:numId w:val="1"/>
      </w:numPr>
      <w:tabs>
        <w:tab w:val="left" w:pos="1440"/>
      </w:tabs>
      <w:spacing w:after="240"/>
      <w:jc w:val="both"/>
    </w:pPr>
    <w:rPr>
      <w:szCs w:val="20"/>
    </w:rPr>
  </w:style>
  <w:style w:type="paragraph" w:customStyle="1" w:styleId="par1">
    <w:name w:val="par1"/>
    <w:basedOn w:val="Normal"/>
    <w:link w:val="par1Char"/>
    <w:uiPriority w:val="99"/>
    <w:rsid w:val="00BC32AF"/>
    <w:pPr>
      <w:numPr>
        <w:numId w:val="2"/>
      </w:numPr>
    </w:pPr>
    <w:rPr>
      <w:sz w:val="20"/>
    </w:rPr>
  </w:style>
  <w:style w:type="paragraph" w:customStyle="1" w:styleId="ParaNum">
    <w:name w:val="ParaNum"/>
    <w:basedOn w:val="Normal"/>
    <w:link w:val="ParaNumChar"/>
    <w:rsid w:val="00032D45"/>
    <w:pPr>
      <w:numPr>
        <w:numId w:val="3"/>
      </w:numPr>
      <w:tabs>
        <w:tab w:val="clear" w:pos="1080"/>
        <w:tab w:val="num" w:pos="1440"/>
      </w:tabs>
      <w:spacing w:after="120"/>
    </w:pPr>
  </w:style>
  <w:style w:type="paragraph" w:styleId="BodyText">
    <w:name w:val="Body Text"/>
    <w:aliases w:val="b"/>
    <w:basedOn w:val="Normal"/>
    <w:link w:val="BodyTextChar"/>
    <w:uiPriority w:val="99"/>
    <w:rsid w:val="00BC32AF"/>
    <w:rPr>
      <w:b/>
      <w:kern w:val="0"/>
      <w:sz w:val="24"/>
      <w:u w:val="single"/>
    </w:rPr>
  </w:style>
  <w:style w:type="character" w:customStyle="1" w:styleId="BodyTextChar">
    <w:name w:val="Body Text Char"/>
    <w:aliases w:val="b Char"/>
    <w:basedOn w:val="DefaultParagraphFont"/>
    <w:link w:val="BodyText"/>
    <w:uiPriority w:val="99"/>
    <w:semiHidden/>
    <w:locked/>
    <w:rsid w:val="00BC32AF"/>
    <w:rPr>
      <w:rFonts w:cs="Times New Roman"/>
      <w:b/>
      <w:sz w:val="24"/>
      <w:u w:val="single"/>
      <w:lang w:val="en-US" w:eastAsia="en-US"/>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BC32AF"/>
    <w:rPr>
      <w:lang w:val="en-US" w:eastAsia="en-US"/>
    </w:rPr>
  </w:style>
  <w:style w:type="character" w:customStyle="1" w:styleId="ParanumChar0">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PreformattedChar">
    <w:name w:val="HTML Preformatted Char"/>
    <w:basedOn w:val="DefaultParagraphFont"/>
    <w:link w:val="HTMLPreformatted"/>
    <w:uiPriority w:val="99"/>
    <w:semiHidden/>
    <w:locked/>
    <w:rsid w:val="008640E1"/>
    <w:rPr>
      <w:rFonts w:ascii="Courier New" w:hAnsi="Courier New" w:cs="Times New Roman"/>
      <w:sz w:val="20"/>
    </w:rPr>
  </w:style>
  <w:style w:type="character" w:styleId="Hyperlink">
    <w:name w:val="Hyperlink"/>
    <w:rsid w:val="00032D45"/>
    <w:rPr>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A15BB3"/>
    <w:rPr>
      <w:sz w:val="20"/>
      <w:szCs w:val="20"/>
    </w:rPr>
  </w:style>
  <w:style w:type="character" w:styleId="Strong">
    <w:name w:val="Strong"/>
    <w:basedOn w:val="DefaultParagraphFont"/>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rPr>
      <w:kern w:val="0"/>
      <w:sz w:val="24"/>
    </w:rPr>
  </w:style>
  <w:style w:type="character" w:customStyle="1" w:styleId="BodyTextIndent2Char">
    <w:name w:val="Body Text Indent 2 Char"/>
    <w:basedOn w:val="DefaultParagraphFont"/>
    <w:link w:val="BodyTextIndent2"/>
    <w:uiPriority w:val="99"/>
    <w:semiHidden/>
    <w:locked/>
    <w:rsid w:val="008640E1"/>
    <w:rPr>
      <w:rFonts w:cs="Times New Roman"/>
      <w:sz w:val="24"/>
    </w:rPr>
  </w:style>
  <w:style w:type="paragraph" w:customStyle="1" w:styleId="StyleBoldCentered">
    <w:name w:val="Style Bold Centered"/>
    <w:basedOn w:val="Normal"/>
    <w:rsid w:val="00032D45"/>
    <w:pPr>
      <w:jc w:val="center"/>
    </w:pPr>
    <w:rPr>
      <w:rFonts w:ascii="Times New Roman Bold" w:hAnsi="Times New Roman Bold"/>
      <w:b/>
      <w:bCs/>
      <w:caps/>
      <w:szCs w:val="22"/>
    </w:rPr>
  </w:style>
  <w:style w:type="paragraph" w:styleId="TOAHeading">
    <w:name w:val="toa heading"/>
    <w:basedOn w:val="Normal"/>
    <w:next w:val="Normal"/>
    <w:semiHidden/>
    <w:rsid w:val="00032D45"/>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style>
  <w:style w:type="paragraph" w:styleId="ListParagraph">
    <w:name w:val="List Paragraph"/>
    <w:basedOn w:val="Normal"/>
    <w:uiPriority w:val="99"/>
    <w:qFormat/>
    <w:rsid w:val="00060BD6"/>
    <w:pPr>
      <w:ind w:left="720"/>
    </w:pPr>
  </w:style>
  <w:style w:type="character" w:styleId="CommentReference">
    <w:name w:val="annotation reference"/>
    <w:basedOn w:val="DefaultParagraphFont"/>
    <w:uiPriority w:val="99"/>
    <w:rsid w:val="00422D6A"/>
    <w:rPr>
      <w:rFonts w:cs="Times New Roman"/>
      <w:sz w:val="16"/>
    </w:rPr>
  </w:style>
  <w:style w:type="paragraph" w:styleId="CommentText">
    <w:name w:val="annotation text"/>
    <w:basedOn w:val="Normal"/>
    <w:link w:val="CommentTextChar"/>
    <w:uiPriority w:val="99"/>
    <w:rsid w:val="00422D6A"/>
    <w:rPr>
      <w:kern w:val="0"/>
      <w:sz w:val="20"/>
    </w:rPr>
  </w:style>
  <w:style w:type="character" w:customStyle="1" w:styleId="CommentTextChar">
    <w:name w:val="Comment Text Char"/>
    <w:basedOn w:val="DefaultParagraphFont"/>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basedOn w:val="CommentTextChar"/>
    <w:link w:val="CommentSubject"/>
    <w:uiPriority w:val="99"/>
    <w:locked/>
    <w:rsid w:val="00422D6A"/>
    <w:rPr>
      <w:rFonts w:cs="Times New Roman"/>
      <w:b/>
    </w:rPr>
  </w:style>
  <w:style w:type="character" w:customStyle="1" w:styleId="par1Char">
    <w:name w:val="par1 Char"/>
    <w:link w:val="par1"/>
    <w:uiPriority w:val="99"/>
    <w:locked/>
    <w:rsid w:val="00D5405B"/>
    <w:rPr>
      <w:snapToGrid w:val="0"/>
      <w:kern w:val="28"/>
      <w:sz w:val="20"/>
      <w:szCs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032D45"/>
    <w:rPr>
      <w:sz w:val="20"/>
    </w:rPr>
  </w:style>
  <w:style w:type="character" w:customStyle="1" w:styleId="EndnoteTextChar">
    <w:name w:val="Endnote Text Char"/>
    <w:basedOn w:val="DefaultParagraphFont"/>
    <w:link w:val="EndnoteText"/>
    <w:semiHidden/>
    <w:locked/>
    <w:rsid w:val="002119D0"/>
    <w:rPr>
      <w:snapToGrid w:val="0"/>
      <w:kern w:val="28"/>
      <w:sz w:val="20"/>
      <w:szCs w:val="20"/>
    </w:rPr>
  </w:style>
  <w:style w:type="character" w:styleId="EndnoteReference">
    <w:name w:val="endnote reference"/>
    <w:semiHidden/>
    <w:locked/>
    <w:rsid w:val="00032D45"/>
    <w:rPr>
      <w:vertAlign w:val="superscript"/>
    </w:rPr>
  </w:style>
  <w:style w:type="paragraph" w:styleId="TOC1">
    <w:name w:val="toc 1"/>
    <w:basedOn w:val="Normal"/>
    <w:next w:val="Normal"/>
    <w:semiHidden/>
    <w:locked/>
    <w:rsid w:val="00032D45"/>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032D45"/>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032D4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032D4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032D4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032D45"/>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032D45"/>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032D45"/>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032D45"/>
    <w:pPr>
      <w:tabs>
        <w:tab w:val="left" w:pos="3240"/>
        <w:tab w:val="right" w:leader="dot" w:pos="9360"/>
      </w:tabs>
      <w:suppressAutoHyphens/>
      <w:ind w:left="3240" w:hanging="360"/>
    </w:pPr>
    <w:rPr>
      <w:noProof/>
    </w:rPr>
  </w:style>
  <w:style w:type="character" w:customStyle="1" w:styleId="EquationCaption">
    <w:name w:val="_Equation Caption"/>
    <w:rsid w:val="00032D45"/>
  </w:style>
  <w:style w:type="paragraph" w:styleId="BlockText">
    <w:name w:val="Block Text"/>
    <w:basedOn w:val="Normal"/>
    <w:locked/>
    <w:rsid w:val="00032D45"/>
    <w:pPr>
      <w:spacing w:after="240"/>
      <w:ind w:left="1440" w:right="1440"/>
    </w:pPr>
  </w:style>
  <w:style w:type="paragraph" w:customStyle="1" w:styleId="Paratitle">
    <w:name w:val="Para title"/>
    <w:basedOn w:val="Normal"/>
    <w:rsid w:val="00032D45"/>
    <w:pPr>
      <w:tabs>
        <w:tab w:val="center" w:pos="9270"/>
      </w:tabs>
      <w:spacing w:after="240"/>
    </w:pPr>
    <w:rPr>
      <w:spacing w:val="-2"/>
    </w:rPr>
  </w:style>
  <w:style w:type="paragraph" w:customStyle="1" w:styleId="Bullet">
    <w:name w:val="Bullet"/>
    <w:basedOn w:val="Normal"/>
    <w:rsid w:val="00032D45"/>
    <w:pPr>
      <w:tabs>
        <w:tab w:val="left" w:pos="2160"/>
      </w:tabs>
      <w:spacing w:after="220"/>
      <w:ind w:left="2160" w:hanging="720"/>
    </w:pPr>
  </w:style>
  <w:style w:type="paragraph" w:customStyle="1" w:styleId="TableFormat">
    <w:name w:val="TableFormat"/>
    <w:basedOn w:val="Bullet"/>
    <w:rsid w:val="00032D45"/>
    <w:pPr>
      <w:tabs>
        <w:tab w:val="clear" w:pos="2160"/>
        <w:tab w:val="left" w:pos="5040"/>
      </w:tabs>
      <w:ind w:left="5040" w:hanging="3600"/>
    </w:pPr>
  </w:style>
  <w:style w:type="paragraph" w:customStyle="1" w:styleId="TOCTitle">
    <w:name w:val="TOC Title"/>
    <w:basedOn w:val="Normal"/>
    <w:rsid w:val="00032D45"/>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locked/>
    <w:rsid w:val="00D87441"/>
    <w:rPr>
      <w:lang w:val="en-US" w:eastAsia="en-US"/>
    </w:rPr>
  </w:style>
  <w:style w:type="character" w:customStyle="1" w:styleId="ALTSFOOTNOTECharChar">
    <w:name w:val="ALTS FOOTNOTE Char Char"/>
    <w:aliases w:val="fn Char Char,rrfootnote Char1 Char,rrfootnote Char Char Char Char Char,f Char"/>
    <w:locked/>
    <w:rsid w:val="00A031CA"/>
  </w:style>
  <w:style w:type="character" w:customStyle="1" w:styleId="ParaNumChar">
    <w:name w:val="ParaNum Char"/>
    <w:link w:val="ParaNum"/>
    <w:locked/>
    <w:rsid w:val="00CB3253"/>
    <w:rPr>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95567">
      <w:bodyDiv w:val="1"/>
      <w:marLeft w:val="0"/>
      <w:marRight w:val="0"/>
      <w:marTop w:val="0"/>
      <w:marBottom w:val="0"/>
      <w:divBdr>
        <w:top w:val="none" w:sz="0" w:space="0" w:color="auto"/>
        <w:left w:val="none" w:sz="0" w:space="0" w:color="auto"/>
        <w:bottom w:val="none" w:sz="0" w:space="0" w:color="auto"/>
        <w:right w:val="none" w:sz="0" w:space="0" w:color="auto"/>
      </w:divBdr>
    </w:div>
    <w:div w:id="644090015">
      <w:marLeft w:val="0"/>
      <w:marRight w:val="0"/>
      <w:marTop w:val="0"/>
      <w:marBottom w:val="0"/>
      <w:divBdr>
        <w:top w:val="none" w:sz="0" w:space="0" w:color="auto"/>
        <w:left w:val="none" w:sz="0" w:space="0" w:color="auto"/>
        <w:bottom w:val="none" w:sz="0" w:space="0" w:color="auto"/>
        <w:right w:val="none" w:sz="0" w:space="0" w:color="auto"/>
      </w:divBdr>
    </w:div>
    <w:div w:id="644090016">
      <w:marLeft w:val="0"/>
      <w:marRight w:val="0"/>
      <w:marTop w:val="0"/>
      <w:marBottom w:val="0"/>
      <w:divBdr>
        <w:top w:val="none" w:sz="0" w:space="0" w:color="auto"/>
        <w:left w:val="none" w:sz="0" w:space="0" w:color="auto"/>
        <w:bottom w:val="none" w:sz="0" w:space="0" w:color="auto"/>
        <w:right w:val="none" w:sz="0" w:space="0" w:color="auto"/>
      </w:divBdr>
    </w:div>
    <w:div w:id="644090017">
      <w:marLeft w:val="0"/>
      <w:marRight w:val="0"/>
      <w:marTop w:val="0"/>
      <w:marBottom w:val="0"/>
      <w:divBdr>
        <w:top w:val="none" w:sz="0" w:space="0" w:color="auto"/>
        <w:left w:val="none" w:sz="0" w:space="0" w:color="auto"/>
        <w:bottom w:val="none" w:sz="0" w:space="0" w:color="auto"/>
        <w:right w:val="none" w:sz="0" w:space="0" w:color="auto"/>
      </w:divBdr>
    </w:div>
    <w:div w:id="644090018">
      <w:marLeft w:val="0"/>
      <w:marRight w:val="0"/>
      <w:marTop w:val="0"/>
      <w:marBottom w:val="0"/>
      <w:divBdr>
        <w:top w:val="none" w:sz="0" w:space="0" w:color="auto"/>
        <w:left w:val="none" w:sz="0" w:space="0" w:color="auto"/>
        <w:bottom w:val="none" w:sz="0" w:space="0" w:color="auto"/>
        <w:right w:val="none" w:sz="0" w:space="0" w:color="auto"/>
      </w:divBdr>
    </w:div>
    <w:div w:id="644090019">
      <w:marLeft w:val="0"/>
      <w:marRight w:val="0"/>
      <w:marTop w:val="0"/>
      <w:marBottom w:val="0"/>
      <w:divBdr>
        <w:top w:val="none" w:sz="0" w:space="0" w:color="auto"/>
        <w:left w:val="none" w:sz="0" w:space="0" w:color="auto"/>
        <w:bottom w:val="none" w:sz="0" w:space="0" w:color="auto"/>
        <w:right w:val="none" w:sz="0" w:space="0" w:color="auto"/>
      </w:divBdr>
    </w:div>
    <w:div w:id="644090020">
      <w:marLeft w:val="0"/>
      <w:marRight w:val="0"/>
      <w:marTop w:val="0"/>
      <w:marBottom w:val="0"/>
      <w:divBdr>
        <w:top w:val="none" w:sz="0" w:space="0" w:color="auto"/>
        <w:left w:val="none" w:sz="0" w:space="0" w:color="auto"/>
        <w:bottom w:val="none" w:sz="0" w:space="0" w:color="auto"/>
        <w:right w:val="none" w:sz="0" w:space="0" w:color="auto"/>
      </w:divBdr>
    </w:div>
    <w:div w:id="644090021">
      <w:marLeft w:val="0"/>
      <w:marRight w:val="0"/>
      <w:marTop w:val="0"/>
      <w:marBottom w:val="0"/>
      <w:divBdr>
        <w:top w:val="none" w:sz="0" w:space="0" w:color="auto"/>
        <w:left w:val="none" w:sz="0" w:space="0" w:color="auto"/>
        <w:bottom w:val="none" w:sz="0" w:space="0" w:color="auto"/>
        <w:right w:val="none" w:sz="0" w:space="0" w:color="auto"/>
      </w:divBdr>
    </w:div>
    <w:div w:id="1722634161">
      <w:bodyDiv w:val="1"/>
      <w:marLeft w:val="0"/>
      <w:marRight w:val="0"/>
      <w:marTop w:val="0"/>
      <w:marBottom w:val="0"/>
      <w:divBdr>
        <w:top w:val="none" w:sz="0" w:space="0" w:color="auto"/>
        <w:left w:val="none" w:sz="0" w:space="0" w:color="auto"/>
        <w:bottom w:val="none" w:sz="0" w:space="0" w:color="auto"/>
        <w:right w:val="none" w:sz="0" w:space="0" w:color="auto"/>
      </w:divBdr>
    </w:div>
    <w:div w:id="195625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pps.fcc.gov/ecfs/comment/view?id=600010915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1732</Words>
  <Characters>9533</Characters>
  <Application>Microsoft Office Word</Application>
  <DocSecurity>0</DocSecurity>
  <Lines>161</Lines>
  <Paragraphs>38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11363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2014-05-29T16:45:00Z</cp:lastPrinted>
  <dcterms:created xsi:type="dcterms:W3CDTF">2016-05-16T14:20:00Z</dcterms:created>
  <dcterms:modified xsi:type="dcterms:W3CDTF">2016-05-16T14:20:00Z</dcterms:modified>
  <cp:category> </cp:category>
  <cp:contentStatus> </cp:contentStatus>
</cp:coreProperties>
</file>