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19" w:rsidRDefault="00361419" w:rsidP="00CB3253">
      <w:pPr>
        <w:jc w:val="center"/>
        <w:rPr>
          <w:b/>
          <w:color w:val="000000" w:themeColor="text1"/>
        </w:rPr>
      </w:pPr>
      <w:bookmarkStart w:id="0" w:name="_GoBack"/>
      <w:bookmarkEnd w:id="0"/>
    </w:p>
    <w:p w:rsidR="00CB3253" w:rsidRPr="00E92283" w:rsidRDefault="00CB3253" w:rsidP="00CB3253">
      <w:pPr>
        <w:jc w:val="center"/>
        <w:rPr>
          <w:b/>
          <w:color w:val="000000" w:themeColor="text1"/>
        </w:rPr>
      </w:pPr>
      <w:r w:rsidRPr="00E92283">
        <w:rPr>
          <w:b/>
          <w:color w:val="000000" w:themeColor="text1"/>
        </w:rPr>
        <w:t>Before the</w:t>
      </w:r>
    </w:p>
    <w:p w:rsidR="00CB3253" w:rsidRPr="00E92283" w:rsidRDefault="00CB3253" w:rsidP="00CB3253">
      <w:pPr>
        <w:pStyle w:val="StyleBoldCentered"/>
        <w:rPr>
          <w:rFonts w:ascii="Times New Roman" w:hAnsi="Times New Roman"/>
          <w:color w:val="000000" w:themeColor="text1"/>
        </w:rPr>
      </w:pPr>
      <w:r w:rsidRPr="00E92283">
        <w:rPr>
          <w:rFonts w:ascii="Times New Roman" w:hAnsi="Times New Roman"/>
          <w:color w:val="000000" w:themeColor="text1"/>
        </w:rPr>
        <w:t>F</w:t>
      </w:r>
      <w:r w:rsidRPr="00E92283">
        <w:rPr>
          <w:rFonts w:ascii="Times New Roman" w:hAnsi="Times New Roman"/>
          <w:caps w:val="0"/>
          <w:color w:val="000000" w:themeColor="text1"/>
        </w:rPr>
        <w:t>ederal Communications Commission</w:t>
      </w:r>
    </w:p>
    <w:p w:rsidR="00CB3253" w:rsidRPr="00F8719D" w:rsidRDefault="00CB3253" w:rsidP="00CB3253">
      <w:pPr>
        <w:jc w:val="center"/>
        <w:rPr>
          <w:b/>
          <w:color w:val="000000" w:themeColor="text1"/>
        </w:rPr>
      </w:pPr>
      <w:r w:rsidRPr="00E92283">
        <w:rPr>
          <w:b/>
          <w:color w:val="000000" w:themeColor="text1"/>
        </w:rPr>
        <w:t>Washington, D</w:t>
      </w:r>
      <w:r w:rsidRPr="00F8719D">
        <w:rPr>
          <w:b/>
          <w:color w:val="000000" w:themeColor="text1"/>
        </w:rPr>
        <w:t xml:space="preserve">C 20554 </w:t>
      </w:r>
    </w:p>
    <w:tbl>
      <w:tblPr>
        <w:tblW w:w="9486" w:type="dxa"/>
        <w:tblLayout w:type="fixed"/>
        <w:tblLook w:val="0000" w:firstRow="0" w:lastRow="0" w:firstColumn="0" w:lastColumn="0" w:noHBand="0" w:noVBand="0"/>
      </w:tblPr>
      <w:tblGrid>
        <w:gridCol w:w="4608"/>
        <w:gridCol w:w="630"/>
        <w:gridCol w:w="4248"/>
      </w:tblGrid>
      <w:tr w:rsidR="00CB3253" w:rsidRPr="00F8719D" w:rsidTr="00F15904">
        <w:tc>
          <w:tcPr>
            <w:tcW w:w="4608" w:type="dxa"/>
          </w:tcPr>
          <w:p w:rsidR="00CB3253" w:rsidRPr="005B744E" w:rsidRDefault="00CB3253" w:rsidP="002C3F8E">
            <w:pPr>
              <w:tabs>
                <w:tab w:val="center" w:pos="4680"/>
              </w:tabs>
              <w:suppressAutoHyphens/>
              <w:rPr>
                <w:color w:val="000000" w:themeColor="text1"/>
                <w:spacing w:val="-2"/>
              </w:rPr>
            </w:pPr>
          </w:p>
          <w:p w:rsidR="00CB3253" w:rsidRPr="005B744E" w:rsidRDefault="00CB3253" w:rsidP="002C3F8E">
            <w:pPr>
              <w:tabs>
                <w:tab w:val="center" w:pos="4680"/>
              </w:tabs>
              <w:suppressAutoHyphens/>
              <w:rPr>
                <w:color w:val="000000" w:themeColor="text1"/>
                <w:spacing w:val="-2"/>
              </w:rPr>
            </w:pPr>
            <w:r w:rsidRPr="00F8719D">
              <w:rPr>
                <w:color w:val="000000" w:themeColor="text1"/>
                <w:spacing w:val="-2"/>
              </w:rPr>
              <w:t>In the Matter of</w:t>
            </w:r>
          </w:p>
          <w:p w:rsidR="00CB3253" w:rsidRPr="005B744E" w:rsidRDefault="00CB3253" w:rsidP="002C3F8E">
            <w:pPr>
              <w:tabs>
                <w:tab w:val="center" w:pos="4680"/>
              </w:tabs>
              <w:suppressAutoHyphens/>
              <w:rPr>
                <w:color w:val="000000" w:themeColor="text1"/>
                <w:spacing w:val="-2"/>
              </w:rPr>
            </w:pPr>
          </w:p>
          <w:p w:rsidR="00CB3253" w:rsidRPr="005B744E" w:rsidRDefault="00361419" w:rsidP="002C3F8E">
            <w:pPr>
              <w:tabs>
                <w:tab w:val="center" w:pos="4680"/>
              </w:tabs>
              <w:suppressAutoHyphens/>
              <w:rPr>
                <w:color w:val="000000" w:themeColor="text1"/>
                <w:spacing w:val="-2"/>
              </w:rPr>
            </w:pPr>
            <w:r>
              <w:rPr>
                <w:color w:val="000000" w:themeColor="text1"/>
                <w:spacing w:val="-2"/>
              </w:rPr>
              <w:t>New Century Telecom, Inc.</w:t>
            </w:r>
          </w:p>
          <w:p w:rsidR="00CB3253" w:rsidRPr="005B744E" w:rsidRDefault="00CB3253" w:rsidP="002C3F8E">
            <w:pPr>
              <w:tabs>
                <w:tab w:val="center" w:pos="4680"/>
              </w:tabs>
              <w:suppressAutoHyphens/>
              <w:rPr>
                <w:color w:val="000000" w:themeColor="text1"/>
                <w:spacing w:val="-2"/>
              </w:rPr>
            </w:pPr>
          </w:p>
        </w:tc>
        <w:tc>
          <w:tcPr>
            <w:tcW w:w="630" w:type="dxa"/>
          </w:tcPr>
          <w:p w:rsidR="00CB3253" w:rsidRPr="005B744E" w:rsidRDefault="00CB3253" w:rsidP="002C3F8E">
            <w:pPr>
              <w:tabs>
                <w:tab w:val="center" w:pos="4680"/>
              </w:tabs>
              <w:suppressAutoHyphens/>
              <w:rPr>
                <w:b/>
                <w:color w:val="000000" w:themeColor="text1"/>
                <w:spacing w:val="-2"/>
              </w:rPr>
            </w:pPr>
          </w:p>
          <w:p w:rsidR="00CB3253" w:rsidRPr="005B744E" w:rsidRDefault="00CB3253" w:rsidP="002C3F8E">
            <w:pPr>
              <w:tabs>
                <w:tab w:val="center" w:pos="4680"/>
              </w:tabs>
              <w:suppressAutoHyphens/>
              <w:rPr>
                <w:b/>
                <w:color w:val="000000" w:themeColor="text1"/>
                <w:spacing w:val="-2"/>
              </w:rPr>
            </w:pPr>
            <w:r w:rsidRPr="00F8719D">
              <w:rPr>
                <w:b/>
                <w:color w:val="000000" w:themeColor="text1"/>
                <w:spacing w:val="-2"/>
              </w:rPr>
              <w:t xml:space="preserve">  )</w:t>
            </w:r>
          </w:p>
          <w:p w:rsidR="00CB3253" w:rsidRPr="005B744E" w:rsidRDefault="00CB3253" w:rsidP="002C3F8E">
            <w:pPr>
              <w:tabs>
                <w:tab w:val="center" w:pos="4680"/>
              </w:tabs>
              <w:suppressAutoHyphens/>
              <w:rPr>
                <w:b/>
                <w:color w:val="000000" w:themeColor="text1"/>
                <w:spacing w:val="-2"/>
              </w:rPr>
            </w:pPr>
            <w:r w:rsidRPr="00F8719D">
              <w:rPr>
                <w:b/>
                <w:color w:val="000000" w:themeColor="text1"/>
                <w:spacing w:val="-2"/>
              </w:rPr>
              <w:t xml:space="preserve">  )</w:t>
            </w:r>
          </w:p>
          <w:p w:rsidR="00CB3253" w:rsidRPr="005B744E" w:rsidRDefault="00CB3253" w:rsidP="002C3F8E">
            <w:pPr>
              <w:tabs>
                <w:tab w:val="center" w:pos="4680"/>
              </w:tabs>
              <w:suppressAutoHyphens/>
              <w:rPr>
                <w:b/>
                <w:color w:val="000000" w:themeColor="text1"/>
                <w:spacing w:val="-2"/>
              </w:rPr>
            </w:pPr>
            <w:r w:rsidRPr="00F8719D">
              <w:rPr>
                <w:b/>
                <w:color w:val="000000" w:themeColor="text1"/>
                <w:spacing w:val="-2"/>
              </w:rPr>
              <w:t xml:space="preserve">  )</w:t>
            </w:r>
          </w:p>
          <w:p w:rsidR="00CB3253" w:rsidRPr="005B744E" w:rsidRDefault="00CB3253" w:rsidP="002C3F8E">
            <w:pPr>
              <w:tabs>
                <w:tab w:val="center" w:pos="4680"/>
              </w:tabs>
              <w:suppressAutoHyphens/>
              <w:rPr>
                <w:b/>
                <w:color w:val="000000" w:themeColor="text1"/>
                <w:spacing w:val="-2"/>
              </w:rPr>
            </w:pPr>
            <w:r w:rsidRPr="00F8719D">
              <w:rPr>
                <w:b/>
                <w:color w:val="000000" w:themeColor="text1"/>
                <w:spacing w:val="-2"/>
              </w:rPr>
              <w:t xml:space="preserve">  )</w:t>
            </w:r>
          </w:p>
          <w:p w:rsidR="00CB3253" w:rsidRPr="005B744E" w:rsidRDefault="008323D9" w:rsidP="002C3F8E">
            <w:pPr>
              <w:tabs>
                <w:tab w:val="center" w:pos="4680"/>
              </w:tabs>
              <w:suppressAutoHyphens/>
              <w:rPr>
                <w:b/>
                <w:color w:val="000000" w:themeColor="text1"/>
                <w:spacing w:val="-2"/>
              </w:rPr>
            </w:pPr>
            <w:r>
              <w:rPr>
                <w:b/>
                <w:color w:val="000000" w:themeColor="text1"/>
                <w:spacing w:val="-2"/>
              </w:rPr>
              <w:t xml:space="preserve">  </w:t>
            </w:r>
          </w:p>
          <w:p w:rsidR="00CB3253" w:rsidRPr="005B744E" w:rsidRDefault="00CB3253" w:rsidP="002C3F8E">
            <w:pPr>
              <w:tabs>
                <w:tab w:val="center" w:pos="4680"/>
              </w:tabs>
              <w:suppressAutoHyphens/>
              <w:rPr>
                <w:b/>
                <w:color w:val="000000" w:themeColor="text1"/>
                <w:spacing w:val="-2"/>
              </w:rPr>
            </w:pPr>
            <w:r w:rsidRPr="00F8719D">
              <w:rPr>
                <w:b/>
                <w:color w:val="000000" w:themeColor="text1"/>
                <w:spacing w:val="-2"/>
              </w:rPr>
              <w:t xml:space="preserve"> </w:t>
            </w:r>
          </w:p>
        </w:tc>
        <w:tc>
          <w:tcPr>
            <w:tcW w:w="4248" w:type="dxa"/>
          </w:tcPr>
          <w:p w:rsidR="00CB3253" w:rsidRPr="005B744E" w:rsidRDefault="00CB3253" w:rsidP="002C3F8E">
            <w:pPr>
              <w:tabs>
                <w:tab w:val="center" w:pos="4680"/>
              </w:tabs>
              <w:suppressAutoHyphens/>
              <w:rPr>
                <w:color w:val="000000" w:themeColor="text1"/>
                <w:spacing w:val="-2"/>
              </w:rPr>
            </w:pPr>
          </w:p>
          <w:p w:rsidR="00525F64" w:rsidRPr="005B744E" w:rsidRDefault="00CB3253" w:rsidP="002C3F8E">
            <w:pPr>
              <w:rPr>
                <w:color w:val="000000" w:themeColor="text1"/>
                <w:spacing w:val="-2"/>
              </w:rPr>
            </w:pPr>
            <w:r w:rsidRPr="00F8719D">
              <w:rPr>
                <w:color w:val="000000" w:themeColor="text1"/>
                <w:spacing w:val="-2"/>
              </w:rPr>
              <w:t xml:space="preserve">                </w:t>
            </w:r>
          </w:p>
          <w:p w:rsidR="00525F64" w:rsidRPr="005B744E" w:rsidRDefault="00525F64" w:rsidP="002C3F8E">
            <w:pPr>
              <w:rPr>
                <w:color w:val="000000" w:themeColor="text1"/>
                <w:spacing w:val="-2"/>
              </w:rPr>
            </w:pPr>
          </w:p>
          <w:p w:rsidR="00CB3253" w:rsidRPr="008323D9" w:rsidRDefault="00CB3253" w:rsidP="008323D9">
            <w:pPr>
              <w:ind w:left="522"/>
              <w:rPr>
                <w:color w:val="000000" w:themeColor="text1"/>
                <w:spacing w:val="-2"/>
              </w:rPr>
            </w:pPr>
            <w:r w:rsidRPr="00F8719D">
              <w:rPr>
                <w:color w:val="000000" w:themeColor="text1"/>
                <w:spacing w:val="-2"/>
              </w:rPr>
              <w:t xml:space="preserve">File No.:  </w:t>
            </w:r>
            <w:r w:rsidR="00CA3A7D">
              <w:rPr>
                <w:color w:val="000000" w:themeColor="text1"/>
                <w:spacing w:val="-2"/>
              </w:rPr>
              <w:t>EB-TCD-16-00021655</w:t>
            </w:r>
          </w:p>
          <w:p w:rsidR="00CB3253" w:rsidRPr="005B744E" w:rsidRDefault="00CB3253" w:rsidP="005B744E">
            <w:pPr>
              <w:ind w:left="522"/>
              <w:rPr>
                <w:color w:val="000000" w:themeColor="text1"/>
                <w:spacing w:val="-2"/>
              </w:rPr>
            </w:pPr>
            <w:r w:rsidRPr="00F8719D">
              <w:rPr>
                <w:color w:val="000000" w:themeColor="text1"/>
                <w:spacing w:val="-2"/>
              </w:rPr>
              <w:t>FRN:</w:t>
            </w:r>
            <w:r w:rsidR="00361419">
              <w:rPr>
                <w:color w:val="000000" w:themeColor="text1"/>
                <w:spacing w:val="-2"/>
              </w:rPr>
              <w:t xml:space="preserve">  0003764495</w:t>
            </w:r>
          </w:p>
          <w:p w:rsidR="00CB3253" w:rsidRPr="005B744E" w:rsidRDefault="00CB3253" w:rsidP="002C3F8E">
            <w:pPr>
              <w:rPr>
                <w:color w:val="000000" w:themeColor="text1"/>
              </w:rPr>
            </w:pPr>
            <w:r w:rsidRPr="00F8719D">
              <w:rPr>
                <w:color w:val="000000" w:themeColor="text1"/>
                <w:spacing w:val="-2"/>
              </w:rPr>
              <w:t xml:space="preserve">             </w:t>
            </w:r>
          </w:p>
        </w:tc>
      </w:tr>
    </w:tbl>
    <w:p w:rsidR="00CB3253" w:rsidRPr="00F8719D" w:rsidRDefault="002573B5" w:rsidP="00CB3253">
      <w:pPr>
        <w:pStyle w:val="StyleBoldCentered"/>
        <w:widowControl/>
        <w:rPr>
          <w:rFonts w:ascii="Times New Roman" w:hAnsi="Times New Roman"/>
          <w:color w:val="000000" w:themeColor="text1"/>
        </w:rPr>
      </w:pPr>
      <w:r>
        <w:rPr>
          <w:rFonts w:ascii="Times New Roman" w:hAnsi="Times New Roman"/>
          <w:color w:val="000000" w:themeColor="text1"/>
        </w:rPr>
        <w:t xml:space="preserve">ADMONISHMENT </w:t>
      </w:r>
      <w:r w:rsidR="00CB3253" w:rsidRPr="00F8719D">
        <w:rPr>
          <w:rFonts w:ascii="Times New Roman" w:hAnsi="Times New Roman"/>
          <w:color w:val="000000" w:themeColor="text1"/>
        </w:rPr>
        <w:t>ORDER</w:t>
      </w:r>
    </w:p>
    <w:p w:rsidR="00CB3253" w:rsidRPr="00F8719D" w:rsidRDefault="00CB3253" w:rsidP="00CB3253">
      <w:pPr>
        <w:pStyle w:val="BodyText"/>
        <w:tabs>
          <w:tab w:val="left" w:pos="4680"/>
        </w:tabs>
        <w:jc w:val="center"/>
        <w:rPr>
          <w:color w:val="000000" w:themeColor="text1"/>
          <w:sz w:val="22"/>
          <w:szCs w:val="22"/>
          <w:u w:val="none"/>
        </w:rPr>
      </w:pPr>
    </w:p>
    <w:p w:rsidR="00CB3253" w:rsidRPr="00F8719D" w:rsidRDefault="00214992" w:rsidP="00CB3253">
      <w:pPr>
        <w:tabs>
          <w:tab w:val="left" w:pos="720"/>
          <w:tab w:val="left" w:pos="5760"/>
        </w:tabs>
        <w:suppressAutoHyphens/>
        <w:spacing w:line="227" w:lineRule="auto"/>
        <w:rPr>
          <w:color w:val="000000" w:themeColor="text1"/>
          <w:spacing w:val="-2"/>
        </w:rPr>
      </w:pPr>
      <w:r>
        <w:rPr>
          <w:b/>
          <w:color w:val="000000" w:themeColor="text1"/>
          <w:spacing w:val="-2"/>
        </w:rPr>
        <w:t>Adopted:  May 1</w:t>
      </w:r>
      <w:r w:rsidR="00D160E1">
        <w:rPr>
          <w:b/>
          <w:color w:val="000000" w:themeColor="text1"/>
          <w:spacing w:val="-2"/>
        </w:rPr>
        <w:t>7</w:t>
      </w:r>
      <w:r w:rsidR="00361419">
        <w:rPr>
          <w:b/>
          <w:color w:val="000000" w:themeColor="text1"/>
          <w:spacing w:val="-2"/>
        </w:rPr>
        <w:t>,</w:t>
      </w:r>
      <w:r w:rsidR="00C432FD">
        <w:rPr>
          <w:b/>
          <w:color w:val="000000" w:themeColor="text1"/>
          <w:spacing w:val="-2"/>
        </w:rPr>
        <w:t xml:space="preserve"> 2016</w:t>
      </w:r>
      <w:r w:rsidR="00C432FD">
        <w:rPr>
          <w:b/>
          <w:color w:val="000000" w:themeColor="text1"/>
          <w:spacing w:val="-2"/>
        </w:rPr>
        <w:tab/>
        <w:t xml:space="preserve">             </w:t>
      </w:r>
      <w:r w:rsidR="00C432FD">
        <w:rPr>
          <w:b/>
          <w:color w:val="000000" w:themeColor="text1"/>
          <w:spacing w:val="-2"/>
        </w:rPr>
        <w:tab/>
        <w:t xml:space="preserve">            </w:t>
      </w:r>
      <w:r w:rsidR="002613E5">
        <w:rPr>
          <w:b/>
          <w:color w:val="000000" w:themeColor="text1"/>
          <w:spacing w:val="-2"/>
        </w:rPr>
        <w:t xml:space="preserve">Released:  May </w:t>
      </w:r>
      <w:r w:rsidR="00C432FD">
        <w:rPr>
          <w:b/>
          <w:color w:val="000000" w:themeColor="text1"/>
          <w:spacing w:val="-2"/>
        </w:rPr>
        <w:t>1</w:t>
      </w:r>
      <w:r w:rsidR="00D160E1">
        <w:rPr>
          <w:b/>
          <w:color w:val="000000" w:themeColor="text1"/>
          <w:spacing w:val="-2"/>
        </w:rPr>
        <w:t>7</w:t>
      </w:r>
      <w:r w:rsidR="00361419">
        <w:rPr>
          <w:b/>
          <w:color w:val="000000" w:themeColor="text1"/>
          <w:spacing w:val="-2"/>
        </w:rPr>
        <w:t>, 2016</w:t>
      </w:r>
    </w:p>
    <w:p w:rsidR="00CB3253" w:rsidRPr="00F8719D" w:rsidRDefault="00CB3253" w:rsidP="00CB3253">
      <w:pPr>
        <w:pStyle w:val="BodyText"/>
        <w:tabs>
          <w:tab w:val="left" w:pos="4680"/>
        </w:tabs>
        <w:jc w:val="center"/>
        <w:rPr>
          <w:color w:val="000000" w:themeColor="text1"/>
          <w:sz w:val="22"/>
          <w:szCs w:val="22"/>
          <w:u w:val="none"/>
        </w:rPr>
      </w:pPr>
    </w:p>
    <w:p w:rsidR="00E92283" w:rsidRPr="00F8719D" w:rsidRDefault="00361419" w:rsidP="00E92283">
      <w:pPr>
        <w:tabs>
          <w:tab w:val="left" w:pos="720"/>
          <w:tab w:val="left" w:pos="5760"/>
        </w:tabs>
        <w:suppressAutoHyphens/>
        <w:spacing w:line="227" w:lineRule="auto"/>
        <w:jc w:val="both"/>
        <w:rPr>
          <w:spacing w:val="-2"/>
        </w:rPr>
      </w:pPr>
      <w:r>
        <w:rPr>
          <w:spacing w:val="-2"/>
        </w:rPr>
        <w:t xml:space="preserve">By the </w:t>
      </w:r>
      <w:r w:rsidR="00BA7E26">
        <w:rPr>
          <w:spacing w:val="-2"/>
        </w:rPr>
        <w:t xml:space="preserve">Division </w:t>
      </w:r>
      <w:r w:rsidR="00F65F1C">
        <w:rPr>
          <w:spacing w:val="-2"/>
        </w:rPr>
        <w:t>Chief, Telecommunications Consumers Division</w:t>
      </w:r>
      <w:r w:rsidR="00E92283" w:rsidRPr="00F8719D">
        <w:rPr>
          <w:spacing w:val="-2"/>
        </w:rPr>
        <w:t>:</w:t>
      </w:r>
    </w:p>
    <w:p w:rsidR="00CB3253" w:rsidRPr="00F8719D" w:rsidRDefault="00CB3253" w:rsidP="00CB3253">
      <w:pPr>
        <w:pStyle w:val="BodyText"/>
        <w:tabs>
          <w:tab w:val="left" w:pos="4680"/>
        </w:tabs>
        <w:rPr>
          <w:b w:val="0"/>
          <w:color w:val="000000" w:themeColor="text1"/>
          <w:sz w:val="22"/>
          <w:szCs w:val="22"/>
          <w:u w:val="none"/>
        </w:rPr>
      </w:pPr>
    </w:p>
    <w:p w:rsidR="00302A52" w:rsidRDefault="00CB3253" w:rsidP="00302A52">
      <w:pPr>
        <w:pStyle w:val="Heading1"/>
        <w:rPr>
          <w:color w:val="000000" w:themeColor="text1"/>
        </w:rPr>
      </w:pPr>
      <w:r w:rsidRPr="00F8719D">
        <w:rPr>
          <w:color w:val="000000" w:themeColor="text1"/>
        </w:rPr>
        <w:t>INTRODUCTION</w:t>
      </w:r>
    </w:p>
    <w:p w:rsidR="00CB3253" w:rsidRPr="00302A52" w:rsidRDefault="000A30FF" w:rsidP="00D160E1">
      <w:pPr>
        <w:pStyle w:val="ParaNum"/>
        <w:rPr>
          <w:color w:val="000000" w:themeColor="text1"/>
        </w:rPr>
      </w:pPr>
      <w:r w:rsidRPr="00302A52">
        <w:rPr>
          <w:color w:val="000000" w:themeColor="text1"/>
        </w:rPr>
        <w:t xml:space="preserve">We </w:t>
      </w:r>
      <w:r>
        <w:t xml:space="preserve">hereby admonish New Century Telecom, Inc. (New Century or Company) for failing to comply with a Federal Communications Commission </w:t>
      </w:r>
      <w:r w:rsidR="00826FB5">
        <w:t xml:space="preserve">(FCC or Commission) subpoena </w:t>
      </w:r>
      <w:r>
        <w:t>to produce certain information and documents</w:t>
      </w:r>
      <w:r w:rsidR="00826FB5">
        <w:t>.  The document request was</w:t>
      </w:r>
      <w:r>
        <w:t xml:space="preserve"> </w:t>
      </w:r>
      <w:r w:rsidRPr="00302A52">
        <w:rPr>
          <w:szCs w:val="22"/>
        </w:rPr>
        <w:t>in connection with an Enforcement Bureau (Bureau) investigation</w:t>
      </w:r>
      <w:r w:rsidR="00826FB5">
        <w:t xml:space="preserve"> into the Company’s compliance with the Communications Act (Act) and the Commission’s rules (Rules) regarding potential violations of Sections 20</w:t>
      </w:r>
      <w:r w:rsidR="00302A52">
        <w:t>1</w:t>
      </w:r>
      <w:r w:rsidR="00826FB5">
        <w:t>(b) and 258 of the Act and Section 64.1120 of the Rules regarding slamming and cramming.</w:t>
      </w:r>
      <w:r w:rsidR="00826FB5" w:rsidRPr="00F8719D">
        <w:t xml:space="preserve"> </w:t>
      </w:r>
      <w:r w:rsidR="00826FB5">
        <w:t xml:space="preserve"> W</w:t>
      </w:r>
      <w:r w:rsidR="002C075E" w:rsidRPr="00302A52">
        <w:rPr>
          <w:color w:val="000000" w:themeColor="text1"/>
          <w:spacing w:val="-2"/>
        </w:rPr>
        <w:t xml:space="preserve">e also admonish New Century for failing to provide current contact information for its listed agent for service of process.  </w:t>
      </w:r>
      <w:r w:rsidR="002C075E" w:rsidRPr="00302A52">
        <w:rPr>
          <w:color w:val="000000" w:themeColor="text1"/>
        </w:rPr>
        <w:t>In addition, we</w:t>
      </w:r>
      <w:r w:rsidRPr="00302A52">
        <w:rPr>
          <w:color w:val="000000" w:themeColor="text1"/>
        </w:rPr>
        <w:t xml:space="preserve"> </w:t>
      </w:r>
      <w:r w:rsidR="00C940BF">
        <w:t>order</w:t>
      </w:r>
      <w:r>
        <w:t xml:space="preserve"> New Century</w:t>
      </w:r>
      <w:r w:rsidR="00361419">
        <w:t xml:space="preserve"> </w:t>
      </w:r>
      <w:r w:rsidR="00D42BDB">
        <w:t>to report to</w:t>
      </w:r>
      <w:r>
        <w:t xml:space="preserve"> the Bureau</w:t>
      </w:r>
      <w:r w:rsidR="00D42BDB">
        <w:t xml:space="preserve"> within thirty (30) calendar days why </w:t>
      </w:r>
      <w:r>
        <w:t>the Commission</w:t>
      </w:r>
      <w:r w:rsidR="00D42BDB">
        <w:t xml:space="preserve"> should not </w:t>
      </w:r>
      <w:r w:rsidR="00D160E1" w:rsidRPr="00D160E1">
        <w:t xml:space="preserve">(1) determine that </w:t>
      </w:r>
      <w:r w:rsidR="00D160E1">
        <w:t>New Century</w:t>
      </w:r>
      <w:r w:rsidR="00D160E1" w:rsidRPr="00D160E1">
        <w:t xml:space="preserve"> lacks the qualifications to hold Commission authorizations, (2) initiate proceedings against </w:t>
      </w:r>
      <w:r w:rsidR="00D160E1">
        <w:t>New Century</w:t>
      </w:r>
      <w:r w:rsidR="00D160E1" w:rsidRPr="00D160E1">
        <w:t xml:space="preserve"> to revoke its Commission authorizations, or (3) issue an order declaring that the Company’s authorizations have terminated</w:t>
      </w:r>
      <w:r w:rsidR="00826FB5">
        <w:t>.</w:t>
      </w:r>
      <w:r>
        <w:t xml:space="preserve">  </w:t>
      </w:r>
      <w:r w:rsidR="00D205EE">
        <w:t xml:space="preserve">  </w:t>
      </w:r>
      <w:r w:rsidR="00361419" w:rsidRPr="00302A52">
        <w:rPr>
          <w:color w:val="000000" w:themeColor="text1"/>
        </w:rPr>
        <w:t xml:space="preserve">  </w:t>
      </w:r>
    </w:p>
    <w:p w:rsidR="00A2151C" w:rsidRPr="00F8719D" w:rsidRDefault="00A2151C" w:rsidP="00403A86">
      <w:pPr>
        <w:pStyle w:val="Heading1"/>
        <w:rPr>
          <w:color w:val="000000" w:themeColor="text1"/>
          <w:spacing w:val="-2"/>
        </w:rPr>
      </w:pPr>
      <w:r w:rsidRPr="00F8719D">
        <w:rPr>
          <w:color w:val="000000" w:themeColor="text1"/>
        </w:rPr>
        <w:t>BACKGROUND</w:t>
      </w:r>
    </w:p>
    <w:p w:rsidR="00361419" w:rsidRDefault="00361419" w:rsidP="00EF7DE0">
      <w:pPr>
        <w:pStyle w:val="ParaNum"/>
        <w:widowControl/>
      </w:pPr>
      <w:r>
        <w:t xml:space="preserve">New </w:t>
      </w:r>
      <w:r w:rsidRPr="00361419">
        <w:t>Century</w:t>
      </w:r>
      <w:r>
        <w:t xml:space="preserve"> </w:t>
      </w:r>
      <w:r w:rsidRPr="000C50F5">
        <w:t>is a</w:t>
      </w:r>
      <w:r>
        <w:t xml:space="preserve"> non-facilities based interexchange carrier that is</w:t>
      </w:r>
      <w:r w:rsidRPr="000C50F5">
        <w:t xml:space="preserve"> authorized to provide </w:t>
      </w:r>
      <w:r>
        <w:t xml:space="preserve">domestic and international long distance </w:t>
      </w:r>
      <w:r w:rsidRPr="000C50F5">
        <w:t>telecommunications service</w:t>
      </w:r>
      <w:r>
        <w:t>.</w:t>
      </w:r>
      <w:r>
        <w:rPr>
          <w:rStyle w:val="FootnoteReference"/>
        </w:rPr>
        <w:footnoteReference w:id="2"/>
      </w:r>
      <w:r>
        <w:t xml:space="preserve">  New Century’s President is Karyn L. Bartel.</w:t>
      </w:r>
      <w:r>
        <w:rPr>
          <w:rStyle w:val="FootnoteReference"/>
        </w:rPr>
        <w:footnoteReference w:id="3"/>
      </w:r>
      <w:r>
        <w:t xml:space="preserve">  </w:t>
      </w:r>
      <w:r w:rsidRPr="000C50F5">
        <w:t xml:space="preserve">The </w:t>
      </w:r>
      <w:r>
        <w:t>Bureau initiated an investigation of New Century b</w:t>
      </w:r>
      <w:r w:rsidRPr="000C50F5">
        <w:t xml:space="preserve">ased on complaints </w:t>
      </w:r>
      <w:r>
        <w:t xml:space="preserve">from consumers alleging </w:t>
      </w:r>
      <w:r w:rsidRPr="000C50F5">
        <w:t xml:space="preserve">that </w:t>
      </w:r>
      <w:r>
        <w:t>New Century c</w:t>
      </w:r>
      <w:r w:rsidRPr="000C50F5">
        <w:t xml:space="preserve">harged </w:t>
      </w:r>
      <w:r>
        <w:t>them</w:t>
      </w:r>
      <w:r w:rsidRPr="000C50F5">
        <w:t xml:space="preserve"> for long distance service</w:t>
      </w:r>
      <w:r>
        <w:t xml:space="preserve"> without their authorization.  On June 8, 2015, the </w:t>
      </w:r>
      <w:r w:rsidRPr="000C50F5">
        <w:t xml:space="preserve">Bureau issued a </w:t>
      </w:r>
      <w:r>
        <w:t xml:space="preserve">subpoena </w:t>
      </w:r>
      <w:r w:rsidRPr="000C50F5">
        <w:t>to the Company</w:t>
      </w:r>
      <w:r>
        <w:t xml:space="preserve"> seeking</w:t>
      </w:r>
      <w:r w:rsidRPr="000C50F5">
        <w:t xml:space="preserve"> information </w:t>
      </w:r>
      <w:r w:rsidR="00C940BF">
        <w:t xml:space="preserve">and documents </w:t>
      </w:r>
      <w:r w:rsidRPr="000C50F5">
        <w:t xml:space="preserve">about </w:t>
      </w:r>
      <w:r>
        <w:t xml:space="preserve">New </w:t>
      </w:r>
      <w:r>
        <w:lastRenderedPageBreak/>
        <w:t>Century’</w:t>
      </w:r>
      <w:r w:rsidRPr="000C50F5">
        <w:t xml:space="preserve">s </w:t>
      </w:r>
      <w:r>
        <w:t xml:space="preserve">business and its </w:t>
      </w:r>
      <w:r w:rsidRPr="000C50F5">
        <w:t xml:space="preserve">practices </w:t>
      </w:r>
      <w:r>
        <w:t>related to the provision of telecommunications services.</w:t>
      </w:r>
      <w:r>
        <w:rPr>
          <w:rStyle w:val="FootnoteReference"/>
        </w:rPr>
        <w:footnoteReference w:id="4"/>
      </w:r>
      <w:r>
        <w:t xml:space="preserve">  The subpoena sought information </w:t>
      </w:r>
      <w:r w:rsidR="00C940BF">
        <w:t xml:space="preserve">and documents </w:t>
      </w:r>
      <w:r>
        <w:t xml:space="preserve">related to New Century’s submission of carrier change requests and charges it placed on consumers’ telephone bills.  </w:t>
      </w:r>
      <w:r w:rsidR="00D205EE">
        <w:t>T</w:t>
      </w:r>
      <w:r>
        <w:t xml:space="preserve">he subpoena </w:t>
      </w:r>
      <w:r w:rsidR="00C940BF">
        <w:t>ordered</w:t>
      </w:r>
      <w:r w:rsidRPr="000C50F5">
        <w:t xml:space="preserve"> the Company to produc</w:t>
      </w:r>
      <w:r>
        <w:t>e consumer complaints and evidence that it had complied with the Commission’s verification procedures prior to switching consumers’ long distance service providers.  The subpoena was mailed to New Century’s address of record—3050 Royal Blvd. South, Suite 175, Alpharetta, Georgia.</w:t>
      </w:r>
    </w:p>
    <w:p w:rsidR="00361419" w:rsidRDefault="00361419" w:rsidP="00EF7DE0">
      <w:pPr>
        <w:pStyle w:val="ParaNum"/>
        <w:widowControl/>
      </w:pPr>
      <w:r>
        <w:t xml:space="preserve">New </w:t>
      </w:r>
      <w:r w:rsidRPr="004E3A28">
        <w:rPr>
          <w:color w:val="000000" w:themeColor="text1"/>
        </w:rPr>
        <w:t>Century’s</w:t>
      </w:r>
      <w:r>
        <w:t xml:space="preserve"> response to the subpoena was due July 8, 2015.  The subpoena, however, was returned to the Bureau on August 3, 2015, after being unclaimed at New Century’s business location.  The Bureau then sent New Century a letter on September 28, 2015, </w:t>
      </w:r>
      <w:r w:rsidR="00C940BF">
        <w:t>ordering</w:t>
      </w:r>
      <w:r>
        <w:t xml:space="preserve"> the Company to provide full and complete responses to the subpoena within seven days and warning New Century of the consequences for failing to do so.</w:t>
      </w:r>
      <w:r>
        <w:rPr>
          <w:rStyle w:val="FootnoteReference"/>
        </w:rPr>
        <w:footnoteReference w:id="5"/>
      </w:r>
      <w:r>
        <w:t xml:space="preserve">  The Warning Letter was also mailed to New Century’s listed agent for service of process, The Commpliance Group, Inc., pursuant to Section 1.47 of the Commission’s Rules</w:t>
      </w:r>
      <w:r>
        <w:rPr>
          <w:rStyle w:val="FootnoteReference"/>
        </w:rPr>
        <w:footnoteReference w:id="6"/>
      </w:r>
      <w:r>
        <w:t xml:space="preserve"> and e-mailed to Ms. Bartel at the e-mail address she provided on the Company’s FCC Form 499-A worksheet.</w:t>
      </w:r>
      <w:r>
        <w:rPr>
          <w:rStyle w:val="FootnoteReference"/>
        </w:rPr>
        <w:footnoteReference w:id="7"/>
      </w:r>
    </w:p>
    <w:p w:rsidR="00A2151C" w:rsidRPr="00361419" w:rsidRDefault="00361419" w:rsidP="00EF7DE0">
      <w:pPr>
        <w:pStyle w:val="ParaNum"/>
        <w:widowControl/>
      </w:pPr>
      <w:r>
        <w:t xml:space="preserve">The </w:t>
      </w:r>
      <w:r w:rsidRPr="004E3A28">
        <w:rPr>
          <w:color w:val="000000" w:themeColor="text1"/>
        </w:rPr>
        <w:t>Warning</w:t>
      </w:r>
      <w:r>
        <w:t xml:space="preserve"> Letters sent to New Century at its Alpharetta address and to The Commpliance Group, Inc., at the address provided on New Century’s FCC Form 499-A were returned to the Bureau as undeliverable at both locations.  The Bureau subsequently mailed the Warning Letter to an updated address for New Century’s agent for service of process.</w:t>
      </w:r>
      <w:r>
        <w:rPr>
          <w:rStyle w:val="FootnoteReference"/>
        </w:rPr>
        <w:footnoteReference w:id="8"/>
      </w:r>
      <w:r>
        <w:t xml:space="preserve">  The Commpliance Group, Inc., confirmed that it is New Century’s agent for </w:t>
      </w:r>
      <w:r w:rsidR="00D977C1">
        <w:t xml:space="preserve">service of </w:t>
      </w:r>
      <w:r>
        <w:t>process and accordingly accepted service of the Warning Letter and the subpoena on October 13, 2015, on behalf of New Century.</w:t>
      </w:r>
      <w:r>
        <w:rPr>
          <w:rStyle w:val="FootnoteReference"/>
        </w:rPr>
        <w:footnoteReference w:id="9"/>
      </w:r>
      <w:r>
        <w:t xml:space="preserve">  The Bureau, however, has not received a response from New Century to date.</w:t>
      </w:r>
    </w:p>
    <w:p w:rsidR="00A2151C" w:rsidRPr="00F8719D" w:rsidRDefault="00A2151C" w:rsidP="00403A86">
      <w:pPr>
        <w:pStyle w:val="Heading1"/>
        <w:rPr>
          <w:color w:val="000000" w:themeColor="text1"/>
        </w:rPr>
      </w:pPr>
      <w:r w:rsidRPr="00F8719D">
        <w:rPr>
          <w:color w:val="000000" w:themeColor="text1"/>
        </w:rPr>
        <w:t>DISCUSSION</w:t>
      </w:r>
    </w:p>
    <w:p w:rsidR="007607C1" w:rsidRDefault="007607C1" w:rsidP="00EF7DE0">
      <w:pPr>
        <w:pStyle w:val="ParaNum"/>
        <w:widowControl/>
      </w:pPr>
      <w:r>
        <w:t xml:space="preserve">We find that </w:t>
      </w:r>
      <w:r w:rsidRPr="004E3A28">
        <w:rPr>
          <w:color w:val="000000" w:themeColor="text1"/>
        </w:rPr>
        <w:t>New</w:t>
      </w:r>
      <w:r>
        <w:t xml:space="preserve"> Century violated a Commission order when it failed to respond to a Commission subpoena to produce certain information and documents </w:t>
      </w:r>
      <w:r w:rsidRPr="00101DEF">
        <w:rPr>
          <w:szCs w:val="22"/>
        </w:rPr>
        <w:t>in connection with the Bureau’s investigation</w:t>
      </w:r>
      <w:r>
        <w:t xml:space="preserve"> of New Century for potential </w:t>
      </w:r>
      <w:r w:rsidR="00AF4750">
        <w:t xml:space="preserve">violations of the Act and Rules related to </w:t>
      </w:r>
      <w:r>
        <w:t>slamming and cramming.</w:t>
      </w:r>
      <w:r>
        <w:rPr>
          <w:rStyle w:val="FootnoteReference"/>
        </w:rPr>
        <w:footnoteReference w:id="10"/>
      </w:r>
      <w:r>
        <w:t xml:space="preserve">  We also find that New Century violated Section 1.47(h) of the Rules by failing to notif</w:t>
      </w:r>
      <w:r w:rsidR="000C6436">
        <w:t>y the</w:t>
      </w:r>
      <w:r w:rsidR="004813D3">
        <w:t xml:space="preserve"> Commission of an address change for</w:t>
      </w:r>
      <w:r w:rsidR="000C6436">
        <w:t xml:space="preserve"> its designated agent for service</w:t>
      </w:r>
      <w:r w:rsidR="00D977C1">
        <w:t xml:space="preserve"> of process</w:t>
      </w:r>
      <w:r w:rsidR="000C6436">
        <w:t>.</w:t>
      </w:r>
    </w:p>
    <w:p w:rsidR="007607C1" w:rsidRDefault="007607C1" w:rsidP="00EF7DE0">
      <w:pPr>
        <w:pStyle w:val="ParaNum"/>
        <w:widowControl/>
      </w:pPr>
      <w:r w:rsidRPr="004E3A28">
        <w:rPr>
          <w:color w:val="000000" w:themeColor="text1"/>
        </w:rPr>
        <w:lastRenderedPageBreak/>
        <w:t>Sections</w:t>
      </w:r>
      <w:r>
        <w:t xml:space="preserve"> 218, 403, and 409(e) of the Act give the Commission broad power to compel carriers such as New Century to provide information and documents in connection with investigations into a carrier’s compliance with the Act and Rules.  Section 218 authorizes the Commission to “obtain from . . . carriers . . . full and complete information necessary to enable the Commission to perform the duties and carry out the objects for which it was created.”</w:t>
      </w:r>
      <w:r>
        <w:rPr>
          <w:rStyle w:val="FootnoteReference"/>
        </w:rPr>
        <w:footnoteReference w:id="11"/>
      </w:r>
      <w:r>
        <w:t xml:space="preserve">  Section 403 states that “[t]he Commission shall have the same powers and authority to proceed with any inquiry . . . including the power to make and enforce any order or orders in the case, or relating to the matter or thing concerning which the inquiry is had.”</w:t>
      </w:r>
      <w:r>
        <w:rPr>
          <w:rStyle w:val="FootnoteReference"/>
        </w:rPr>
        <w:footnoteReference w:id="12"/>
      </w:r>
      <w:r>
        <w:t xml:space="preserve">  Section 409(e) provides that the Commission “shall have the power to require by subpoena the attendance and testimony of witnesses and the production of all books, papers, schedules of charges, contracts, agreements, and documents relating to any matter under investigation.”</w:t>
      </w:r>
      <w:r>
        <w:rPr>
          <w:rStyle w:val="FootnoteReference"/>
        </w:rPr>
        <w:footnoteReference w:id="13"/>
      </w:r>
      <w:r>
        <w:t xml:space="preserve">  Finally, the Rules authorize the Bureau to issue non-hearing related subpoenas for any records relevant to an investigation.</w:t>
      </w:r>
      <w:r>
        <w:rPr>
          <w:rStyle w:val="FootnoteReference"/>
        </w:rPr>
        <w:footnoteReference w:id="14"/>
      </w:r>
    </w:p>
    <w:p w:rsidR="00654F6E" w:rsidRDefault="007607C1" w:rsidP="00EF7DE0">
      <w:pPr>
        <w:pStyle w:val="ParaNum"/>
        <w:widowControl/>
      </w:pPr>
      <w:r>
        <w:t xml:space="preserve">The </w:t>
      </w:r>
      <w:r w:rsidRPr="004E3A28">
        <w:rPr>
          <w:color w:val="000000" w:themeColor="text1"/>
        </w:rPr>
        <w:t>subpoena</w:t>
      </w:r>
      <w:r>
        <w:t xml:space="preserve"> directed to New Century </w:t>
      </w:r>
      <w:r w:rsidR="00D977C1">
        <w:t xml:space="preserve">was </w:t>
      </w:r>
      <w:r>
        <w:t>a legal order of the Commission to produce the requested documents and information.</w:t>
      </w:r>
      <w:r>
        <w:rPr>
          <w:rStyle w:val="FootnoteReference"/>
        </w:rPr>
        <w:footnoteReference w:id="15"/>
      </w:r>
      <w:r>
        <w:t xml:space="preserve">  The Bureau mailed the subpoena and subsequent Warning Letter to the address of record for New Century as well as to its identified agent for service.</w:t>
      </w:r>
      <w:r>
        <w:rPr>
          <w:rStyle w:val="FootnoteReference"/>
        </w:rPr>
        <w:footnoteReference w:id="16"/>
      </w:r>
      <w:r>
        <w:t xml:space="preserve">  The Warning Letter was also e-mailed to New Century’s president, Ms. Bartel.  As recently as October 19, 2015, Ms. Bartel filed the Company’s FCC Form 499-Q worksheet identifying herself as president and reporting the company’s </w:t>
      </w:r>
      <w:r w:rsidR="00D977C1">
        <w:t xml:space="preserve">telecommunications </w:t>
      </w:r>
      <w:r>
        <w:t>revenue projections.</w:t>
      </w:r>
      <w:r>
        <w:rPr>
          <w:rStyle w:val="FootnoteReference"/>
        </w:rPr>
        <w:footnoteReference w:id="17"/>
      </w:r>
      <w:r>
        <w:t xml:space="preserve">  Further, Ms. Bartel signed New Century’s annual Customer Proprietary Network Information (CPNI) Certification, certifying that “I am an officer of New Century Telecom, Inc. [] and that I am authorized to make this certification on behalf of New Century Telecom.  I have personal knowledge that New Century Telecom has established operating procedures that are adequate to ensure compliance with the Federal Communications Commission’s rules governing Customer Proprietary Network Information.”</w:t>
      </w:r>
      <w:r>
        <w:rPr>
          <w:rStyle w:val="FootnoteReference"/>
        </w:rPr>
        <w:footnoteReference w:id="18"/>
      </w:r>
      <w:r>
        <w:t xml:space="preserve">  Neither Ms. Bartel nor New Century has responded to the subpoena.  </w:t>
      </w:r>
      <w:r w:rsidR="00D977C1">
        <w:t>The subpoena was unclaimed by New Century at its business address, but New Century’s agent</w:t>
      </w:r>
      <w:r w:rsidR="00C500FD">
        <w:t xml:space="preserve"> </w:t>
      </w:r>
      <w:r w:rsidR="00D977C1">
        <w:t>accepted service of the Warning Letter and the subp</w:t>
      </w:r>
      <w:r w:rsidR="00654F6E">
        <w:t>oena on behalf of New Century.</w:t>
      </w:r>
    </w:p>
    <w:p w:rsidR="00A2151C" w:rsidRPr="00654F6E" w:rsidRDefault="00654F6E" w:rsidP="00EF7DE0">
      <w:pPr>
        <w:pStyle w:val="ParaNum"/>
        <w:widowControl/>
      </w:pPr>
      <w:r>
        <w:t>B</w:t>
      </w:r>
      <w:r w:rsidR="007607C1">
        <w:t xml:space="preserve">ased on the </w:t>
      </w:r>
      <w:r w:rsidR="007607C1" w:rsidRPr="00654F6E">
        <w:rPr>
          <w:color w:val="000000" w:themeColor="text1"/>
        </w:rPr>
        <w:t>forgoing</w:t>
      </w:r>
      <w:r w:rsidR="007607C1">
        <w:t>, we find that New Century’s failure to provide the information and documents sought constitutes a v</w:t>
      </w:r>
      <w:r w:rsidR="003508B8">
        <w:t>iolation of a Commission order and that the Company’s failure to update the contact information for its designated agent for service</w:t>
      </w:r>
      <w:r w:rsidR="002714AB">
        <w:t xml:space="preserve"> of process</w:t>
      </w:r>
      <w:r w:rsidR="003508B8">
        <w:t xml:space="preserve"> violated Section 1.47(h) of the Rules.</w:t>
      </w:r>
    </w:p>
    <w:p w:rsidR="002302F1" w:rsidRPr="00F8719D" w:rsidRDefault="002302F1" w:rsidP="00403A86">
      <w:pPr>
        <w:pStyle w:val="Heading1"/>
        <w:rPr>
          <w:spacing w:val="-2"/>
        </w:rPr>
      </w:pPr>
      <w:r w:rsidRPr="00F8719D">
        <w:rPr>
          <w:spacing w:val="-2"/>
        </w:rPr>
        <w:t>Conclusion</w:t>
      </w:r>
    </w:p>
    <w:p w:rsidR="004813D3" w:rsidRPr="00F8719D" w:rsidRDefault="004813D3" w:rsidP="00D01222">
      <w:pPr>
        <w:pStyle w:val="ParaNum"/>
      </w:pPr>
      <w:r>
        <w:t>We have determined that New Century</w:t>
      </w:r>
      <w:r w:rsidRPr="00F8719D">
        <w:t xml:space="preserve"> violated </w:t>
      </w:r>
      <w:r>
        <w:t>a Commission order to produce certain information and documents in connection with a Bureau investigation</w:t>
      </w:r>
      <w:r w:rsidRPr="004813D3">
        <w:rPr>
          <w:szCs w:val="22"/>
        </w:rPr>
        <w:t xml:space="preserve">.  </w:t>
      </w:r>
      <w:r w:rsidR="001E2878">
        <w:rPr>
          <w:szCs w:val="22"/>
        </w:rPr>
        <w:t xml:space="preserve">New Century also violated Section 1.47(h) of the Rules by failing to notify the Commission of an address change for its designated agent for service.  </w:t>
      </w:r>
      <w:r w:rsidR="00FC3824">
        <w:rPr>
          <w:szCs w:val="22"/>
        </w:rPr>
        <w:t>Although a monetary forfeiture</w:t>
      </w:r>
      <w:r w:rsidR="006A77D2">
        <w:rPr>
          <w:szCs w:val="22"/>
        </w:rPr>
        <w:t xml:space="preserve"> is consistent with past precedent and </w:t>
      </w:r>
      <w:r w:rsidR="00FC3824">
        <w:rPr>
          <w:szCs w:val="22"/>
        </w:rPr>
        <w:t>warranted for these violations,</w:t>
      </w:r>
      <w:r w:rsidR="00E4208B">
        <w:rPr>
          <w:rStyle w:val="FootnoteReference"/>
          <w:szCs w:val="22"/>
        </w:rPr>
        <w:footnoteReference w:id="19"/>
      </w:r>
      <w:r w:rsidR="00FC3824">
        <w:rPr>
          <w:szCs w:val="22"/>
        </w:rPr>
        <w:t xml:space="preserve"> we instead admonish New Century</w:t>
      </w:r>
      <w:r w:rsidR="00E4208B">
        <w:rPr>
          <w:szCs w:val="22"/>
        </w:rPr>
        <w:t xml:space="preserve"> and order the Company to </w:t>
      </w:r>
      <w:r w:rsidR="00FC3824">
        <w:t xml:space="preserve">report to the Bureau within thirty (30) calendar days why the Commission should not </w:t>
      </w:r>
      <w:r w:rsidR="00D01222" w:rsidRPr="00D01222">
        <w:t xml:space="preserve">(1) determine that </w:t>
      </w:r>
      <w:r w:rsidR="00D01222">
        <w:t>New Century</w:t>
      </w:r>
      <w:r w:rsidR="00D01222" w:rsidRPr="00D01222">
        <w:t xml:space="preserve"> lacks the qualifications to hold Commission authorizations, (2)</w:t>
      </w:r>
      <w:r w:rsidR="00D01222">
        <w:t xml:space="preserve"> </w:t>
      </w:r>
      <w:r w:rsidR="00FC3824">
        <w:t>initiate proceedings against New Century to revoke its Commission authorizations</w:t>
      </w:r>
      <w:r w:rsidR="00D01222">
        <w:t xml:space="preserve">, or (3) </w:t>
      </w:r>
      <w:r w:rsidR="00D01222" w:rsidRPr="00D01222">
        <w:t>issue an order declaring that the Company’s authorizations have terminated</w:t>
      </w:r>
      <w:r w:rsidR="00FC3824">
        <w:t>.</w:t>
      </w:r>
      <w:r w:rsidR="00D01222">
        <w:rPr>
          <w:rStyle w:val="FootnoteReference"/>
        </w:rPr>
        <w:footnoteReference w:id="20"/>
      </w:r>
      <w:r w:rsidR="00FC3824">
        <w:t xml:space="preserve">  Failure to report to the Bureau within the time specified will be deemed an admission of the facts outlined above.</w:t>
      </w:r>
      <w:r w:rsidR="000A30FF">
        <w:t xml:space="preserve"> </w:t>
      </w:r>
    </w:p>
    <w:p w:rsidR="00E9376C" w:rsidRPr="00F8719D" w:rsidRDefault="00E9376C" w:rsidP="00403A86">
      <w:pPr>
        <w:pStyle w:val="Heading1"/>
        <w:rPr>
          <w:spacing w:val="-2"/>
        </w:rPr>
      </w:pPr>
      <w:r w:rsidRPr="00F8719D">
        <w:t>ORDERING CLAUSES</w:t>
      </w:r>
    </w:p>
    <w:p w:rsidR="00074A41" w:rsidRPr="00074A41" w:rsidRDefault="00E9376C" w:rsidP="00EF7DE0">
      <w:pPr>
        <w:pStyle w:val="ParaNum"/>
        <w:widowControl/>
        <w:rPr>
          <w:spacing w:val="-2"/>
          <w:szCs w:val="22"/>
        </w:rPr>
      </w:pPr>
      <w:r w:rsidRPr="00F8719D">
        <w:rPr>
          <w:szCs w:val="22"/>
        </w:rPr>
        <w:t xml:space="preserve">Accordingly, </w:t>
      </w:r>
      <w:r w:rsidRPr="00F8719D">
        <w:rPr>
          <w:b/>
          <w:szCs w:val="22"/>
        </w:rPr>
        <w:t xml:space="preserve">IT IS </w:t>
      </w:r>
      <w:r w:rsidRPr="004813D3">
        <w:rPr>
          <w:b/>
          <w:color w:val="000000" w:themeColor="text1"/>
        </w:rPr>
        <w:t>ORDERED</w:t>
      </w:r>
      <w:r w:rsidR="00FB5014" w:rsidRPr="00F8719D">
        <w:rPr>
          <w:szCs w:val="22"/>
        </w:rPr>
        <w:t xml:space="preserve"> that</w:t>
      </w:r>
      <w:r w:rsidR="003210C6" w:rsidRPr="00F8719D">
        <w:rPr>
          <w:szCs w:val="22"/>
        </w:rPr>
        <w:t xml:space="preserve"> </w:t>
      </w:r>
      <w:r w:rsidR="00157102">
        <w:rPr>
          <w:szCs w:val="22"/>
        </w:rPr>
        <w:t xml:space="preserve">New Century Telecom, Inc. </w:t>
      </w:r>
      <w:r w:rsidR="00074A41" w:rsidRPr="00074A41">
        <w:rPr>
          <w:b/>
          <w:szCs w:val="22"/>
        </w:rPr>
        <w:t>IS ADMONISHED</w:t>
      </w:r>
      <w:r w:rsidR="00074A41">
        <w:rPr>
          <w:szCs w:val="22"/>
        </w:rPr>
        <w:t xml:space="preserve"> for</w:t>
      </w:r>
      <w:r w:rsidR="00BE0AEC">
        <w:rPr>
          <w:szCs w:val="22"/>
        </w:rPr>
        <w:t xml:space="preserve"> </w:t>
      </w:r>
      <w:r w:rsidR="00352C86">
        <w:rPr>
          <w:szCs w:val="22"/>
        </w:rPr>
        <w:t xml:space="preserve">1) </w:t>
      </w:r>
      <w:r w:rsidR="00BE0AEC">
        <w:rPr>
          <w:szCs w:val="22"/>
        </w:rPr>
        <w:t xml:space="preserve">willfully violating a Commission order validly issued pursuant to delegated authority by the Enforcement Bureau in a </w:t>
      </w:r>
      <w:r w:rsidR="00D816EE">
        <w:rPr>
          <w:szCs w:val="22"/>
        </w:rPr>
        <w:t>subpoena</w:t>
      </w:r>
      <w:r w:rsidR="00074A41">
        <w:rPr>
          <w:szCs w:val="22"/>
        </w:rPr>
        <w:t xml:space="preserve"> </w:t>
      </w:r>
      <w:r w:rsidR="00BE0AEC">
        <w:rPr>
          <w:szCs w:val="22"/>
        </w:rPr>
        <w:t xml:space="preserve">served on New Century Telecom, Inc. in connection with an investigation into New Century Telecom, Inc.’s compliance with the Communications Act and </w:t>
      </w:r>
      <w:r w:rsidR="00E808F9">
        <w:rPr>
          <w:szCs w:val="22"/>
        </w:rPr>
        <w:t>Commission</w:t>
      </w:r>
      <w:r w:rsidR="00BE0AEC">
        <w:rPr>
          <w:szCs w:val="22"/>
        </w:rPr>
        <w:t xml:space="preserve"> Rules</w:t>
      </w:r>
      <w:r w:rsidR="00293A84">
        <w:rPr>
          <w:szCs w:val="22"/>
        </w:rPr>
        <w:t>;</w:t>
      </w:r>
      <w:r w:rsidR="00BE0AEC">
        <w:rPr>
          <w:szCs w:val="22"/>
        </w:rPr>
        <w:t xml:space="preserve"> </w:t>
      </w:r>
      <w:r w:rsidR="00074A41">
        <w:rPr>
          <w:szCs w:val="22"/>
        </w:rPr>
        <w:t xml:space="preserve">and </w:t>
      </w:r>
      <w:r w:rsidR="00352C86">
        <w:rPr>
          <w:szCs w:val="22"/>
        </w:rPr>
        <w:t xml:space="preserve">2) willfully </w:t>
      </w:r>
      <w:r w:rsidR="00BE0AEC">
        <w:rPr>
          <w:szCs w:val="22"/>
        </w:rPr>
        <w:t xml:space="preserve">violating </w:t>
      </w:r>
      <w:r w:rsidR="00074A41">
        <w:rPr>
          <w:szCs w:val="22"/>
        </w:rPr>
        <w:t>Section</w:t>
      </w:r>
      <w:r w:rsidR="00BE0AEC">
        <w:rPr>
          <w:szCs w:val="22"/>
        </w:rPr>
        <w:t xml:space="preserve"> 1.47(h) of the </w:t>
      </w:r>
      <w:r w:rsidR="00E808F9">
        <w:rPr>
          <w:szCs w:val="22"/>
        </w:rPr>
        <w:t xml:space="preserve">Commission’s </w:t>
      </w:r>
      <w:r w:rsidR="00BE0AEC">
        <w:rPr>
          <w:szCs w:val="22"/>
        </w:rPr>
        <w:t>R</w:t>
      </w:r>
      <w:r w:rsidR="00074A41">
        <w:rPr>
          <w:szCs w:val="22"/>
        </w:rPr>
        <w:t>ules.</w:t>
      </w:r>
      <w:r w:rsidR="00074A41">
        <w:rPr>
          <w:rStyle w:val="FootnoteReference"/>
          <w:szCs w:val="22"/>
        </w:rPr>
        <w:footnoteReference w:id="21"/>
      </w:r>
    </w:p>
    <w:p w:rsidR="00D92F6E" w:rsidRDefault="00074A41" w:rsidP="00EF7DE0">
      <w:pPr>
        <w:pStyle w:val="ParaNum"/>
        <w:widowControl/>
        <w:rPr>
          <w:szCs w:val="22"/>
        </w:rPr>
      </w:pPr>
      <w:r w:rsidRPr="00074A41">
        <w:rPr>
          <w:b/>
          <w:szCs w:val="22"/>
        </w:rPr>
        <w:t>IT IS FURTHER ORDERED</w:t>
      </w:r>
      <w:r>
        <w:rPr>
          <w:szCs w:val="22"/>
        </w:rPr>
        <w:t xml:space="preserve"> that</w:t>
      </w:r>
      <w:r w:rsidR="006A77D2">
        <w:rPr>
          <w:szCs w:val="22"/>
        </w:rPr>
        <w:t>, pursuant to Section 403 of the Act,</w:t>
      </w:r>
      <w:r w:rsidR="006A77D2">
        <w:rPr>
          <w:rStyle w:val="FootnoteReference"/>
          <w:szCs w:val="22"/>
        </w:rPr>
        <w:footnoteReference w:id="22"/>
      </w:r>
      <w:r>
        <w:rPr>
          <w:szCs w:val="22"/>
        </w:rPr>
        <w:t xml:space="preserve"> New Century Telecom, Inc. </w:t>
      </w:r>
      <w:r w:rsidR="000A30FF">
        <w:rPr>
          <w:b/>
          <w:szCs w:val="22"/>
        </w:rPr>
        <w:t>SHALL RESP</w:t>
      </w:r>
      <w:r>
        <w:rPr>
          <w:b/>
          <w:szCs w:val="22"/>
        </w:rPr>
        <w:t xml:space="preserve">OND </w:t>
      </w:r>
      <w:r>
        <w:rPr>
          <w:szCs w:val="22"/>
        </w:rPr>
        <w:t>to the request in paragraph 9 within</w:t>
      </w:r>
      <w:r w:rsidR="00157102">
        <w:rPr>
          <w:szCs w:val="22"/>
        </w:rPr>
        <w:t xml:space="preserve"> thirty (30) calendar days from</w:t>
      </w:r>
      <w:r>
        <w:rPr>
          <w:szCs w:val="22"/>
        </w:rPr>
        <w:t xml:space="preserve"> the release date of this </w:t>
      </w:r>
      <w:r w:rsidR="002573B5">
        <w:rPr>
          <w:szCs w:val="22"/>
        </w:rPr>
        <w:t xml:space="preserve">Admonishment </w:t>
      </w:r>
      <w:r>
        <w:rPr>
          <w:szCs w:val="22"/>
        </w:rPr>
        <w:t>Order</w:t>
      </w:r>
      <w:r w:rsidR="00E9376C" w:rsidRPr="00F8719D">
        <w:rPr>
          <w:szCs w:val="22"/>
        </w:rPr>
        <w:t>.</w:t>
      </w:r>
      <w:r w:rsidR="00654F6E">
        <w:rPr>
          <w:szCs w:val="22"/>
        </w:rPr>
        <w:t xml:space="preserve">  Failure to respond to the request </w:t>
      </w:r>
      <w:r w:rsidR="00BE0AEC">
        <w:rPr>
          <w:szCs w:val="22"/>
        </w:rPr>
        <w:t xml:space="preserve">within thirty (30) calendar days </w:t>
      </w:r>
      <w:r w:rsidR="00654F6E">
        <w:rPr>
          <w:szCs w:val="22"/>
        </w:rPr>
        <w:t>will be deemed an admission of the facts outlined in this Admonishment Order</w:t>
      </w:r>
      <w:r w:rsidR="00BE0AEC">
        <w:rPr>
          <w:szCs w:val="22"/>
        </w:rPr>
        <w:t>.</w:t>
      </w:r>
    </w:p>
    <w:p w:rsidR="00EE6F86" w:rsidRPr="00D92F6E" w:rsidRDefault="00D92F6E" w:rsidP="00D92F6E">
      <w:pPr>
        <w:widowControl/>
        <w:rPr>
          <w:szCs w:val="22"/>
        </w:rPr>
      </w:pPr>
      <w:r>
        <w:rPr>
          <w:szCs w:val="22"/>
        </w:rPr>
        <w:br w:type="page"/>
      </w:r>
    </w:p>
    <w:p w:rsidR="00E9376C" w:rsidRPr="004813D3" w:rsidRDefault="00E9376C" w:rsidP="00EF7DE0">
      <w:pPr>
        <w:pStyle w:val="ParaNum"/>
        <w:widowControl/>
      </w:pPr>
      <w:r w:rsidRPr="00F8719D">
        <w:rPr>
          <w:b/>
          <w:szCs w:val="22"/>
        </w:rPr>
        <w:t xml:space="preserve">IT IS FURTHER ORDERED </w:t>
      </w:r>
      <w:r w:rsidRPr="00F8719D">
        <w:rPr>
          <w:szCs w:val="22"/>
        </w:rPr>
        <w:t>th</w:t>
      </w:r>
      <w:r w:rsidR="00157102">
        <w:rPr>
          <w:szCs w:val="22"/>
        </w:rPr>
        <w:t xml:space="preserve">at a copy of this </w:t>
      </w:r>
      <w:r w:rsidR="002573B5">
        <w:rPr>
          <w:szCs w:val="22"/>
        </w:rPr>
        <w:t xml:space="preserve">Admonishment </w:t>
      </w:r>
      <w:r w:rsidR="00FB5014" w:rsidRPr="00F8719D">
        <w:rPr>
          <w:szCs w:val="22"/>
        </w:rPr>
        <w:t xml:space="preserve">Order </w:t>
      </w:r>
      <w:r w:rsidR="0059515B" w:rsidRPr="00F8719D">
        <w:rPr>
          <w:szCs w:val="22"/>
        </w:rPr>
        <w:t xml:space="preserve">shall be sent by first class </w:t>
      </w:r>
      <w:r w:rsidRPr="00F8719D">
        <w:rPr>
          <w:szCs w:val="22"/>
        </w:rPr>
        <w:t xml:space="preserve">and certified mail, return receipt requested, to </w:t>
      </w:r>
      <w:r w:rsidR="004813D3">
        <w:rPr>
          <w:color w:val="000000" w:themeColor="text1"/>
        </w:rPr>
        <w:t xml:space="preserve">New Century Telecom, Inc., 3050 Royal Blvd. South, Suite 175, Alpharetta, Georgia 30022, and to The Commpliance Group, Agent for Service of Process for New Century Telecom, Inc., 1420 Spring Hill Road, Suite 400, McLean, Virginia 22102, and by e-mail to </w:t>
      </w:r>
      <w:hyperlink r:id="rId8" w:history="1">
        <w:r w:rsidR="004813D3" w:rsidRPr="00CB5F37">
          <w:rPr>
            <w:rStyle w:val="Hyperlink"/>
          </w:rPr>
          <w:t>karenlbartel@gmail.com</w:t>
        </w:r>
      </w:hyperlink>
      <w:r w:rsidR="004813D3">
        <w:rPr>
          <w:color w:val="000000" w:themeColor="text1"/>
        </w:rPr>
        <w:t>.</w:t>
      </w:r>
      <w:r w:rsidR="005E1501">
        <w:rPr>
          <w:color w:val="000000" w:themeColor="text1"/>
        </w:rPr>
        <w:t xml:space="preserve">  In addition, the Admonishment Order shall be posted in the Commission’s Office of the Secretary.</w:t>
      </w:r>
      <w:r w:rsidR="006C7B54">
        <w:rPr>
          <w:rStyle w:val="FootnoteReference"/>
        </w:rPr>
        <w:footnoteReference w:id="23"/>
      </w:r>
      <w:r w:rsidR="004813D3">
        <w:rPr>
          <w:color w:val="000000" w:themeColor="text1"/>
        </w:rPr>
        <w:t xml:space="preserve"> </w:t>
      </w:r>
    </w:p>
    <w:p w:rsidR="007C3A62" w:rsidRPr="00F8719D" w:rsidRDefault="007C3A62" w:rsidP="007C3A62"/>
    <w:p w:rsidR="00F60397" w:rsidRPr="005B744E" w:rsidRDefault="00F60397" w:rsidP="00F60397">
      <w:pPr>
        <w:spacing w:before="240"/>
      </w:pPr>
      <w:r w:rsidRPr="00F8719D">
        <w:tab/>
      </w:r>
      <w:r w:rsidRPr="00F8719D">
        <w:tab/>
      </w:r>
      <w:r w:rsidRPr="00F8719D">
        <w:tab/>
      </w:r>
      <w:r w:rsidRPr="00F8719D">
        <w:tab/>
      </w:r>
      <w:r w:rsidRPr="00F8719D">
        <w:tab/>
      </w:r>
      <w:r w:rsidRPr="00F8719D">
        <w:tab/>
      </w:r>
      <w:r w:rsidRPr="005B744E">
        <w:t>FEDERAL COMMUNICATIONS COMMISSION</w:t>
      </w:r>
    </w:p>
    <w:p w:rsidR="00F60397" w:rsidRPr="00F8719D" w:rsidRDefault="00F60397" w:rsidP="00DC3D5C"/>
    <w:p w:rsidR="00F60397" w:rsidRPr="00F8719D" w:rsidRDefault="00F60397" w:rsidP="00DC3D5C"/>
    <w:p w:rsidR="00F60397" w:rsidRPr="00F8719D" w:rsidRDefault="00F60397" w:rsidP="00DC3D5C"/>
    <w:p w:rsidR="007C3A62" w:rsidRPr="00F8719D" w:rsidRDefault="007C3A62" w:rsidP="00DC3D5C"/>
    <w:p w:rsidR="00E92283" w:rsidRPr="006D73F2" w:rsidRDefault="00F60397" w:rsidP="00F8719D">
      <w:pPr>
        <w:ind w:left="4410"/>
      </w:pPr>
      <w:r w:rsidRPr="00F8719D">
        <w:tab/>
      </w:r>
      <w:r w:rsidRPr="00F8719D">
        <w:tab/>
      </w:r>
      <w:r w:rsidRPr="00F8719D">
        <w:tab/>
      </w:r>
      <w:r w:rsidRPr="00F8719D">
        <w:tab/>
      </w:r>
      <w:r w:rsidRPr="00F8719D">
        <w:tab/>
      </w:r>
      <w:r w:rsidRPr="00F8719D">
        <w:tab/>
      </w:r>
    </w:p>
    <w:p w:rsidR="00E92283" w:rsidRPr="006D73F2" w:rsidRDefault="00BA7E26" w:rsidP="00E92283">
      <w:pPr>
        <w:tabs>
          <w:tab w:val="left" w:pos="0"/>
          <w:tab w:val="left" w:pos="720"/>
          <w:tab w:val="left" w:pos="1440"/>
        </w:tabs>
        <w:suppressAutoHyphens/>
        <w:spacing w:line="240" w:lineRule="atLeast"/>
        <w:ind w:left="4320"/>
      </w:pPr>
      <w:r>
        <w:t>Richard A. Hindman</w:t>
      </w:r>
    </w:p>
    <w:p w:rsidR="00E92283" w:rsidRDefault="00BA7E26" w:rsidP="00E92283">
      <w:pPr>
        <w:ind w:left="4320"/>
      </w:pPr>
      <w:r>
        <w:t xml:space="preserve">Division </w:t>
      </w:r>
      <w:r w:rsidR="00E92283" w:rsidRPr="006D73F2">
        <w:t>Chief</w:t>
      </w:r>
    </w:p>
    <w:p w:rsidR="00BA7E26" w:rsidRDefault="00BA7E26" w:rsidP="00BA7E26">
      <w:pPr>
        <w:ind w:left="4320"/>
      </w:pPr>
      <w:r>
        <w:t>Telecommunications Consumers Division</w:t>
      </w:r>
    </w:p>
    <w:p w:rsidR="00E92283" w:rsidRPr="006D73F2" w:rsidRDefault="00E92283" w:rsidP="00BA7E26">
      <w:pPr>
        <w:ind w:left="4320"/>
      </w:pPr>
      <w:r w:rsidRPr="006D73F2">
        <w:t>Enforcement Bureau</w:t>
      </w:r>
    </w:p>
    <w:p w:rsidR="00F15904" w:rsidRPr="00F47251" w:rsidRDefault="00F15904" w:rsidP="00E92283"/>
    <w:sectPr w:rsidR="00F15904" w:rsidRPr="00F47251" w:rsidSect="007C3A6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67" w:rsidRDefault="00876067">
      <w:r>
        <w:separator/>
      </w:r>
    </w:p>
  </w:endnote>
  <w:endnote w:type="continuationSeparator" w:id="0">
    <w:p w:rsidR="00876067" w:rsidRDefault="00876067">
      <w:r>
        <w:continuationSeparator/>
      </w:r>
    </w:p>
  </w:endnote>
  <w:endnote w:type="continuationNotice" w:id="1">
    <w:p w:rsidR="00876067" w:rsidRDefault="00876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Default="00DC3D5C"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3D5C" w:rsidRDefault="00DC3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Pr="00575313" w:rsidRDefault="00DC3D5C"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A80F91">
      <w:rPr>
        <w:rStyle w:val="PageNumber"/>
        <w:noProof/>
        <w:szCs w:val="22"/>
      </w:rPr>
      <w:t>2</w:t>
    </w:r>
    <w:r w:rsidRPr="00575313">
      <w:rPr>
        <w:rStyle w:val="PageNumber"/>
        <w:szCs w:val="22"/>
      </w:rPr>
      <w:fldChar w:fldCharType="end"/>
    </w:r>
  </w:p>
  <w:p w:rsidR="00DC3D5C" w:rsidRPr="00EF1757" w:rsidRDefault="00DC3D5C"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Default="00DC3D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67" w:rsidRDefault="00876067">
      <w:r>
        <w:separator/>
      </w:r>
    </w:p>
  </w:footnote>
  <w:footnote w:type="continuationSeparator" w:id="0">
    <w:p w:rsidR="00876067" w:rsidRDefault="00876067" w:rsidP="00F60397">
      <w:r w:rsidRPr="00F60397">
        <w:rPr>
          <w:sz w:val="20"/>
        </w:rPr>
        <w:t>(Continued from previous page…)</w:t>
      </w:r>
      <w:r>
        <w:rPr>
          <w:sz w:val="20"/>
        </w:rPr>
        <w:t xml:space="preserve"> </w:t>
      </w:r>
      <w:r>
        <w:separator/>
      </w:r>
    </w:p>
  </w:footnote>
  <w:footnote w:type="continuationNotice" w:id="1">
    <w:p w:rsidR="00876067" w:rsidRPr="00F60397" w:rsidRDefault="00876067" w:rsidP="00AE54D6">
      <w:pPr>
        <w:jc w:val="right"/>
        <w:rPr>
          <w:sz w:val="20"/>
        </w:rPr>
      </w:pPr>
      <w:r w:rsidRPr="00F60397">
        <w:rPr>
          <w:sz w:val="20"/>
        </w:rPr>
        <w:t>(continued…)</w:t>
      </w:r>
    </w:p>
  </w:footnote>
  <w:footnote w:id="2">
    <w:p w:rsidR="00361419" w:rsidRDefault="00361419" w:rsidP="00361419">
      <w:pPr>
        <w:pStyle w:val="FootnoteText"/>
      </w:pPr>
      <w:r>
        <w:rPr>
          <w:rStyle w:val="FootnoteReference"/>
        </w:rPr>
        <w:footnoteRef/>
      </w:r>
      <w:r>
        <w:t xml:space="preserve"> New Century’s address of record, as provided on the Company’s November 2015 FCC Form 499-Q worksheet and April 2015 FCC Form 499-A is 3050 Royal Blvd. South, Suite 175, Alpharetta, Georgia 30022.  New Century’s agent for service of process is The Commpliance Group, Inc. </w:t>
      </w:r>
      <w:r w:rsidRPr="0087636F">
        <w:t xml:space="preserve"> </w:t>
      </w:r>
      <w:r w:rsidRPr="00B258D3">
        <w:rPr>
          <w:i/>
        </w:rPr>
        <w:t>See</w:t>
      </w:r>
      <w:r>
        <w:t xml:space="preserve"> New Century FCC Form 499-Q Telecommunications Reporting Worksheet (filed </w:t>
      </w:r>
      <w:r w:rsidRPr="00D36EE2">
        <w:t>Oct. 19, 2015</w:t>
      </w:r>
      <w:r>
        <w:t xml:space="preserve">) (on file in EB-TCD-13-00007004) (New Century Form 499-Q); New Century 2015 FCC Form 499-A Telecommunications Reporting Worksheet (Reporting 2014 Revenue) (filed </w:t>
      </w:r>
      <w:r w:rsidRPr="00D36EE2">
        <w:t>Mar. 2, 2015</w:t>
      </w:r>
      <w:r>
        <w:t xml:space="preserve">) (on file in EB-TCD-13-00007004) (New Century </w:t>
      </w:r>
      <w:r w:rsidR="0063532F">
        <w:t xml:space="preserve">2015 </w:t>
      </w:r>
      <w:r>
        <w:t xml:space="preserve">Form 499-A).  New Century is authorized under </w:t>
      </w:r>
      <w:r w:rsidRPr="0087636F">
        <w:t xml:space="preserve">Section 214 </w:t>
      </w:r>
      <w:r>
        <w:t>of the Act</w:t>
      </w:r>
      <w:r w:rsidRPr="0087636F">
        <w:t xml:space="preserve"> to provide </w:t>
      </w:r>
      <w:r>
        <w:t>resold domestic</w:t>
      </w:r>
      <w:r w:rsidRPr="0087636F">
        <w:t xml:space="preserve"> and international telecommunications services.</w:t>
      </w:r>
      <w:r>
        <w:t xml:space="preserve">  </w:t>
      </w:r>
      <w:r w:rsidRPr="00A95DBB">
        <w:rPr>
          <w:i/>
        </w:rPr>
        <w:t>See</w:t>
      </w:r>
      <w:r>
        <w:t xml:space="preserve"> 47 U.S.C. § 214; </w:t>
      </w:r>
      <w:r w:rsidRPr="006E25C3">
        <w:rPr>
          <w:i/>
        </w:rPr>
        <w:t>see also</w:t>
      </w:r>
      <w:r>
        <w:t xml:space="preserve"> </w:t>
      </w:r>
      <w:r w:rsidRPr="006E25C3">
        <w:rPr>
          <w:i/>
        </w:rPr>
        <w:t>Domestic Section 214 Application Filed for Consent to Transfer Control of New Century Telecom, Inc.</w:t>
      </w:r>
      <w:r>
        <w:t xml:space="preserve">, 17 FCC Rcd 16245 (2002) </w:t>
      </w:r>
      <w:r>
        <w:rPr>
          <w:snapToGrid w:val="0"/>
        </w:rPr>
        <w:t xml:space="preserve">(approval to transfer control of New Century from Kathleen Helein to Karyn Bartel). </w:t>
      </w:r>
    </w:p>
  </w:footnote>
  <w:footnote w:id="3">
    <w:p w:rsidR="00361419" w:rsidRDefault="00361419" w:rsidP="00361419">
      <w:pPr>
        <w:pStyle w:val="FootnoteText"/>
      </w:pPr>
      <w:r>
        <w:rPr>
          <w:rStyle w:val="FootnoteReference"/>
        </w:rPr>
        <w:footnoteRef/>
      </w:r>
      <w:r>
        <w:t xml:space="preserve"> Karyn L. Bartel is identified on the FCC Form 499-Q and FC</w:t>
      </w:r>
      <w:r w:rsidR="002613E5">
        <w:t>C Form 499-A worksheets as the p</w:t>
      </w:r>
      <w:r>
        <w:t xml:space="preserve">resident of New Century.  </w:t>
      </w:r>
      <w:r w:rsidRPr="00B258D3">
        <w:rPr>
          <w:i/>
        </w:rPr>
        <w:t>See</w:t>
      </w:r>
      <w:r>
        <w:t xml:space="preserve"> New Century Form 499-Q at 1, New Century Form 499-A at 8.</w:t>
      </w:r>
      <w:r w:rsidR="0063532F">
        <w:t xml:space="preserve">  </w:t>
      </w:r>
      <w:r w:rsidR="0063532F" w:rsidRPr="002613E5">
        <w:rPr>
          <w:i/>
        </w:rPr>
        <w:t>See also</w:t>
      </w:r>
      <w:r w:rsidR="0063532F">
        <w:t xml:space="preserve"> New Century 2016 FCC Form 499-A Telecommunications Reporting Worksheet (Reporting 2015 Revenue) (filed </w:t>
      </w:r>
      <w:r w:rsidR="0063532F" w:rsidRPr="00D36EE2">
        <w:t xml:space="preserve">Mar. </w:t>
      </w:r>
      <w:r w:rsidR="0063532F">
        <w:t>1</w:t>
      </w:r>
      <w:r w:rsidR="0063532F" w:rsidRPr="00D36EE2">
        <w:t>, 201</w:t>
      </w:r>
      <w:r w:rsidR="0063532F">
        <w:t>6) (New Century 2016 Form 499-A) at 8 (listing Karyn L. Bartel as New Centur</w:t>
      </w:r>
      <w:r w:rsidR="002613E5">
        <w:t>y’s</w:t>
      </w:r>
      <w:r w:rsidR="0063532F">
        <w:t xml:space="preserve"> president).  </w:t>
      </w:r>
    </w:p>
  </w:footnote>
  <w:footnote w:id="4">
    <w:p w:rsidR="00361419" w:rsidRDefault="00361419" w:rsidP="00361419">
      <w:pPr>
        <w:pStyle w:val="FootnoteText"/>
      </w:pPr>
      <w:r>
        <w:rPr>
          <w:rStyle w:val="FootnoteReference"/>
        </w:rPr>
        <w:footnoteRef/>
      </w:r>
      <w:r>
        <w:t xml:space="preserve"> </w:t>
      </w:r>
      <w:r w:rsidRPr="004667EA">
        <w:rPr>
          <w:i/>
        </w:rPr>
        <w:t>See</w:t>
      </w:r>
      <w:r>
        <w:t xml:space="preserve"> Subpoena to New Century Telecom, Inc., FCC File No. EB-TCD-13-00007004 (June 8, 2015) (on file in EB-TCD-13-00007004).</w:t>
      </w:r>
    </w:p>
  </w:footnote>
  <w:footnote w:id="5">
    <w:p w:rsidR="00361419" w:rsidRDefault="00361419" w:rsidP="00361419">
      <w:pPr>
        <w:pStyle w:val="FootnoteText"/>
      </w:pPr>
      <w:r>
        <w:rPr>
          <w:rStyle w:val="FootnoteReference"/>
        </w:rPr>
        <w:footnoteRef/>
      </w:r>
      <w:r>
        <w:t xml:space="preserve"> </w:t>
      </w:r>
      <w:r w:rsidRPr="00BB7352">
        <w:rPr>
          <w:i/>
        </w:rPr>
        <w:t xml:space="preserve">See </w:t>
      </w:r>
      <w:r>
        <w:t>Letter from Richard A. Hindman, Chief, Telecommunications Consumers Division, FCC Enforcement Bureau, to Karyn Bartel, President, New Century Telecom, Inc., and The Commpliance Group, Inc., Agent for Service of Process for New Century (Sept. 28, 2015) (on file in EB-TCD-13-00007004) (Warning Letter).</w:t>
      </w:r>
    </w:p>
  </w:footnote>
  <w:footnote w:id="6">
    <w:p w:rsidR="00361419" w:rsidRDefault="00361419" w:rsidP="00361419">
      <w:pPr>
        <w:pStyle w:val="FootnoteText"/>
      </w:pPr>
      <w:r>
        <w:rPr>
          <w:rStyle w:val="FootnoteReference"/>
        </w:rPr>
        <w:footnoteRef/>
      </w:r>
      <w:r>
        <w:t xml:space="preserve"> Section 1.47(h) provides that “[e]very common carrier . . . shall designate an agent in the District of Columbia, and may designate additional agents if it so chooses, upon whom service . . . may be made for and on behalf of such carrier . . . . Each Telecommunications Reporting Worksheet filed annually by a common carrier . . . must contain a name, business address, telephone or voicemail number, facsimile number, and, if available, Internet e-mail address for its designated agents . . . . Carriers . . . must notify the Commission within one week of any changes in their designation information.” 47 CFR </w:t>
      </w:r>
      <w:r w:rsidRPr="001D6966">
        <w:rPr>
          <w:color w:val="010101"/>
        </w:rPr>
        <w:t>§</w:t>
      </w:r>
      <w:r>
        <w:rPr>
          <w:color w:val="010101"/>
        </w:rPr>
        <w:t xml:space="preserve"> 1.47(h).  </w:t>
      </w:r>
      <w:r w:rsidR="00E605A9" w:rsidRPr="00EC7014">
        <w:rPr>
          <w:i/>
          <w:color w:val="010101"/>
        </w:rPr>
        <w:t>See also</w:t>
      </w:r>
      <w:r w:rsidR="00E605A9">
        <w:rPr>
          <w:color w:val="010101"/>
        </w:rPr>
        <w:t xml:space="preserve"> 47 U.S.C. § 413, 47 CFR § </w:t>
      </w:r>
      <w:r w:rsidR="00D96B44">
        <w:rPr>
          <w:color w:val="010101"/>
        </w:rPr>
        <w:t>64.1195.</w:t>
      </w:r>
    </w:p>
  </w:footnote>
  <w:footnote w:id="7">
    <w:p w:rsidR="00361419" w:rsidRDefault="00361419" w:rsidP="00361419">
      <w:pPr>
        <w:pStyle w:val="FootnoteText"/>
      </w:pPr>
      <w:r>
        <w:rPr>
          <w:rStyle w:val="FootnoteReference"/>
        </w:rPr>
        <w:footnoteRef/>
      </w:r>
      <w:r>
        <w:t xml:space="preserve"> </w:t>
      </w:r>
      <w:r w:rsidRPr="005B47B5">
        <w:rPr>
          <w:i/>
        </w:rPr>
        <w:t>See</w:t>
      </w:r>
      <w:r>
        <w:t xml:space="preserve"> New Century </w:t>
      </w:r>
      <w:r w:rsidR="00F80A21">
        <w:t xml:space="preserve">2015 </w:t>
      </w:r>
      <w:r w:rsidR="00D977C1">
        <w:t xml:space="preserve">FCC </w:t>
      </w:r>
      <w:r>
        <w:t>Form 499-A at 8 (filed Mar. 2, 2015).</w:t>
      </w:r>
    </w:p>
  </w:footnote>
  <w:footnote w:id="8">
    <w:p w:rsidR="00361419" w:rsidRDefault="00361419" w:rsidP="00361419">
      <w:pPr>
        <w:pStyle w:val="FootnoteText"/>
      </w:pPr>
      <w:r>
        <w:rPr>
          <w:rStyle w:val="FootnoteReference"/>
        </w:rPr>
        <w:footnoteRef/>
      </w:r>
      <w:r>
        <w:t xml:space="preserve"> New Century had not provided current contact information on the FCC Form 499-A for its listed agent for service of process, The Commpliance Group, Inc., as required by Section 1.47(h) of the Rules.  The Bureau, therefore, conducted independent research online to find the current mailing address for The Commpliance Group. </w:t>
      </w:r>
    </w:p>
  </w:footnote>
  <w:footnote w:id="9">
    <w:p w:rsidR="00361419" w:rsidRDefault="00361419" w:rsidP="00361419">
      <w:pPr>
        <w:pStyle w:val="FootnoteText"/>
      </w:pPr>
      <w:r>
        <w:rPr>
          <w:rStyle w:val="FootnoteReference"/>
        </w:rPr>
        <w:footnoteRef/>
      </w:r>
      <w:r>
        <w:t xml:space="preserve"> The Bureau contacted The Commpliance Group, Inc., by telephone on October 19, 2015, and The Commpliance Group confirmed that it is New Century’s agent for service of process and that it would forward the subpoena to New Century.</w:t>
      </w:r>
    </w:p>
  </w:footnote>
  <w:footnote w:id="10">
    <w:p w:rsidR="007607C1" w:rsidRDefault="007607C1" w:rsidP="007607C1">
      <w:pPr>
        <w:pStyle w:val="FootnoteText"/>
      </w:pPr>
      <w:r>
        <w:rPr>
          <w:rStyle w:val="FootnoteReference"/>
        </w:rPr>
        <w:footnoteRef/>
      </w:r>
      <w:r>
        <w:t xml:space="preserve"> “Slamming” is the submission or execution of a preferred carrier change without proper authorization verified in compliance with the Commission’s verification rules.  </w:t>
      </w:r>
      <w:r w:rsidRPr="00B5428F">
        <w:rPr>
          <w:i/>
        </w:rPr>
        <w:t>See</w:t>
      </w:r>
      <w:r w:rsidR="001E2878">
        <w:t xml:space="preserve"> 47 U.S.C. § 258; 47 CFR</w:t>
      </w:r>
      <w:r>
        <w:t xml:space="preserve"> § 64.1120 </w:t>
      </w:r>
      <w:r w:rsidRPr="00B5428F">
        <w:rPr>
          <w:i/>
        </w:rPr>
        <w:t>et seq</w:t>
      </w:r>
      <w:r>
        <w:t xml:space="preserve">.  “Cramming” is the unjust and unreasonable practice of charging consumers on their telephone bill for services that they did not authorize.  </w:t>
      </w:r>
      <w:r w:rsidRPr="00B5428F">
        <w:rPr>
          <w:i/>
        </w:rPr>
        <w:t>See</w:t>
      </w:r>
      <w:r>
        <w:t xml:space="preserve"> 47 U.S.C. § 201(b).  </w:t>
      </w:r>
    </w:p>
  </w:footnote>
  <w:footnote w:id="11">
    <w:p w:rsidR="007607C1" w:rsidRDefault="007607C1" w:rsidP="007607C1">
      <w:pPr>
        <w:pStyle w:val="FootnoteText"/>
      </w:pPr>
      <w:r>
        <w:rPr>
          <w:rStyle w:val="FootnoteReference"/>
        </w:rPr>
        <w:footnoteRef/>
      </w:r>
      <w:r>
        <w:t xml:space="preserve"> </w:t>
      </w:r>
      <w:r w:rsidRPr="00DF6D89">
        <w:rPr>
          <w:i/>
          <w:iCs/>
          <w:color w:val="010101"/>
        </w:rPr>
        <w:t>Id</w:t>
      </w:r>
      <w:r w:rsidRPr="00DF6D89">
        <w:rPr>
          <w:color w:val="010101"/>
        </w:rPr>
        <w:t>. § 218.</w:t>
      </w:r>
    </w:p>
  </w:footnote>
  <w:footnote w:id="12">
    <w:p w:rsidR="007607C1" w:rsidRPr="00D10790" w:rsidRDefault="007607C1" w:rsidP="007607C1">
      <w:pPr>
        <w:pStyle w:val="FootnoteText"/>
      </w:pPr>
      <w:r>
        <w:rPr>
          <w:rStyle w:val="FootnoteReference"/>
        </w:rPr>
        <w:footnoteRef/>
      </w:r>
      <w:r>
        <w:t xml:space="preserve"> </w:t>
      </w:r>
      <w:r w:rsidRPr="00DF6D89">
        <w:rPr>
          <w:i/>
        </w:rPr>
        <w:t>Id.</w:t>
      </w:r>
      <w:r>
        <w:t xml:space="preserve"> </w:t>
      </w:r>
      <w:r w:rsidRPr="00DF6D89">
        <w:rPr>
          <w:color w:val="010101"/>
        </w:rPr>
        <w:t>§</w:t>
      </w:r>
      <w:r>
        <w:rPr>
          <w:color w:val="010101"/>
        </w:rPr>
        <w:t xml:space="preserve"> 403.</w:t>
      </w:r>
    </w:p>
  </w:footnote>
  <w:footnote w:id="13">
    <w:p w:rsidR="007607C1" w:rsidRDefault="007607C1" w:rsidP="007607C1">
      <w:pPr>
        <w:pStyle w:val="FootnoteText"/>
      </w:pPr>
      <w:r>
        <w:rPr>
          <w:rStyle w:val="FootnoteReference"/>
        </w:rPr>
        <w:footnoteRef/>
      </w:r>
      <w:r>
        <w:t xml:space="preserve"> </w:t>
      </w:r>
      <w:r w:rsidRPr="00C41D62">
        <w:rPr>
          <w:i/>
        </w:rPr>
        <w:t>Id.</w:t>
      </w:r>
      <w:r>
        <w:t xml:space="preserve"> </w:t>
      </w:r>
      <w:r w:rsidRPr="00DF6D89">
        <w:rPr>
          <w:color w:val="010101"/>
        </w:rPr>
        <w:t>§</w:t>
      </w:r>
      <w:r>
        <w:rPr>
          <w:color w:val="010101"/>
        </w:rPr>
        <w:t xml:space="preserve"> 409(e); </w:t>
      </w:r>
      <w:r w:rsidRPr="00C41D62">
        <w:rPr>
          <w:i/>
          <w:color w:val="010101"/>
        </w:rPr>
        <w:t>see also id.</w:t>
      </w:r>
      <w:r>
        <w:rPr>
          <w:color w:val="010101"/>
        </w:rPr>
        <w:t xml:space="preserve"> </w:t>
      </w:r>
      <w:r w:rsidRPr="00DF6D89">
        <w:rPr>
          <w:color w:val="010101"/>
        </w:rPr>
        <w:t>§</w:t>
      </w:r>
      <w:r>
        <w:rPr>
          <w:color w:val="010101"/>
        </w:rPr>
        <w:t xml:space="preserve"> 154(i) (authorizing the Commission to “issue such orders, not inconsistent with this [Act], as may be necessary in the execution of its functions”).</w:t>
      </w:r>
    </w:p>
  </w:footnote>
  <w:footnote w:id="14">
    <w:p w:rsidR="007607C1" w:rsidRDefault="007607C1" w:rsidP="007607C1">
      <w:pPr>
        <w:pStyle w:val="FootnoteText"/>
      </w:pPr>
      <w:r>
        <w:rPr>
          <w:rStyle w:val="FootnoteReference"/>
        </w:rPr>
        <w:footnoteRef/>
      </w:r>
      <w:r w:rsidR="00AF4750">
        <w:t xml:space="preserve"> 47 CFR</w:t>
      </w:r>
      <w:r>
        <w:t xml:space="preserve"> </w:t>
      </w:r>
      <w:r w:rsidRPr="00900A98">
        <w:rPr>
          <w:color w:val="010101"/>
        </w:rPr>
        <w:t>§</w:t>
      </w:r>
      <w:r>
        <w:rPr>
          <w:color w:val="010101"/>
        </w:rPr>
        <w:t xml:space="preserve"> 0.111(h).</w:t>
      </w:r>
    </w:p>
  </w:footnote>
  <w:footnote w:id="15">
    <w:p w:rsidR="007607C1" w:rsidRDefault="007607C1" w:rsidP="007607C1">
      <w:pPr>
        <w:pStyle w:val="FootnoteText"/>
      </w:pPr>
      <w:r>
        <w:rPr>
          <w:rStyle w:val="FootnoteReference"/>
        </w:rPr>
        <w:footnoteRef/>
      </w:r>
      <w:r>
        <w:t xml:space="preserve"> </w:t>
      </w:r>
      <w:r w:rsidRPr="00C41D62">
        <w:rPr>
          <w:i/>
        </w:rPr>
        <w:t>See</w:t>
      </w:r>
      <w:r>
        <w:t xml:space="preserve"> 47 U.S.C. </w:t>
      </w:r>
      <w:r w:rsidRPr="00DF6D89">
        <w:rPr>
          <w:color w:val="010101"/>
        </w:rPr>
        <w:t>§§</w:t>
      </w:r>
      <w:r>
        <w:rPr>
          <w:color w:val="010101"/>
        </w:rPr>
        <w:t xml:space="preserve"> 218, 403, 409(e).  The subpoena was issued pursuant to delegated authority.  </w:t>
      </w:r>
      <w:r w:rsidRPr="00C41D62">
        <w:rPr>
          <w:i/>
          <w:color w:val="010101"/>
        </w:rPr>
        <w:t>See</w:t>
      </w:r>
      <w:r>
        <w:rPr>
          <w:color w:val="010101"/>
        </w:rPr>
        <w:t xml:space="preserve"> 47 U.S.C. </w:t>
      </w:r>
      <w:r w:rsidRPr="00DF6D89">
        <w:rPr>
          <w:color w:val="010101"/>
        </w:rPr>
        <w:t>§</w:t>
      </w:r>
      <w:r w:rsidR="001E2878">
        <w:rPr>
          <w:color w:val="010101"/>
        </w:rPr>
        <w:t xml:space="preserve"> 155(c)(1)-</w:t>
      </w:r>
      <w:r>
        <w:rPr>
          <w:color w:val="010101"/>
        </w:rPr>
        <w:t>(3).</w:t>
      </w:r>
      <w:r w:rsidR="00654F6E">
        <w:rPr>
          <w:color w:val="010101"/>
        </w:rPr>
        <w:t xml:space="preserve">  </w:t>
      </w:r>
      <w:r w:rsidR="00654F6E">
        <w:t xml:space="preserve">The subpoena ordered New Century to appear before the Enforcement Bureau on July 8, 2015, to give sworn testimony concerning the matters described in the subpoena.  As an alternative to appearing in person to provide testimony, New Century was given the option to answer the inquiries in writing and provide the requested documents.  </w:t>
      </w:r>
      <w:r w:rsidR="00654F6E" w:rsidRPr="007F185D">
        <w:rPr>
          <w:i/>
        </w:rPr>
        <w:t>See</w:t>
      </w:r>
      <w:r w:rsidR="00654F6E">
        <w:t xml:space="preserve"> Subpoena </w:t>
      </w:r>
      <w:r w:rsidR="002613E5">
        <w:t>at 1</w:t>
      </w:r>
      <w:r w:rsidR="00654F6E">
        <w:t>.</w:t>
      </w:r>
    </w:p>
  </w:footnote>
  <w:footnote w:id="16">
    <w:p w:rsidR="007607C1" w:rsidRDefault="007607C1" w:rsidP="007607C1">
      <w:pPr>
        <w:pStyle w:val="FootnoteText"/>
      </w:pPr>
      <w:r>
        <w:rPr>
          <w:rStyle w:val="FootnoteReference"/>
        </w:rPr>
        <w:footnoteRef/>
      </w:r>
      <w:r>
        <w:t xml:space="preserve"> </w:t>
      </w:r>
      <w:r w:rsidRPr="004E3A28">
        <w:rPr>
          <w:i/>
        </w:rPr>
        <w:t>See supra</w:t>
      </w:r>
      <w:r w:rsidR="001E2878">
        <w:t xml:space="preserve"> paras. 2-</w:t>
      </w:r>
      <w:r>
        <w:t xml:space="preserve">4. </w:t>
      </w:r>
    </w:p>
  </w:footnote>
  <w:footnote w:id="17">
    <w:p w:rsidR="007607C1" w:rsidRDefault="007607C1" w:rsidP="007607C1">
      <w:pPr>
        <w:pStyle w:val="FootnoteText"/>
      </w:pPr>
      <w:r>
        <w:rPr>
          <w:rStyle w:val="FootnoteReference"/>
        </w:rPr>
        <w:footnoteRef/>
      </w:r>
      <w:r>
        <w:t xml:space="preserve"> </w:t>
      </w:r>
      <w:r w:rsidRPr="004E3A28">
        <w:rPr>
          <w:i/>
        </w:rPr>
        <w:t>See</w:t>
      </w:r>
      <w:r>
        <w:t xml:space="preserve"> New Century FCC Form 499-Q at 1.</w:t>
      </w:r>
      <w:r w:rsidR="00F80A21">
        <w:t xml:space="preserve">  </w:t>
      </w:r>
      <w:r w:rsidR="00F80A21" w:rsidRPr="002613E5">
        <w:rPr>
          <w:i/>
        </w:rPr>
        <w:t>See also</w:t>
      </w:r>
      <w:r w:rsidR="00F80A21">
        <w:t xml:space="preserve"> New Century 2016 Form 499-A, filed March 1, 2016 (identifying Karyn L. Bartel as New Century</w:t>
      </w:r>
      <w:r w:rsidR="002613E5">
        <w:t>’s</w:t>
      </w:r>
      <w:r w:rsidR="00F80A21">
        <w:t xml:space="preserve"> president and listing the 3050 Royal Blvd. South, Suite 175, Alpharetta, Georgia address).</w:t>
      </w:r>
    </w:p>
  </w:footnote>
  <w:footnote w:id="18">
    <w:p w:rsidR="007607C1" w:rsidRPr="0003139A" w:rsidRDefault="007607C1" w:rsidP="007607C1">
      <w:pPr>
        <w:pStyle w:val="FootnoteText"/>
      </w:pPr>
      <w:r>
        <w:rPr>
          <w:rStyle w:val="FootnoteReference"/>
        </w:rPr>
        <w:footnoteRef/>
      </w:r>
      <w:r>
        <w:t xml:space="preserve"> </w:t>
      </w:r>
      <w:r w:rsidRPr="0003139A">
        <w:rPr>
          <w:i/>
        </w:rPr>
        <w:t>See</w:t>
      </w:r>
      <w:r>
        <w:t xml:space="preserve"> New Century </w:t>
      </w:r>
      <w:r w:rsidR="001E2878">
        <w:t>Annual CPNI Certification, 47 CFR</w:t>
      </w:r>
      <w:r>
        <w:t xml:space="preserve"> § 64.2009(e), EB Docket No. 06-36, filed by the Commpliance Group, Inc. on February 25, 2015, </w:t>
      </w:r>
      <w:r w:rsidRPr="00B52549">
        <w:rPr>
          <w:i/>
        </w:rPr>
        <w:t>available at</w:t>
      </w:r>
      <w:r>
        <w:t xml:space="preserve"> </w:t>
      </w:r>
      <w:hyperlink r:id="rId1" w:history="1">
        <w:r w:rsidRPr="00171667">
          <w:rPr>
            <w:rStyle w:val="Hyperlink"/>
          </w:rPr>
          <w:t>http://apps.fcc.gov/ecfs/comment/view?id=60001020829</w:t>
        </w:r>
      </w:hyperlink>
      <w:r>
        <w:t>.  The annual CPNI filing listed New Century’s address as 3050 Royal Blvd. South, Suite 175, Alpharetta, Georgia 30022.</w:t>
      </w:r>
      <w:r w:rsidR="00C500FD">
        <w:t xml:space="preserve">  New Century has not filed a 2016 Annual CPNI Certifi</w:t>
      </w:r>
      <w:r w:rsidR="000A30FF">
        <w:t xml:space="preserve">cation for calendar year 2015. </w:t>
      </w:r>
    </w:p>
  </w:footnote>
  <w:footnote w:id="19">
    <w:p w:rsidR="00E4208B" w:rsidRDefault="00E4208B" w:rsidP="00E4208B">
      <w:pPr>
        <w:pStyle w:val="FootnoteText"/>
      </w:pPr>
      <w:r>
        <w:rPr>
          <w:rStyle w:val="FootnoteReference"/>
        </w:rPr>
        <w:footnoteRef/>
      </w:r>
      <w:r>
        <w:t xml:space="preserve"> </w:t>
      </w:r>
      <w:r w:rsidRPr="00001E5B">
        <w:rPr>
          <w:i/>
        </w:rPr>
        <w:t xml:space="preserve">See </w:t>
      </w:r>
      <w:r>
        <w:rPr>
          <w:i/>
        </w:rPr>
        <w:t>Net One International, LLC</w:t>
      </w:r>
      <w:r w:rsidRPr="00150DA7">
        <w:t>, </w:t>
      </w:r>
      <w:r>
        <w:t>Forfeiture Order</w:t>
      </w:r>
      <w:r w:rsidRPr="00001E5B">
        <w:t xml:space="preserve">, </w:t>
      </w:r>
      <w:r>
        <w:t>29</w:t>
      </w:r>
      <w:r w:rsidRPr="00001E5B">
        <w:t xml:space="preserve"> FCC Rcd </w:t>
      </w:r>
      <w:r>
        <w:t>264, 264-66, paras. 1-4</w:t>
      </w:r>
      <w:r w:rsidRPr="00001E5B">
        <w:t xml:space="preserve"> (E</w:t>
      </w:r>
      <w:r w:rsidR="00C928A2">
        <w:t>B</w:t>
      </w:r>
      <w:r w:rsidRPr="00001E5B">
        <w:t xml:space="preserve"> 201</w:t>
      </w:r>
      <w:r>
        <w:t>4) (imposing $25,000 penalty for failure to respond fully to a</w:t>
      </w:r>
      <w:r w:rsidR="00AB3545">
        <w:t xml:space="preserve"> letter of inquiry</w:t>
      </w:r>
      <w:r w:rsidR="00705BD2">
        <w:t xml:space="preserve"> (LOI)</w:t>
      </w:r>
      <w:r>
        <w:t xml:space="preserve">), </w:t>
      </w:r>
      <w:r w:rsidRPr="00564C25">
        <w:rPr>
          <w:i/>
        </w:rPr>
        <w:t>petition for reconsideration denied</w:t>
      </w:r>
      <w:r>
        <w:t xml:space="preserve">, </w:t>
      </w:r>
      <w:r w:rsidRPr="00617A6E">
        <w:t>Memorandum Opinion and Order</w:t>
      </w:r>
      <w:r>
        <w:t>, 30 FCC Rcd 1021 (E</w:t>
      </w:r>
      <w:r w:rsidR="00C928A2">
        <w:t>B</w:t>
      </w:r>
      <w:r>
        <w:t xml:space="preserve"> 2015); </w:t>
      </w:r>
      <w:r w:rsidRPr="002F322C">
        <w:rPr>
          <w:i/>
        </w:rPr>
        <w:t>1st Source Information Specialists, Inc., d/b/a Locatecell.com</w:t>
      </w:r>
      <w:r>
        <w:t>, Notice of Apparent Liability for Forfeiture, 21 FCC Rcd 8193, 8196-97, para. 13 (2006), Forfeiture Order, 22 FCC Rcd 431 (2007) (imposing a forfeiture of $97,500 for the company’s failure to respond fully to an Enforcement Bureau subpoena) (</w:t>
      </w:r>
      <w:r w:rsidRPr="00E34314">
        <w:rPr>
          <w:i/>
        </w:rPr>
        <w:t>1</w:t>
      </w:r>
      <w:r w:rsidRPr="00E34314">
        <w:rPr>
          <w:i/>
          <w:vertAlign w:val="superscript"/>
        </w:rPr>
        <w:t>st</w:t>
      </w:r>
      <w:r w:rsidRPr="00E34314">
        <w:rPr>
          <w:i/>
        </w:rPr>
        <w:t xml:space="preserve"> Source Forfeiture Order</w:t>
      </w:r>
      <w:r>
        <w:t xml:space="preserve">); </w:t>
      </w:r>
      <w:r w:rsidRPr="00C35814">
        <w:rPr>
          <w:i/>
        </w:rPr>
        <w:t>BigZoo.com Corp</w:t>
      </w:r>
      <w:r>
        <w:t>., Forfeiture Order, 20 FCC Rcd 3954, 3954-55, paras. 1-4 (E</w:t>
      </w:r>
      <w:r w:rsidR="00BA0BDF">
        <w:t>B</w:t>
      </w:r>
      <w:r>
        <w:t xml:space="preserve"> 2005) (imposing $20,000 penalty for failure to respond to an LOI).</w:t>
      </w:r>
    </w:p>
  </w:footnote>
  <w:footnote w:id="20">
    <w:p w:rsidR="00D01222" w:rsidRPr="00D26B21" w:rsidRDefault="00D01222" w:rsidP="00D01222">
      <w:pPr>
        <w:pStyle w:val="FootnoteText"/>
      </w:pPr>
      <w:r>
        <w:rPr>
          <w:rStyle w:val="FootnoteReference"/>
        </w:rPr>
        <w:footnoteRef/>
      </w:r>
      <w:r>
        <w:t xml:space="preserve"> </w:t>
      </w:r>
      <w:r>
        <w:rPr>
          <w:i/>
        </w:rPr>
        <w:t>See, e.g.</w:t>
      </w:r>
      <w:r>
        <w:t xml:space="preserve">, </w:t>
      </w:r>
      <w:r>
        <w:rPr>
          <w:i/>
        </w:rPr>
        <w:t>ACT Telecomms., Inc.; Termination of Int’l Section 214 Authorization</w:t>
      </w:r>
      <w:r>
        <w:t>, Order, 31 FCC Rcd 188 (IB 2016) (declaring ACT’s international 214 authorization to have terminated given ACT’s inability to comply with the express condition for holding the authorization).</w:t>
      </w:r>
    </w:p>
  </w:footnote>
  <w:footnote w:id="21">
    <w:p w:rsidR="00074A41" w:rsidRDefault="00074A41">
      <w:pPr>
        <w:pStyle w:val="FootnoteText"/>
      </w:pPr>
      <w:r>
        <w:rPr>
          <w:rStyle w:val="FootnoteReference"/>
        </w:rPr>
        <w:footnoteRef/>
      </w:r>
      <w:r>
        <w:t xml:space="preserve"> 47 CFR §</w:t>
      </w:r>
      <w:r w:rsidR="00705BD2">
        <w:t xml:space="preserve"> </w:t>
      </w:r>
      <w:r>
        <w:t>1.47(h).</w:t>
      </w:r>
    </w:p>
  </w:footnote>
  <w:footnote w:id="22">
    <w:p w:rsidR="006A77D2" w:rsidRDefault="006A77D2">
      <w:pPr>
        <w:pStyle w:val="FootnoteText"/>
      </w:pPr>
      <w:r>
        <w:rPr>
          <w:rStyle w:val="FootnoteReference"/>
        </w:rPr>
        <w:footnoteRef/>
      </w:r>
      <w:r>
        <w:t xml:space="preserve"> 47 U.S.C. § 403.</w:t>
      </w:r>
    </w:p>
  </w:footnote>
  <w:footnote w:id="23">
    <w:p w:rsidR="006C7B54" w:rsidRDefault="006C7B54" w:rsidP="006C7B54">
      <w:pPr>
        <w:shd w:val="clear" w:color="auto" w:fill="FFFFFF"/>
        <w:rPr>
          <w:sz w:val="24"/>
          <w:szCs w:val="24"/>
        </w:rPr>
      </w:pPr>
      <w:r>
        <w:rPr>
          <w:rStyle w:val="FootnoteReference"/>
        </w:rPr>
        <w:footnoteRef/>
      </w:r>
      <w:r>
        <w:t xml:space="preserve"> </w:t>
      </w:r>
      <w:r w:rsidRPr="00BA0BDF">
        <w:rPr>
          <w:i/>
          <w:sz w:val="20"/>
        </w:rPr>
        <w:t xml:space="preserve">See </w:t>
      </w:r>
      <w:r w:rsidRPr="00BA0BDF">
        <w:rPr>
          <w:sz w:val="20"/>
        </w:rPr>
        <w:t>47 CFR § 1.47(h) (</w:t>
      </w:r>
      <w:r w:rsidR="00BA0BDF">
        <w:rPr>
          <w:sz w:val="20"/>
        </w:rPr>
        <w:t>“</w:t>
      </w:r>
      <w:r w:rsidRPr="002613E5">
        <w:rPr>
          <w:sz w:val="20"/>
        </w:rPr>
        <w:t>If such carrier, interconnected VoIP provider, or non-interconnected VoIP provider fails to designate such an agent, service of any notice or other process in any proceeding before the Commission, or of any order, decision, or requirement of the Commission, may be made by posting such notice, process, order, requirement, or decision in the Office of the Secretary of the Commission.</w:t>
      </w:r>
      <w:r w:rsidR="00BA0BDF">
        <w:rPr>
          <w:sz w:val="20"/>
        </w:rPr>
        <w:t>”</w:t>
      </w:r>
      <w:r w:rsidRPr="002613E5">
        <w:rPr>
          <w:sz w:val="20"/>
        </w:rPr>
        <w:t>).</w:t>
      </w:r>
    </w:p>
    <w:p w:rsidR="006C7B54" w:rsidRDefault="006C7B5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60" w:rsidRDefault="00A22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Pr="00F60397" w:rsidRDefault="00DC3D5C" w:rsidP="00F60397">
    <w:pPr>
      <w:tabs>
        <w:tab w:val="center" w:pos="4680"/>
        <w:tab w:val="right" w:pos="9360"/>
      </w:tabs>
    </w:pPr>
    <w:r w:rsidRPr="00E92283">
      <w:rPr>
        <w:b/>
        <w:noProof/>
      </w:rPr>
      <mc:AlternateContent>
        <mc:Choice Requires="wps">
          <w:drawing>
            <wp:anchor distT="0" distB="0" distL="114300" distR="114300" simplePos="0" relativeHeight="251661312" behindDoc="1" locked="0" layoutInCell="0" allowOverlap="1" wp14:anchorId="38D0B2FD" wp14:editId="396F6B94">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17C5DD"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E92283">
      <w:rPr>
        <w:b/>
      </w:rPr>
      <w:tab/>
      <w:t>Federal Communications Commission</w:t>
    </w:r>
    <w:r w:rsidRPr="00E92283">
      <w:rPr>
        <w:b/>
      </w:rPr>
      <w:tab/>
    </w:r>
    <w:r w:rsidR="00E92283">
      <w:rPr>
        <w:b/>
        <w:spacing w:val="-2"/>
      </w:rPr>
      <w:t>DA</w:t>
    </w:r>
    <w:r w:rsidRPr="00E92283">
      <w:rPr>
        <w:b/>
        <w:spacing w:val="-2"/>
      </w:rPr>
      <w:t xml:space="preserve"> </w:t>
    </w:r>
    <w:r w:rsidR="00A06EF9">
      <w:rPr>
        <w:b/>
        <w:spacing w:val="-2"/>
      </w:rPr>
      <w:t>16-498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FC" w:rsidRDefault="008859FC" w:rsidP="008859FC">
    <w:pPr>
      <w:pStyle w:val="Header"/>
    </w:pPr>
  </w:p>
  <w:p w:rsidR="00DC3D5C" w:rsidRPr="00F60397" w:rsidRDefault="00DC3D5C" w:rsidP="00F60397">
    <w:pPr>
      <w:tabs>
        <w:tab w:val="center" w:pos="4680"/>
        <w:tab w:val="right" w:pos="9360"/>
      </w:tabs>
    </w:pPr>
    <w:r w:rsidRPr="00E92283">
      <w:rPr>
        <w:b/>
        <w:noProof/>
      </w:rPr>
      <mc:AlternateContent>
        <mc:Choice Requires="wps">
          <w:drawing>
            <wp:anchor distT="0" distB="0" distL="114300" distR="114300" simplePos="0" relativeHeight="251659264" behindDoc="1" locked="0" layoutInCell="0" allowOverlap="1" wp14:anchorId="027ED42D" wp14:editId="569E79CB">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4BADFC"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E92283">
      <w:rPr>
        <w:b/>
      </w:rPr>
      <w:tab/>
      <w:t>Federal Communications Commission</w:t>
    </w:r>
    <w:r w:rsidRPr="00E92283">
      <w:rPr>
        <w:b/>
      </w:rPr>
      <w:tab/>
    </w:r>
    <w:r w:rsidRPr="00E92283">
      <w:rPr>
        <w:b/>
        <w:spacing w:val="-2"/>
      </w:rPr>
      <w:t xml:space="preserve">DA </w:t>
    </w:r>
    <w:r w:rsidR="00A06EF9">
      <w:rPr>
        <w:b/>
        <w:spacing w:val="-2"/>
      </w:rPr>
      <w:t>16-498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3">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5">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4"/>
  </w:num>
  <w:num w:numId="2">
    <w:abstractNumId w:val="12"/>
  </w:num>
  <w:num w:numId="3">
    <w:abstractNumId w:val="11"/>
  </w:num>
  <w:num w:numId="4">
    <w:abstractNumId w:val="15"/>
  </w:num>
  <w:num w:numId="5">
    <w:abstractNumId w:val="8"/>
  </w:num>
  <w:num w:numId="6">
    <w:abstractNumId w:val="0"/>
  </w:num>
  <w:num w:numId="7">
    <w:abstractNumId w:val="4"/>
  </w:num>
  <w:num w:numId="8">
    <w:abstractNumId w:val="13"/>
  </w:num>
  <w:num w:numId="9">
    <w:abstractNumId w:val="3"/>
  </w:num>
  <w:num w:numId="10">
    <w:abstractNumId w:val="2"/>
  </w:num>
  <w:num w:numId="11">
    <w:abstractNumId w:val="6"/>
  </w:num>
  <w:num w:numId="12">
    <w:abstractNumId w:val="9"/>
  </w:num>
  <w:num w:numId="13">
    <w:abstractNumId w:val="7"/>
  </w:num>
  <w:num w:numId="14">
    <w:abstractNumId w:val="1"/>
  </w:num>
  <w:num w:numId="15">
    <w:abstractNumId w:val="10"/>
  </w:num>
  <w:num w:numId="16">
    <w:abstractNumId w:val="5"/>
  </w:num>
  <w:num w:numId="17">
    <w:abstractNumId w:val="11"/>
    <w:lvlOverride w:ilvl="0">
      <w:startOverride w:val="1"/>
    </w:lvlOverride>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12F"/>
    <w:rsid w:val="00000C6C"/>
    <w:rsid w:val="00000D69"/>
    <w:rsid w:val="00001F91"/>
    <w:rsid w:val="000021A3"/>
    <w:rsid w:val="00004C7A"/>
    <w:rsid w:val="00006096"/>
    <w:rsid w:val="00006B8F"/>
    <w:rsid w:val="0000715C"/>
    <w:rsid w:val="0001067E"/>
    <w:rsid w:val="00011FC8"/>
    <w:rsid w:val="00012592"/>
    <w:rsid w:val="0001259D"/>
    <w:rsid w:val="000136FB"/>
    <w:rsid w:val="00015D7C"/>
    <w:rsid w:val="0001758D"/>
    <w:rsid w:val="000221BE"/>
    <w:rsid w:val="00024160"/>
    <w:rsid w:val="00024D51"/>
    <w:rsid w:val="00026F3F"/>
    <w:rsid w:val="00031191"/>
    <w:rsid w:val="00036451"/>
    <w:rsid w:val="00040C91"/>
    <w:rsid w:val="000412F0"/>
    <w:rsid w:val="000413FE"/>
    <w:rsid w:val="00041435"/>
    <w:rsid w:val="0004206A"/>
    <w:rsid w:val="00042E52"/>
    <w:rsid w:val="000430C1"/>
    <w:rsid w:val="00043BB1"/>
    <w:rsid w:val="00043C5E"/>
    <w:rsid w:val="000457E5"/>
    <w:rsid w:val="00045A25"/>
    <w:rsid w:val="000475FE"/>
    <w:rsid w:val="00047C22"/>
    <w:rsid w:val="00051FC4"/>
    <w:rsid w:val="0005514C"/>
    <w:rsid w:val="00060BD6"/>
    <w:rsid w:val="00061700"/>
    <w:rsid w:val="00062C72"/>
    <w:rsid w:val="0006340A"/>
    <w:rsid w:val="00064C65"/>
    <w:rsid w:val="00067DA4"/>
    <w:rsid w:val="0007102F"/>
    <w:rsid w:val="00071253"/>
    <w:rsid w:val="00074A41"/>
    <w:rsid w:val="00077222"/>
    <w:rsid w:val="00083739"/>
    <w:rsid w:val="00083BBB"/>
    <w:rsid w:val="00084F62"/>
    <w:rsid w:val="0008593B"/>
    <w:rsid w:val="0008793B"/>
    <w:rsid w:val="000907C9"/>
    <w:rsid w:val="00092A66"/>
    <w:rsid w:val="00092BAB"/>
    <w:rsid w:val="00092BF2"/>
    <w:rsid w:val="000973EC"/>
    <w:rsid w:val="00097E37"/>
    <w:rsid w:val="000A02F1"/>
    <w:rsid w:val="000A0708"/>
    <w:rsid w:val="000A1455"/>
    <w:rsid w:val="000A2104"/>
    <w:rsid w:val="000A3027"/>
    <w:rsid w:val="000A30FF"/>
    <w:rsid w:val="000A4B2B"/>
    <w:rsid w:val="000A65A9"/>
    <w:rsid w:val="000A72EB"/>
    <w:rsid w:val="000A78F3"/>
    <w:rsid w:val="000B2056"/>
    <w:rsid w:val="000B5FAA"/>
    <w:rsid w:val="000B6354"/>
    <w:rsid w:val="000B74EE"/>
    <w:rsid w:val="000C03A5"/>
    <w:rsid w:val="000C6436"/>
    <w:rsid w:val="000C6E17"/>
    <w:rsid w:val="000C6E40"/>
    <w:rsid w:val="000D3BEE"/>
    <w:rsid w:val="000D5CEF"/>
    <w:rsid w:val="000E0BD7"/>
    <w:rsid w:val="000E71A8"/>
    <w:rsid w:val="000F11B8"/>
    <w:rsid w:val="000F1523"/>
    <w:rsid w:val="000F1FEB"/>
    <w:rsid w:val="000F22A2"/>
    <w:rsid w:val="000F41D6"/>
    <w:rsid w:val="000F438B"/>
    <w:rsid w:val="000F7572"/>
    <w:rsid w:val="001002A6"/>
    <w:rsid w:val="001056BA"/>
    <w:rsid w:val="00106C96"/>
    <w:rsid w:val="00110261"/>
    <w:rsid w:val="00111A21"/>
    <w:rsid w:val="00113784"/>
    <w:rsid w:val="00113BC4"/>
    <w:rsid w:val="00116FE5"/>
    <w:rsid w:val="00122A8F"/>
    <w:rsid w:val="0013283B"/>
    <w:rsid w:val="001336C6"/>
    <w:rsid w:val="0013442B"/>
    <w:rsid w:val="001353CD"/>
    <w:rsid w:val="001374F2"/>
    <w:rsid w:val="001374F8"/>
    <w:rsid w:val="00137BCF"/>
    <w:rsid w:val="001422A3"/>
    <w:rsid w:val="001435D9"/>
    <w:rsid w:val="0014680D"/>
    <w:rsid w:val="001564D8"/>
    <w:rsid w:val="00157102"/>
    <w:rsid w:val="001602AA"/>
    <w:rsid w:val="00161B26"/>
    <w:rsid w:val="00162CC6"/>
    <w:rsid w:val="0016391E"/>
    <w:rsid w:val="001643B3"/>
    <w:rsid w:val="00172372"/>
    <w:rsid w:val="00172896"/>
    <w:rsid w:val="00175520"/>
    <w:rsid w:val="001765F1"/>
    <w:rsid w:val="001771F2"/>
    <w:rsid w:val="00180FE4"/>
    <w:rsid w:val="00182136"/>
    <w:rsid w:val="00186025"/>
    <w:rsid w:val="0018718B"/>
    <w:rsid w:val="00194247"/>
    <w:rsid w:val="00196363"/>
    <w:rsid w:val="001A04AB"/>
    <w:rsid w:val="001A2355"/>
    <w:rsid w:val="001A7294"/>
    <w:rsid w:val="001A73D7"/>
    <w:rsid w:val="001B0C82"/>
    <w:rsid w:val="001B1F2B"/>
    <w:rsid w:val="001B28E2"/>
    <w:rsid w:val="001C3391"/>
    <w:rsid w:val="001C6FD2"/>
    <w:rsid w:val="001C7ACB"/>
    <w:rsid w:val="001C7E3F"/>
    <w:rsid w:val="001D1BD2"/>
    <w:rsid w:val="001D21C7"/>
    <w:rsid w:val="001D432B"/>
    <w:rsid w:val="001D43E1"/>
    <w:rsid w:val="001E0AD2"/>
    <w:rsid w:val="001E1CDB"/>
    <w:rsid w:val="001E218B"/>
    <w:rsid w:val="001E2878"/>
    <w:rsid w:val="001E3C95"/>
    <w:rsid w:val="001E5C37"/>
    <w:rsid w:val="001E621A"/>
    <w:rsid w:val="001F0F03"/>
    <w:rsid w:val="001F1B76"/>
    <w:rsid w:val="001F39AA"/>
    <w:rsid w:val="001F6575"/>
    <w:rsid w:val="001F7A78"/>
    <w:rsid w:val="0020014C"/>
    <w:rsid w:val="002044D7"/>
    <w:rsid w:val="00204AA0"/>
    <w:rsid w:val="002051C3"/>
    <w:rsid w:val="0020572D"/>
    <w:rsid w:val="00210084"/>
    <w:rsid w:val="002112B7"/>
    <w:rsid w:val="002119D0"/>
    <w:rsid w:val="0021431B"/>
    <w:rsid w:val="00214992"/>
    <w:rsid w:val="00215996"/>
    <w:rsid w:val="00215F06"/>
    <w:rsid w:val="0022442C"/>
    <w:rsid w:val="00226DB0"/>
    <w:rsid w:val="002302F1"/>
    <w:rsid w:val="00232003"/>
    <w:rsid w:val="0023346D"/>
    <w:rsid w:val="002341EF"/>
    <w:rsid w:val="00237E00"/>
    <w:rsid w:val="002431CE"/>
    <w:rsid w:val="00246DD3"/>
    <w:rsid w:val="00247671"/>
    <w:rsid w:val="0025179A"/>
    <w:rsid w:val="00253BA7"/>
    <w:rsid w:val="00254133"/>
    <w:rsid w:val="00255A78"/>
    <w:rsid w:val="00255F9B"/>
    <w:rsid w:val="002573B5"/>
    <w:rsid w:val="0025762A"/>
    <w:rsid w:val="00260BE8"/>
    <w:rsid w:val="002613E5"/>
    <w:rsid w:val="002617F1"/>
    <w:rsid w:val="002639F4"/>
    <w:rsid w:val="00264929"/>
    <w:rsid w:val="002661C4"/>
    <w:rsid w:val="002714AB"/>
    <w:rsid w:val="00271CED"/>
    <w:rsid w:val="00271E9B"/>
    <w:rsid w:val="0027444B"/>
    <w:rsid w:val="002754BC"/>
    <w:rsid w:val="00277A4F"/>
    <w:rsid w:val="00282EB3"/>
    <w:rsid w:val="002849B2"/>
    <w:rsid w:val="00285BAA"/>
    <w:rsid w:val="00286303"/>
    <w:rsid w:val="002911F1"/>
    <w:rsid w:val="0029239D"/>
    <w:rsid w:val="00293A84"/>
    <w:rsid w:val="0029779F"/>
    <w:rsid w:val="00297E39"/>
    <w:rsid w:val="002A3CC7"/>
    <w:rsid w:val="002A63EC"/>
    <w:rsid w:val="002A7EC5"/>
    <w:rsid w:val="002B1030"/>
    <w:rsid w:val="002B1319"/>
    <w:rsid w:val="002B3B4C"/>
    <w:rsid w:val="002C06AA"/>
    <w:rsid w:val="002C075E"/>
    <w:rsid w:val="002C1894"/>
    <w:rsid w:val="002C2BE6"/>
    <w:rsid w:val="002C3F8E"/>
    <w:rsid w:val="002C52BE"/>
    <w:rsid w:val="002D27F9"/>
    <w:rsid w:val="002D67E1"/>
    <w:rsid w:val="002E1356"/>
    <w:rsid w:val="002E5566"/>
    <w:rsid w:val="002E583E"/>
    <w:rsid w:val="002E79A6"/>
    <w:rsid w:val="002F1BAF"/>
    <w:rsid w:val="002F703E"/>
    <w:rsid w:val="002F7382"/>
    <w:rsid w:val="002F761C"/>
    <w:rsid w:val="002F7F02"/>
    <w:rsid w:val="00302A52"/>
    <w:rsid w:val="003038CD"/>
    <w:rsid w:val="00304C38"/>
    <w:rsid w:val="00306D54"/>
    <w:rsid w:val="00313368"/>
    <w:rsid w:val="0031443E"/>
    <w:rsid w:val="0031468B"/>
    <w:rsid w:val="003158D5"/>
    <w:rsid w:val="003166ED"/>
    <w:rsid w:val="003210C6"/>
    <w:rsid w:val="00322349"/>
    <w:rsid w:val="0032470E"/>
    <w:rsid w:val="00326D27"/>
    <w:rsid w:val="00330752"/>
    <w:rsid w:val="003313D1"/>
    <w:rsid w:val="003338F9"/>
    <w:rsid w:val="003341E5"/>
    <w:rsid w:val="00334450"/>
    <w:rsid w:val="00334B6A"/>
    <w:rsid w:val="003369FE"/>
    <w:rsid w:val="003378A2"/>
    <w:rsid w:val="00337EC9"/>
    <w:rsid w:val="00341F54"/>
    <w:rsid w:val="00342692"/>
    <w:rsid w:val="00343CF0"/>
    <w:rsid w:val="00345B92"/>
    <w:rsid w:val="0034725C"/>
    <w:rsid w:val="003479EB"/>
    <w:rsid w:val="003508B8"/>
    <w:rsid w:val="00350E1C"/>
    <w:rsid w:val="00351997"/>
    <w:rsid w:val="003525DF"/>
    <w:rsid w:val="00352C86"/>
    <w:rsid w:val="003540E3"/>
    <w:rsid w:val="00354FD5"/>
    <w:rsid w:val="00361419"/>
    <w:rsid w:val="003614A8"/>
    <w:rsid w:val="00364E03"/>
    <w:rsid w:val="00365439"/>
    <w:rsid w:val="0037259E"/>
    <w:rsid w:val="00373E08"/>
    <w:rsid w:val="00375EA1"/>
    <w:rsid w:val="003814CE"/>
    <w:rsid w:val="00381549"/>
    <w:rsid w:val="00384B8B"/>
    <w:rsid w:val="0038780D"/>
    <w:rsid w:val="00387B6A"/>
    <w:rsid w:val="00390031"/>
    <w:rsid w:val="00390587"/>
    <w:rsid w:val="003928DB"/>
    <w:rsid w:val="00395E9D"/>
    <w:rsid w:val="003975A7"/>
    <w:rsid w:val="003A01A5"/>
    <w:rsid w:val="003A502F"/>
    <w:rsid w:val="003B1761"/>
    <w:rsid w:val="003B1A70"/>
    <w:rsid w:val="003B30EF"/>
    <w:rsid w:val="003B5704"/>
    <w:rsid w:val="003B67C1"/>
    <w:rsid w:val="003B7B5A"/>
    <w:rsid w:val="003C41A0"/>
    <w:rsid w:val="003C4A20"/>
    <w:rsid w:val="003C5824"/>
    <w:rsid w:val="003D47BD"/>
    <w:rsid w:val="003D66C7"/>
    <w:rsid w:val="003E2F8E"/>
    <w:rsid w:val="003E6415"/>
    <w:rsid w:val="003E78BF"/>
    <w:rsid w:val="003F2B5A"/>
    <w:rsid w:val="003F2E86"/>
    <w:rsid w:val="003F342B"/>
    <w:rsid w:val="003F541B"/>
    <w:rsid w:val="00401498"/>
    <w:rsid w:val="00401DF6"/>
    <w:rsid w:val="00403A86"/>
    <w:rsid w:val="0041264B"/>
    <w:rsid w:val="00413C25"/>
    <w:rsid w:val="00415029"/>
    <w:rsid w:val="004172C6"/>
    <w:rsid w:val="004223B8"/>
    <w:rsid w:val="00422B4E"/>
    <w:rsid w:val="00422D6A"/>
    <w:rsid w:val="00424852"/>
    <w:rsid w:val="00424D63"/>
    <w:rsid w:val="00424DE6"/>
    <w:rsid w:val="0042500E"/>
    <w:rsid w:val="00425CFE"/>
    <w:rsid w:val="00430B7E"/>
    <w:rsid w:val="00433850"/>
    <w:rsid w:val="0043465D"/>
    <w:rsid w:val="00435FED"/>
    <w:rsid w:val="00437D5A"/>
    <w:rsid w:val="004413D7"/>
    <w:rsid w:val="004428AB"/>
    <w:rsid w:val="00445065"/>
    <w:rsid w:val="004453EA"/>
    <w:rsid w:val="0044645C"/>
    <w:rsid w:val="00450A27"/>
    <w:rsid w:val="00451BB9"/>
    <w:rsid w:val="00451C2B"/>
    <w:rsid w:val="00452E33"/>
    <w:rsid w:val="00453C5F"/>
    <w:rsid w:val="00460EC0"/>
    <w:rsid w:val="0046348E"/>
    <w:rsid w:val="004710E7"/>
    <w:rsid w:val="00471223"/>
    <w:rsid w:val="00474508"/>
    <w:rsid w:val="0047487B"/>
    <w:rsid w:val="00474D14"/>
    <w:rsid w:val="00475713"/>
    <w:rsid w:val="00475D6B"/>
    <w:rsid w:val="004778C0"/>
    <w:rsid w:val="004813D3"/>
    <w:rsid w:val="004863AC"/>
    <w:rsid w:val="00487CDC"/>
    <w:rsid w:val="00491064"/>
    <w:rsid w:val="004914B7"/>
    <w:rsid w:val="004955BA"/>
    <w:rsid w:val="00495EF1"/>
    <w:rsid w:val="00496C73"/>
    <w:rsid w:val="004973E2"/>
    <w:rsid w:val="004A2300"/>
    <w:rsid w:val="004B0789"/>
    <w:rsid w:val="004B1EF9"/>
    <w:rsid w:val="004B3DE7"/>
    <w:rsid w:val="004B5076"/>
    <w:rsid w:val="004B5A79"/>
    <w:rsid w:val="004B6030"/>
    <w:rsid w:val="004B6CE3"/>
    <w:rsid w:val="004B6E9D"/>
    <w:rsid w:val="004C04B0"/>
    <w:rsid w:val="004C1059"/>
    <w:rsid w:val="004C292D"/>
    <w:rsid w:val="004C7877"/>
    <w:rsid w:val="004D75AA"/>
    <w:rsid w:val="004D7C66"/>
    <w:rsid w:val="004E019C"/>
    <w:rsid w:val="004E09A2"/>
    <w:rsid w:val="004E20EC"/>
    <w:rsid w:val="004E25CA"/>
    <w:rsid w:val="004E42E2"/>
    <w:rsid w:val="004E5204"/>
    <w:rsid w:val="004E6544"/>
    <w:rsid w:val="004E78B9"/>
    <w:rsid w:val="004F2ECD"/>
    <w:rsid w:val="004F3251"/>
    <w:rsid w:val="004F5A94"/>
    <w:rsid w:val="004F62E8"/>
    <w:rsid w:val="004F6B80"/>
    <w:rsid w:val="00500F04"/>
    <w:rsid w:val="0050166C"/>
    <w:rsid w:val="00503DCB"/>
    <w:rsid w:val="00504785"/>
    <w:rsid w:val="00506430"/>
    <w:rsid w:val="005116BA"/>
    <w:rsid w:val="005119BA"/>
    <w:rsid w:val="005126EA"/>
    <w:rsid w:val="005142AD"/>
    <w:rsid w:val="00514A5B"/>
    <w:rsid w:val="005155B5"/>
    <w:rsid w:val="0051631C"/>
    <w:rsid w:val="00521311"/>
    <w:rsid w:val="0052262B"/>
    <w:rsid w:val="0052272D"/>
    <w:rsid w:val="00522E0F"/>
    <w:rsid w:val="00525F64"/>
    <w:rsid w:val="00527DF5"/>
    <w:rsid w:val="00531287"/>
    <w:rsid w:val="005322EB"/>
    <w:rsid w:val="00532A3F"/>
    <w:rsid w:val="00532C8B"/>
    <w:rsid w:val="005336CC"/>
    <w:rsid w:val="005339B8"/>
    <w:rsid w:val="005343A9"/>
    <w:rsid w:val="00535B60"/>
    <w:rsid w:val="00537303"/>
    <w:rsid w:val="00537DB1"/>
    <w:rsid w:val="0054001D"/>
    <w:rsid w:val="0054103D"/>
    <w:rsid w:val="005413C8"/>
    <w:rsid w:val="00541EEA"/>
    <w:rsid w:val="00544B2F"/>
    <w:rsid w:val="00545D89"/>
    <w:rsid w:val="005468DC"/>
    <w:rsid w:val="00547CE4"/>
    <w:rsid w:val="00551A08"/>
    <w:rsid w:val="00554736"/>
    <w:rsid w:val="0055509C"/>
    <w:rsid w:val="00555D34"/>
    <w:rsid w:val="00556621"/>
    <w:rsid w:val="00556E17"/>
    <w:rsid w:val="005572E3"/>
    <w:rsid w:val="0056095A"/>
    <w:rsid w:val="00560E8B"/>
    <w:rsid w:val="0056323D"/>
    <w:rsid w:val="00564650"/>
    <w:rsid w:val="00567D61"/>
    <w:rsid w:val="0057007F"/>
    <w:rsid w:val="00570CDA"/>
    <w:rsid w:val="00575313"/>
    <w:rsid w:val="0057714E"/>
    <w:rsid w:val="00577295"/>
    <w:rsid w:val="0057772C"/>
    <w:rsid w:val="005779C9"/>
    <w:rsid w:val="005816FB"/>
    <w:rsid w:val="00583524"/>
    <w:rsid w:val="00584805"/>
    <w:rsid w:val="00585DC5"/>
    <w:rsid w:val="00586E9E"/>
    <w:rsid w:val="00586F83"/>
    <w:rsid w:val="00587FE4"/>
    <w:rsid w:val="00590221"/>
    <w:rsid w:val="00591B5D"/>
    <w:rsid w:val="005922F2"/>
    <w:rsid w:val="00593AF2"/>
    <w:rsid w:val="0059515B"/>
    <w:rsid w:val="00595DC2"/>
    <w:rsid w:val="00596580"/>
    <w:rsid w:val="005A027A"/>
    <w:rsid w:val="005A6922"/>
    <w:rsid w:val="005A7E20"/>
    <w:rsid w:val="005B0002"/>
    <w:rsid w:val="005B1525"/>
    <w:rsid w:val="005B56F7"/>
    <w:rsid w:val="005B73F0"/>
    <w:rsid w:val="005B744E"/>
    <w:rsid w:val="005B783E"/>
    <w:rsid w:val="005C633C"/>
    <w:rsid w:val="005C6CB8"/>
    <w:rsid w:val="005D149D"/>
    <w:rsid w:val="005D25D0"/>
    <w:rsid w:val="005D4692"/>
    <w:rsid w:val="005D5AA1"/>
    <w:rsid w:val="005E01D1"/>
    <w:rsid w:val="005E1501"/>
    <w:rsid w:val="005E1749"/>
    <w:rsid w:val="005E1A27"/>
    <w:rsid w:val="005E1D2B"/>
    <w:rsid w:val="005E1DEF"/>
    <w:rsid w:val="005E2406"/>
    <w:rsid w:val="005E5545"/>
    <w:rsid w:val="005E5F3A"/>
    <w:rsid w:val="005F0833"/>
    <w:rsid w:val="005F177D"/>
    <w:rsid w:val="005F4E17"/>
    <w:rsid w:val="00601C05"/>
    <w:rsid w:val="00602A48"/>
    <w:rsid w:val="00603565"/>
    <w:rsid w:val="00604176"/>
    <w:rsid w:val="0060454B"/>
    <w:rsid w:val="00605611"/>
    <w:rsid w:val="006065B6"/>
    <w:rsid w:val="00606643"/>
    <w:rsid w:val="00610FDD"/>
    <w:rsid w:val="006133A9"/>
    <w:rsid w:val="00614501"/>
    <w:rsid w:val="00616460"/>
    <w:rsid w:val="00616B9F"/>
    <w:rsid w:val="00617CE3"/>
    <w:rsid w:val="00623AC8"/>
    <w:rsid w:val="00623D18"/>
    <w:rsid w:val="00623FB8"/>
    <w:rsid w:val="006300A4"/>
    <w:rsid w:val="00630C96"/>
    <w:rsid w:val="006332BD"/>
    <w:rsid w:val="0063532F"/>
    <w:rsid w:val="00637674"/>
    <w:rsid w:val="00641561"/>
    <w:rsid w:val="00641648"/>
    <w:rsid w:val="006418FA"/>
    <w:rsid w:val="0064199A"/>
    <w:rsid w:val="00641DE6"/>
    <w:rsid w:val="00644DCE"/>
    <w:rsid w:val="0064676C"/>
    <w:rsid w:val="0064768F"/>
    <w:rsid w:val="00647E1D"/>
    <w:rsid w:val="00647E8E"/>
    <w:rsid w:val="0065280A"/>
    <w:rsid w:val="00654F6E"/>
    <w:rsid w:val="00660ADE"/>
    <w:rsid w:val="006622C2"/>
    <w:rsid w:val="006623FB"/>
    <w:rsid w:val="00665594"/>
    <w:rsid w:val="00666B0A"/>
    <w:rsid w:val="00666CF4"/>
    <w:rsid w:val="0066746E"/>
    <w:rsid w:val="0067016D"/>
    <w:rsid w:val="0067177B"/>
    <w:rsid w:val="00674D1D"/>
    <w:rsid w:val="006765F1"/>
    <w:rsid w:val="006803FC"/>
    <w:rsid w:val="00681431"/>
    <w:rsid w:val="0068278F"/>
    <w:rsid w:val="00684DD5"/>
    <w:rsid w:val="00687285"/>
    <w:rsid w:val="00687876"/>
    <w:rsid w:val="00687E51"/>
    <w:rsid w:val="006903C3"/>
    <w:rsid w:val="00690CEF"/>
    <w:rsid w:val="0069163D"/>
    <w:rsid w:val="0069712B"/>
    <w:rsid w:val="006A1849"/>
    <w:rsid w:val="006A3742"/>
    <w:rsid w:val="006A4F86"/>
    <w:rsid w:val="006A77D2"/>
    <w:rsid w:val="006A7BE3"/>
    <w:rsid w:val="006B037D"/>
    <w:rsid w:val="006B0ABC"/>
    <w:rsid w:val="006B3B51"/>
    <w:rsid w:val="006B3C68"/>
    <w:rsid w:val="006B5691"/>
    <w:rsid w:val="006B5BB2"/>
    <w:rsid w:val="006C16A3"/>
    <w:rsid w:val="006C2C68"/>
    <w:rsid w:val="006C2FC9"/>
    <w:rsid w:val="006C3F1D"/>
    <w:rsid w:val="006C7B54"/>
    <w:rsid w:val="006D54AE"/>
    <w:rsid w:val="006E22DC"/>
    <w:rsid w:val="006E2E30"/>
    <w:rsid w:val="006E3F36"/>
    <w:rsid w:val="006E4D54"/>
    <w:rsid w:val="006F1B3B"/>
    <w:rsid w:val="006F44FE"/>
    <w:rsid w:val="006F5B75"/>
    <w:rsid w:val="006F5F9A"/>
    <w:rsid w:val="007006AA"/>
    <w:rsid w:val="0070072B"/>
    <w:rsid w:val="00703540"/>
    <w:rsid w:val="00703EFC"/>
    <w:rsid w:val="00705182"/>
    <w:rsid w:val="00705BD2"/>
    <w:rsid w:val="00705CB9"/>
    <w:rsid w:val="00706255"/>
    <w:rsid w:val="007067C7"/>
    <w:rsid w:val="00706CCD"/>
    <w:rsid w:val="00712EEE"/>
    <w:rsid w:val="007144B3"/>
    <w:rsid w:val="00720558"/>
    <w:rsid w:val="00722503"/>
    <w:rsid w:val="00723F01"/>
    <w:rsid w:val="00724437"/>
    <w:rsid w:val="00726FD8"/>
    <w:rsid w:val="00727501"/>
    <w:rsid w:val="0073075A"/>
    <w:rsid w:val="007327A5"/>
    <w:rsid w:val="00736AFD"/>
    <w:rsid w:val="00737B49"/>
    <w:rsid w:val="00742779"/>
    <w:rsid w:val="00742889"/>
    <w:rsid w:val="007452AD"/>
    <w:rsid w:val="0074545F"/>
    <w:rsid w:val="007462B7"/>
    <w:rsid w:val="00747FFC"/>
    <w:rsid w:val="00752092"/>
    <w:rsid w:val="0075283E"/>
    <w:rsid w:val="0075306C"/>
    <w:rsid w:val="007534DB"/>
    <w:rsid w:val="007541CD"/>
    <w:rsid w:val="00755873"/>
    <w:rsid w:val="00755FE2"/>
    <w:rsid w:val="007578C2"/>
    <w:rsid w:val="007607C1"/>
    <w:rsid w:val="00764D7C"/>
    <w:rsid w:val="00765361"/>
    <w:rsid w:val="00765D8A"/>
    <w:rsid w:val="00767D0B"/>
    <w:rsid w:val="00771D26"/>
    <w:rsid w:val="00772E30"/>
    <w:rsid w:val="007743C4"/>
    <w:rsid w:val="007755D2"/>
    <w:rsid w:val="007764E8"/>
    <w:rsid w:val="00785376"/>
    <w:rsid w:val="007858CB"/>
    <w:rsid w:val="007864EE"/>
    <w:rsid w:val="00787620"/>
    <w:rsid w:val="0078786B"/>
    <w:rsid w:val="00790620"/>
    <w:rsid w:val="00795B29"/>
    <w:rsid w:val="00796CA3"/>
    <w:rsid w:val="007A0888"/>
    <w:rsid w:val="007A3E03"/>
    <w:rsid w:val="007A4F9B"/>
    <w:rsid w:val="007A5A51"/>
    <w:rsid w:val="007A5DD2"/>
    <w:rsid w:val="007A7EB6"/>
    <w:rsid w:val="007B19EF"/>
    <w:rsid w:val="007B20EE"/>
    <w:rsid w:val="007B3424"/>
    <w:rsid w:val="007B3B86"/>
    <w:rsid w:val="007B4AC3"/>
    <w:rsid w:val="007C0BBA"/>
    <w:rsid w:val="007C0CA0"/>
    <w:rsid w:val="007C1F9C"/>
    <w:rsid w:val="007C2F15"/>
    <w:rsid w:val="007C3A62"/>
    <w:rsid w:val="007C3A92"/>
    <w:rsid w:val="007C446B"/>
    <w:rsid w:val="007C4891"/>
    <w:rsid w:val="007C5141"/>
    <w:rsid w:val="007D4BB3"/>
    <w:rsid w:val="007D7384"/>
    <w:rsid w:val="007E3450"/>
    <w:rsid w:val="007E62D6"/>
    <w:rsid w:val="007E67F3"/>
    <w:rsid w:val="007F1655"/>
    <w:rsid w:val="007F17B2"/>
    <w:rsid w:val="007F4F8B"/>
    <w:rsid w:val="007F5784"/>
    <w:rsid w:val="007F683C"/>
    <w:rsid w:val="007F7D64"/>
    <w:rsid w:val="0080023B"/>
    <w:rsid w:val="00801B07"/>
    <w:rsid w:val="00803120"/>
    <w:rsid w:val="00807FED"/>
    <w:rsid w:val="0081222B"/>
    <w:rsid w:val="008127D1"/>
    <w:rsid w:val="00812803"/>
    <w:rsid w:val="008141EF"/>
    <w:rsid w:val="00814895"/>
    <w:rsid w:val="008149CC"/>
    <w:rsid w:val="00815415"/>
    <w:rsid w:val="008208EC"/>
    <w:rsid w:val="00820B84"/>
    <w:rsid w:val="00824196"/>
    <w:rsid w:val="008246E8"/>
    <w:rsid w:val="00826423"/>
    <w:rsid w:val="0082669E"/>
    <w:rsid w:val="00826FB5"/>
    <w:rsid w:val="0082799E"/>
    <w:rsid w:val="00830755"/>
    <w:rsid w:val="00831FDE"/>
    <w:rsid w:val="008323D9"/>
    <w:rsid w:val="00834D3A"/>
    <w:rsid w:val="00836099"/>
    <w:rsid w:val="00836180"/>
    <w:rsid w:val="0083689A"/>
    <w:rsid w:val="008422AD"/>
    <w:rsid w:val="0084468E"/>
    <w:rsid w:val="00845BF0"/>
    <w:rsid w:val="00846283"/>
    <w:rsid w:val="0084768E"/>
    <w:rsid w:val="00847FB4"/>
    <w:rsid w:val="0085092B"/>
    <w:rsid w:val="0085593E"/>
    <w:rsid w:val="00855AD3"/>
    <w:rsid w:val="00855F22"/>
    <w:rsid w:val="008577C9"/>
    <w:rsid w:val="00862439"/>
    <w:rsid w:val="008629F9"/>
    <w:rsid w:val="0086335B"/>
    <w:rsid w:val="00863418"/>
    <w:rsid w:val="008640E1"/>
    <w:rsid w:val="00866E03"/>
    <w:rsid w:val="00872507"/>
    <w:rsid w:val="00874165"/>
    <w:rsid w:val="008743C3"/>
    <w:rsid w:val="00876067"/>
    <w:rsid w:val="00877187"/>
    <w:rsid w:val="0088088D"/>
    <w:rsid w:val="00881D01"/>
    <w:rsid w:val="00882F22"/>
    <w:rsid w:val="008859FC"/>
    <w:rsid w:val="00894020"/>
    <w:rsid w:val="00894B8B"/>
    <w:rsid w:val="00896373"/>
    <w:rsid w:val="008A0341"/>
    <w:rsid w:val="008A0F7A"/>
    <w:rsid w:val="008A1CCF"/>
    <w:rsid w:val="008A3AA7"/>
    <w:rsid w:val="008A4054"/>
    <w:rsid w:val="008A7F41"/>
    <w:rsid w:val="008B4BAC"/>
    <w:rsid w:val="008B6878"/>
    <w:rsid w:val="008B6ECF"/>
    <w:rsid w:val="008C037D"/>
    <w:rsid w:val="008C0495"/>
    <w:rsid w:val="008C0524"/>
    <w:rsid w:val="008C11DC"/>
    <w:rsid w:val="008C1366"/>
    <w:rsid w:val="008C1A56"/>
    <w:rsid w:val="008C2094"/>
    <w:rsid w:val="008C24FE"/>
    <w:rsid w:val="008C2B8B"/>
    <w:rsid w:val="008C3DA7"/>
    <w:rsid w:val="008C7EF1"/>
    <w:rsid w:val="008D1D4B"/>
    <w:rsid w:val="008D3CD4"/>
    <w:rsid w:val="008D4952"/>
    <w:rsid w:val="008E2775"/>
    <w:rsid w:val="008E56D7"/>
    <w:rsid w:val="008E5E76"/>
    <w:rsid w:val="008E7466"/>
    <w:rsid w:val="008F1AD2"/>
    <w:rsid w:val="008F1ED7"/>
    <w:rsid w:val="008F21CC"/>
    <w:rsid w:val="008F4015"/>
    <w:rsid w:val="008F6B03"/>
    <w:rsid w:val="008F6B27"/>
    <w:rsid w:val="00901083"/>
    <w:rsid w:val="00904F5B"/>
    <w:rsid w:val="0090690B"/>
    <w:rsid w:val="00906BE7"/>
    <w:rsid w:val="009122C7"/>
    <w:rsid w:val="00915801"/>
    <w:rsid w:val="00921F64"/>
    <w:rsid w:val="00922DC6"/>
    <w:rsid w:val="00934084"/>
    <w:rsid w:val="0093611D"/>
    <w:rsid w:val="00941051"/>
    <w:rsid w:val="009420B0"/>
    <w:rsid w:val="00945F4D"/>
    <w:rsid w:val="009466B6"/>
    <w:rsid w:val="0094681D"/>
    <w:rsid w:val="00946EC0"/>
    <w:rsid w:val="009476ED"/>
    <w:rsid w:val="00950220"/>
    <w:rsid w:val="00951DE8"/>
    <w:rsid w:val="00953743"/>
    <w:rsid w:val="00954FA7"/>
    <w:rsid w:val="0095625E"/>
    <w:rsid w:val="009564F1"/>
    <w:rsid w:val="00956595"/>
    <w:rsid w:val="0096355B"/>
    <w:rsid w:val="009645E5"/>
    <w:rsid w:val="009656E8"/>
    <w:rsid w:val="00966BA9"/>
    <w:rsid w:val="00970E37"/>
    <w:rsid w:val="009752A0"/>
    <w:rsid w:val="00975A85"/>
    <w:rsid w:val="0097654D"/>
    <w:rsid w:val="0097675F"/>
    <w:rsid w:val="009776AB"/>
    <w:rsid w:val="0098034E"/>
    <w:rsid w:val="00981228"/>
    <w:rsid w:val="00981B70"/>
    <w:rsid w:val="0098205B"/>
    <w:rsid w:val="00982C5A"/>
    <w:rsid w:val="009830F7"/>
    <w:rsid w:val="00983A6A"/>
    <w:rsid w:val="00984CAF"/>
    <w:rsid w:val="00986299"/>
    <w:rsid w:val="00987969"/>
    <w:rsid w:val="00987C33"/>
    <w:rsid w:val="00990494"/>
    <w:rsid w:val="00990B34"/>
    <w:rsid w:val="00991553"/>
    <w:rsid w:val="00991F95"/>
    <w:rsid w:val="009921DB"/>
    <w:rsid w:val="009929C2"/>
    <w:rsid w:val="0099520D"/>
    <w:rsid w:val="009959C2"/>
    <w:rsid w:val="009A1F9B"/>
    <w:rsid w:val="009A2D17"/>
    <w:rsid w:val="009A2F81"/>
    <w:rsid w:val="009A3000"/>
    <w:rsid w:val="009A4018"/>
    <w:rsid w:val="009A4C05"/>
    <w:rsid w:val="009B18C6"/>
    <w:rsid w:val="009B505F"/>
    <w:rsid w:val="009C031C"/>
    <w:rsid w:val="009C276F"/>
    <w:rsid w:val="009C37E4"/>
    <w:rsid w:val="009C42E1"/>
    <w:rsid w:val="009D1E76"/>
    <w:rsid w:val="009D265E"/>
    <w:rsid w:val="009D276A"/>
    <w:rsid w:val="009D2ACC"/>
    <w:rsid w:val="009D3ADE"/>
    <w:rsid w:val="009D587C"/>
    <w:rsid w:val="009D701C"/>
    <w:rsid w:val="009D7C9B"/>
    <w:rsid w:val="009E08F3"/>
    <w:rsid w:val="009E0958"/>
    <w:rsid w:val="009E294B"/>
    <w:rsid w:val="009E4072"/>
    <w:rsid w:val="009E64A3"/>
    <w:rsid w:val="009E73DC"/>
    <w:rsid w:val="009E76DF"/>
    <w:rsid w:val="009F08AB"/>
    <w:rsid w:val="009F11C8"/>
    <w:rsid w:val="009F2F9A"/>
    <w:rsid w:val="009F7B1A"/>
    <w:rsid w:val="00A001BE"/>
    <w:rsid w:val="00A0096E"/>
    <w:rsid w:val="00A026C9"/>
    <w:rsid w:val="00A031CA"/>
    <w:rsid w:val="00A0350D"/>
    <w:rsid w:val="00A0573A"/>
    <w:rsid w:val="00A06EF9"/>
    <w:rsid w:val="00A12292"/>
    <w:rsid w:val="00A13C44"/>
    <w:rsid w:val="00A14137"/>
    <w:rsid w:val="00A14EE4"/>
    <w:rsid w:val="00A15B42"/>
    <w:rsid w:val="00A15BB3"/>
    <w:rsid w:val="00A16D7C"/>
    <w:rsid w:val="00A2151C"/>
    <w:rsid w:val="00A22760"/>
    <w:rsid w:val="00A23D93"/>
    <w:rsid w:val="00A248D1"/>
    <w:rsid w:val="00A31120"/>
    <w:rsid w:val="00A31B76"/>
    <w:rsid w:val="00A3692B"/>
    <w:rsid w:val="00A37677"/>
    <w:rsid w:val="00A3775B"/>
    <w:rsid w:val="00A40AED"/>
    <w:rsid w:val="00A4110C"/>
    <w:rsid w:val="00A435AA"/>
    <w:rsid w:val="00A435C0"/>
    <w:rsid w:val="00A455AF"/>
    <w:rsid w:val="00A46411"/>
    <w:rsid w:val="00A50C1B"/>
    <w:rsid w:val="00A55B84"/>
    <w:rsid w:val="00A56690"/>
    <w:rsid w:val="00A569CE"/>
    <w:rsid w:val="00A60117"/>
    <w:rsid w:val="00A602D6"/>
    <w:rsid w:val="00A60B23"/>
    <w:rsid w:val="00A625BA"/>
    <w:rsid w:val="00A62DF2"/>
    <w:rsid w:val="00A64975"/>
    <w:rsid w:val="00A75348"/>
    <w:rsid w:val="00A75550"/>
    <w:rsid w:val="00A7610E"/>
    <w:rsid w:val="00A77F8F"/>
    <w:rsid w:val="00A80F91"/>
    <w:rsid w:val="00A831C4"/>
    <w:rsid w:val="00A85E6C"/>
    <w:rsid w:val="00A85E88"/>
    <w:rsid w:val="00A87AC2"/>
    <w:rsid w:val="00AA1D69"/>
    <w:rsid w:val="00AA3F96"/>
    <w:rsid w:val="00AA7E13"/>
    <w:rsid w:val="00AB1D2C"/>
    <w:rsid w:val="00AB3545"/>
    <w:rsid w:val="00AB67DE"/>
    <w:rsid w:val="00AB6DA5"/>
    <w:rsid w:val="00AB7987"/>
    <w:rsid w:val="00AB7AB4"/>
    <w:rsid w:val="00AB7C01"/>
    <w:rsid w:val="00AC3F50"/>
    <w:rsid w:val="00AC5B1B"/>
    <w:rsid w:val="00AC6480"/>
    <w:rsid w:val="00AC7021"/>
    <w:rsid w:val="00AC70F3"/>
    <w:rsid w:val="00AD1BD2"/>
    <w:rsid w:val="00AD2F9B"/>
    <w:rsid w:val="00AD6817"/>
    <w:rsid w:val="00AD7876"/>
    <w:rsid w:val="00AE0DC1"/>
    <w:rsid w:val="00AE12C0"/>
    <w:rsid w:val="00AE1573"/>
    <w:rsid w:val="00AE1A8D"/>
    <w:rsid w:val="00AE1BBA"/>
    <w:rsid w:val="00AE2583"/>
    <w:rsid w:val="00AE2BC0"/>
    <w:rsid w:val="00AE3027"/>
    <w:rsid w:val="00AE35F6"/>
    <w:rsid w:val="00AE54D6"/>
    <w:rsid w:val="00AE62E0"/>
    <w:rsid w:val="00AE6635"/>
    <w:rsid w:val="00AF44BB"/>
    <w:rsid w:val="00AF4750"/>
    <w:rsid w:val="00AF4AE5"/>
    <w:rsid w:val="00AF5168"/>
    <w:rsid w:val="00AF543D"/>
    <w:rsid w:val="00AF6392"/>
    <w:rsid w:val="00AF6F6E"/>
    <w:rsid w:val="00B0320D"/>
    <w:rsid w:val="00B04BF9"/>
    <w:rsid w:val="00B05FD6"/>
    <w:rsid w:val="00B10724"/>
    <w:rsid w:val="00B13100"/>
    <w:rsid w:val="00B156D6"/>
    <w:rsid w:val="00B16B77"/>
    <w:rsid w:val="00B16C61"/>
    <w:rsid w:val="00B1708D"/>
    <w:rsid w:val="00B21387"/>
    <w:rsid w:val="00B21F54"/>
    <w:rsid w:val="00B24061"/>
    <w:rsid w:val="00B24A9A"/>
    <w:rsid w:val="00B27944"/>
    <w:rsid w:val="00B32E45"/>
    <w:rsid w:val="00B33D37"/>
    <w:rsid w:val="00B35874"/>
    <w:rsid w:val="00B44CB9"/>
    <w:rsid w:val="00B46A8D"/>
    <w:rsid w:val="00B47B65"/>
    <w:rsid w:val="00B51F5E"/>
    <w:rsid w:val="00B52385"/>
    <w:rsid w:val="00B5247D"/>
    <w:rsid w:val="00B52903"/>
    <w:rsid w:val="00B552EB"/>
    <w:rsid w:val="00B5612A"/>
    <w:rsid w:val="00B57988"/>
    <w:rsid w:val="00B6139D"/>
    <w:rsid w:val="00B6266B"/>
    <w:rsid w:val="00B63DDB"/>
    <w:rsid w:val="00B64831"/>
    <w:rsid w:val="00B66750"/>
    <w:rsid w:val="00B67B8B"/>
    <w:rsid w:val="00B67DC8"/>
    <w:rsid w:val="00B70FE9"/>
    <w:rsid w:val="00B73AEA"/>
    <w:rsid w:val="00B73BC5"/>
    <w:rsid w:val="00B76783"/>
    <w:rsid w:val="00B76A8F"/>
    <w:rsid w:val="00B76AAB"/>
    <w:rsid w:val="00B81209"/>
    <w:rsid w:val="00B86D7B"/>
    <w:rsid w:val="00B876CE"/>
    <w:rsid w:val="00B93325"/>
    <w:rsid w:val="00B937E0"/>
    <w:rsid w:val="00B937E9"/>
    <w:rsid w:val="00BA00A5"/>
    <w:rsid w:val="00BA0BDF"/>
    <w:rsid w:val="00BA129B"/>
    <w:rsid w:val="00BA36F4"/>
    <w:rsid w:val="00BA79C3"/>
    <w:rsid w:val="00BA7E26"/>
    <w:rsid w:val="00BB00EA"/>
    <w:rsid w:val="00BB02AB"/>
    <w:rsid w:val="00BB182F"/>
    <w:rsid w:val="00BB2173"/>
    <w:rsid w:val="00BB2350"/>
    <w:rsid w:val="00BB2656"/>
    <w:rsid w:val="00BB41A5"/>
    <w:rsid w:val="00BC2102"/>
    <w:rsid w:val="00BC235B"/>
    <w:rsid w:val="00BC32AF"/>
    <w:rsid w:val="00BC4622"/>
    <w:rsid w:val="00BC6994"/>
    <w:rsid w:val="00BD30AC"/>
    <w:rsid w:val="00BD4E1A"/>
    <w:rsid w:val="00BD5731"/>
    <w:rsid w:val="00BD5746"/>
    <w:rsid w:val="00BE08DF"/>
    <w:rsid w:val="00BE0AEC"/>
    <w:rsid w:val="00BE0DF0"/>
    <w:rsid w:val="00BE1E9D"/>
    <w:rsid w:val="00BE71D8"/>
    <w:rsid w:val="00BE7B23"/>
    <w:rsid w:val="00BF1CB0"/>
    <w:rsid w:val="00BF6FE2"/>
    <w:rsid w:val="00BF7335"/>
    <w:rsid w:val="00C01F37"/>
    <w:rsid w:val="00C04A83"/>
    <w:rsid w:val="00C05E50"/>
    <w:rsid w:val="00C07E24"/>
    <w:rsid w:val="00C152E5"/>
    <w:rsid w:val="00C210E7"/>
    <w:rsid w:val="00C21101"/>
    <w:rsid w:val="00C219A7"/>
    <w:rsid w:val="00C26416"/>
    <w:rsid w:val="00C31528"/>
    <w:rsid w:val="00C32D73"/>
    <w:rsid w:val="00C3593A"/>
    <w:rsid w:val="00C359DC"/>
    <w:rsid w:val="00C3752C"/>
    <w:rsid w:val="00C432FD"/>
    <w:rsid w:val="00C46AD6"/>
    <w:rsid w:val="00C500FD"/>
    <w:rsid w:val="00C50243"/>
    <w:rsid w:val="00C5180F"/>
    <w:rsid w:val="00C52227"/>
    <w:rsid w:val="00C52825"/>
    <w:rsid w:val="00C532D4"/>
    <w:rsid w:val="00C535F8"/>
    <w:rsid w:val="00C56892"/>
    <w:rsid w:val="00C67360"/>
    <w:rsid w:val="00C67DCF"/>
    <w:rsid w:val="00C756EA"/>
    <w:rsid w:val="00C75D98"/>
    <w:rsid w:val="00C87338"/>
    <w:rsid w:val="00C90230"/>
    <w:rsid w:val="00C9031A"/>
    <w:rsid w:val="00C91870"/>
    <w:rsid w:val="00C928A2"/>
    <w:rsid w:val="00C940BF"/>
    <w:rsid w:val="00C97955"/>
    <w:rsid w:val="00C97BE2"/>
    <w:rsid w:val="00CA19B9"/>
    <w:rsid w:val="00CA22ED"/>
    <w:rsid w:val="00CA3A7D"/>
    <w:rsid w:val="00CA63CC"/>
    <w:rsid w:val="00CA7E59"/>
    <w:rsid w:val="00CB3253"/>
    <w:rsid w:val="00CB3475"/>
    <w:rsid w:val="00CB3E08"/>
    <w:rsid w:val="00CB5252"/>
    <w:rsid w:val="00CB5917"/>
    <w:rsid w:val="00CB5FB7"/>
    <w:rsid w:val="00CB60F6"/>
    <w:rsid w:val="00CB6313"/>
    <w:rsid w:val="00CB7CDC"/>
    <w:rsid w:val="00CC1EF0"/>
    <w:rsid w:val="00CC2B32"/>
    <w:rsid w:val="00CC7A35"/>
    <w:rsid w:val="00CD1883"/>
    <w:rsid w:val="00CD372F"/>
    <w:rsid w:val="00CD4460"/>
    <w:rsid w:val="00CD4AF9"/>
    <w:rsid w:val="00CE0212"/>
    <w:rsid w:val="00CE25C4"/>
    <w:rsid w:val="00CE2CD7"/>
    <w:rsid w:val="00CE43FD"/>
    <w:rsid w:val="00CE4637"/>
    <w:rsid w:val="00CE6C03"/>
    <w:rsid w:val="00CF0B35"/>
    <w:rsid w:val="00CF0C10"/>
    <w:rsid w:val="00CF1512"/>
    <w:rsid w:val="00CF412B"/>
    <w:rsid w:val="00CF750C"/>
    <w:rsid w:val="00CF7F0D"/>
    <w:rsid w:val="00D01222"/>
    <w:rsid w:val="00D0158A"/>
    <w:rsid w:val="00D029C5"/>
    <w:rsid w:val="00D0680D"/>
    <w:rsid w:val="00D10070"/>
    <w:rsid w:val="00D160E1"/>
    <w:rsid w:val="00D205EE"/>
    <w:rsid w:val="00D20F36"/>
    <w:rsid w:val="00D22FDF"/>
    <w:rsid w:val="00D23390"/>
    <w:rsid w:val="00D24E13"/>
    <w:rsid w:val="00D2638A"/>
    <w:rsid w:val="00D31832"/>
    <w:rsid w:val="00D3690C"/>
    <w:rsid w:val="00D40B62"/>
    <w:rsid w:val="00D415D9"/>
    <w:rsid w:val="00D42BDB"/>
    <w:rsid w:val="00D46AD4"/>
    <w:rsid w:val="00D517C2"/>
    <w:rsid w:val="00D522EE"/>
    <w:rsid w:val="00D52DEA"/>
    <w:rsid w:val="00D535BE"/>
    <w:rsid w:val="00D5405B"/>
    <w:rsid w:val="00D56C0E"/>
    <w:rsid w:val="00D61398"/>
    <w:rsid w:val="00D625B0"/>
    <w:rsid w:val="00D64338"/>
    <w:rsid w:val="00D6630D"/>
    <w:rsid w:val="00D66364"/>
    <w:rsid w:val="00D669CC"/>
    <w:rsid w:val="00D66FF5"/>
    <w:rsid w:val="00D67FCE"/>
    <w:rsid w:val="00D7118B"/>
    <w:rsid w:val="00D71513"/>
    <w:rsid w:val="00D71F99"/>
    <w:rsid w:val="00D731FE"/>
    <w:rsid w:val="00D73FC3"/>
    <w:rsid w:val="00D74C4E"/>
    <w:rsid w:val="00D80074"/>
    <w:rsid w:val="00D816EE"/>
    <w:rsid w:val="00D818C8"/>
    <w:rsid w:val="00D8476B"/>
    <w:rsid w:val="00D84CD0"/>
    <w:rsid w:val="00D85DAF"/>
    <w:rsid w:val="00D87441"/>
    <w:rsid w:val="00D877AC"/>
    <w:rsid w:val="00D92CC6"/>
    <w:rsid w:val="00D92F6E"/>
    <w:rsid w:val="00D944AF"/>
    <w:rsid w:val="00D94648"/>
    <w:rsid w:val="00D96B44"/>
    <w:rsid w:val="00D97661"/>
    <w:rsid w:val="00D977C1"/>
    <w:rsid w:val="00DA4CDB"/>
    <w:rsid w:val="00DA4DED"/>
    <w:rsid w:val="00DA7007"/>
    <w:rsid w:val="00DB1253"/>
    <w:rsid w:val="00DC030E"/>
    <w:rsid w:val="00DC39C5"/>
    <w:rsid w:val="00DC3D5C"/>
    <w:rsid w:val="00DC5525"/>
    <w:rsid w:val="00DC710C"/>
    <w:rsid w:val="00DD03BA"/>
    <w:rsid w:val="00DD2559"/>
    <w:rsid w:val="00DD26EA"/>
    <w:rsid w:val="00DD400A"/>
    <w:rsid w:val="00DD42E6"/>
    <w:rsid w:val="00DE3BA3"/>
    <w:rsid w:val="00DE7AA2"/>
    <w:rsid w:val="00DF0D42"/>
    <w:rsid w:val="00DF2406"/>
    <w:rsid w:val="00DF270A"/>
    <w:rsid w:val="00DF3A53"/>
    <w:rsid w:val="00DF55BA"/>
    <w:rsid w:val="00E016A5"/>
    <w:rsid w:val="00E06091"/>
    <w:rsid w:val="00E06F13"/>
    <w:rsid w:val="00E06F80"/>
    <w:rsid w:val="00E11EAB"/>
    <w:rsid w:val="00E136C0"/>
    <w:rsid w:val="00E139CC"/>
    <w:rsid w:val="00E15F9C"/>
    <w:rsid w:val="00E21200"/>
    <w:rsid w:val="00E24C86"/>
    <w:rsid w:val="00E26878"/>
    <w:rsid w:val="00E30369"/>
    <w:rsid w:val="00E30FB0"/>
    <w:rsid w:val="00E315AE"/>
    <w:rsid w:val="00E32BA9"/>
    <w:rsid w:val="00E34768"/>
    <w:rsid w:val="00E35544"/>
    <w:rsid w:val="00E37EAF"/>
    <w:rsid w:val="00E4208B"/>
    <w:rsid w:val="00E426B8"/>
    <w:rsid w:val="00E43A7C"/>
    <w:rsid w:val="00E43FFF"/>
    <w:rsid w:val="00E44A10"/>
    <w:rsid w:val="00E4646F"/>
    <w:rsid w:val="00E46843"/>
    <w:rsid w:val="00E50979"/>
    <w:rsid w:val="00E51A4C"/>
    <w:rsid w:val="00E52524"/>
    <w:rsid w:val="00E5273B"/>
    <w:rsid w:val="00E56CAD"/>
    <w:rsid w:val="00E605A9"/>
    <w:rsid w:val="00E60F3F"/>
    <w:rsid w:val="00E62F6B"/>
    <w:rsid w:val="00E64E7E"/>
    <w:rsid w:val="00E65578"/>
    <w:rsid w:val="00E6640C"/>
    <w:rsid w:val="00E66B4B"/>
    <w:rsid w:val="00E70296"/>
    <w:rsid w:val="00E71632"/>
    <w:rsid w:val="00E716A2"/>
    <w:rsid w:val="00E718A9"/>
    <w:rsid w:val="00E72286"/>
    <w:rsid w:val="00E739A8"/>
    <w:rsid w:val="00E73E7E"/>
    <w:rsid w:val="00E808F9"/>
    <w:rsid w:val="00E81DAB"/>
    <w:rsid w:val="00E83C6B"/>
    <w:rsid w:val="00E849F7"/>
    <w:rsid w:val="00E9018D"/>
    <w:rsid w:val="00E919B3"/>
    <w:rsid w:val="00E92283"/>
    <w:rsid w:val="00E9376C"/>
    <w:rsid w:val="00E9542E"/>
    <w:rsid w:val="00E97E6F"/>
    <w:rsid w:val="00E97F7E"/>
    <w:rsid w:val="00EA0F47"/>
    <w:rsid w:val="00EA2EEF"/>
    <w:rsid w:val="00EA3659"/>
    <w:rsid w:val="00EA6AF9"/>
    <w:rsid w:val="00EB0154"/>
    <w:rsid w:val="00EB02A6"/>
    <w:rsid w:val="00EB1974"/>
    <w:rsid w:val="00EB1EEC"/>
    <w:rsid w:val="00EB332B"/>
    <w:rsid w:val="00EB48B6"/>
    <w:rsid w:val="00EB5D29"/>
    <w:rsid w:val="00EC0628"/>
    <w:rsid w:val="00EC0B41"/>
    <w:rsid w:val="00EC0F9E"/>
    <w:rsid w:val="00EC18D0"/>
    <w:rsid w:val="00EC477F"/>
    <w:rsid w:val="00EC4EA7"/>
    <w:rsid w:val="00EC7014"/>
    <w:rsid w:val="00ED064C"/>
    <w:rsid w:val="00ED2556"/>
    <w:rsid w:val="00ED6EB3"/>
    <w:rsid w:val="00EE0059"/>
    <w:rsid w:val="00EE2577"/>
    <w:rsid w:val="00EE342F"/>
    <w:rsid w:val="00EE6164"/>
    <w:rsid w:val="00EE6F86"/>
    <w:rsid w:val="00EF1543"/>
    <w:rsid w:val="00EF1757"/>
    <w:rsid w:val="00EF2F70"/>
    <w:rsid w:val="00EF4852"/>
    <w:rsid w:val="00EF5FA1"/>
    <w:rsid w:val="00EF7DE0"/>
    <w:rsid w:val="00F013FD"/>
    <w:rsid w:val="00F02FFD"/>
    <w:rsid w:val="00F0555E"/>
    <w:rsid w:val="00F06973"/>
    <w:rsid w:val="00F06FEA"/>
    <w:rsid w:val="00F13CCB"/>
    <w:rsid w:val="00F15904"/>
    <w:rsid w:val="00F20EE9"/>
    <w:rsid w:val="00F2398A"/>
    <w:rsid w:val="00F24332"/>
    <w:rsid w:val="00F3069C"/>
    <w:rsid w:val="00F30760"/>
    <w:rsid w:val="00F32F68"/>
    <w:rsid w:val="00F33C53"/>
    <w:rsid w:val="00F377C6"/>
    <w:rsid w:val="00F40CCD"/>
    <w:rsid w:val="00F41566"/>
    <w:rsid w:val="00F456AF"/>
    <w:rsid w:val="00F468EB"/>
    <w:rsid w:val="00F47251"/>
    <w:rsid w:val="00F50713"/>
    <w:rsid w:val="00F60397"/>
    <w:rsid w:val="00F604EE"/>
    <w:rsid w:val="00F62647"/>
    <w:rsid w:val="00F64B4A"/>
    <w:rsid w:val="00F65609"/>
    <w:rsid w:val="00F65A9F"/>
    <w:rsid w:val="00F65F1C"/>
    <w:rsid w:val="00F66644"/>
    <w:rsid w:val="00F6681B"/>
    <w:rsid w:val="00F70C81"/>
    <w:rsid w:val="00F7194A"/>
    <w:rsid w:val="00F72C93"/>
    <w:rsid w:val="00F72F4E"/>
    <w:rsid w:val="00F73909"/>
    <w:rsid w:val="00F769AB"/>
    <w:rsid w:val="00F7799C"/>
    <w:rsid w:val="00F80A21"/>
    <w:rsid w:val="00F813C6"/>
    <w:rsid w:val="00F83505"/>
    <w:rsid w:val="00F8719D"/>
    <w:rsid w:val="00F876A5"/>
    <w:rsid w:val="00F90659"/>
    <w:rsid w:val="00F9689C"/>
    <w:rsid w:val="00F9764A"/>
    <w:rsid w:val="00FA158F"/>
    <w:rsid w:val="00FA1E04"/>
    <w:rsid w:val="00FA3A82"/>
    <w:rsid w:val="00FB4923"/>
    <w:rsid w:val="00FB5014"/>
    <w:rsid w:val="00FB7DB0"/>
    <w:rsid w:val="00FC3824"/>
    <w:rsid w:val="00FC744E"/>
    <w:rsid w:val="00FC7C47"/>
    <w:rsid w:val="00FD2990"/>
    <w:rsid w:val="00FD5D92"/>
    <w:rsid w:val="00FD71A6"/>
    <w:rsid w:val="00FE31E3"/>
    <w:rsid w:val="00FE3B90"/>
    <w:rsid w:val="00FE6BE5"/>
    <w:rsid w:val="00FF1806"/>
    <w:rsid w:val="00FF28C9"/>
    <w:rsid w:val="00FF338D"/>
    <w:rsid w:val="00FF422D"/>
    <w:rsid w:val="00FF4F69"/>
    <w:rsid w:val="00FF4F8F"/>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80F91"/>
    <w:pPr>
      <w:widowControl w:val="0"/>
    </w:pPr>
    <w:rPr>
      <w:snapToGrid w:val="0"/>
      <w:kern w:val="28"/>
      <w:szCs w:val="20"/>
    </w:rPr>
  </w:style>
  <w:style w:type="paragraph" w:styleId="Heading1">
    <w:name w:val="heading 1"/>
    <w:basedOn w:val="Normal"/>
    <w:next w:val="ParaNum"/>
    <w:link w:val="Heading1Char"/>
    <w:qFormat/>
    <w:rsid w:val="00A80F91"/>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80F91"/>
    <w:pPr>
      <w:keepNext/>
      <w:numPr>
        <w:ilvl w:val="1"/>
        <w:numId w:val="5"/>
      </w:numPr>
      <w:spacing w:after="120"/>
      <w:outlineLvl w:val="1"/>
    </w:pPr>
    <w:rPr>
      <w:b/>
    </w:rPr>
  </w:style>
  <w:style w:type="paragraph" w:styleId="Heading3">
    <w:name w:val="heading 3"/>
    <w:basedOn w:val="Normal"/>
    <w:next w:val="ParaNum"/>
    <w:link w:val="Heading3Char"/>
    <w:qFormat/>
    <w:rsid w:val="00A80F91"/>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A80F91"/>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A80F91"/>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A80F91"/>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A80F91"/>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A80F91"/>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80F91"/>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0F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0F91"/>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EF7DE0"/>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A80F91"/>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A80F91"/>
    <w:rPr>
      <w:rFonts w:ascii="Times New Roman" w:hAnsi="Times New Roman"/>
      <w:dstrike w:val="0"/>
      <w:color w:val="auto"/>
      <w:sz w:val="20"/>
      <w:vertAlign w:val="superscript"/>
    </w:rPr>
  </w:style>
  <w:style w:type="paragraph" w:styleId="Header">
    <w:name w:val="header"/>
    <w:basedOn w:val="Normal"/>
    <w:link w:val="HeaderChar"/>
    <w:autoRedefine/>
    <w:rsid w:val="00A80F91"/>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A80F91"/>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A80F91"/>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napToGrid/>
      <w:sz w:val="20"/>
    </w:rPr>
  </w:style>
  <w:style w:type="paragraph" w:customStyle="1" w:styleId="ParaNum">
    <w:name w:val="ParaNum"/>
    <w:basedOn w:val="Normal"/>
    <w:link w:val="ParaNumChar"/>
    <w:rsid w:val="00A80F91"/>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snapToGrid/>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A80F91"/>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snapToGrid/>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A80F91"/>
    <w:pPr>
      <w:jc w:val="center"/>
    </w:pPr>
    <w:rPr>
      <w:rFonts w:ascii="Times New Roman Bold" w:hAnsi="Times New Roman Bold"/>
      <w:b/>
      <w:bCs/>
      <w:caps/>
      <w:szCs w:val="22"/>
    </w:rPr>
  </w:style>
  <w:style w:type="paragraph" w:styleId="TOAHeading">
    <w:name w:val="toa heading"/>
    <w:basedOn w:val="Normal"/>
    <w:next w:val="Normal"/>
    <w:semiHidden/>
    <w:rsid w:val="00A80F91"/>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rPr>
      <w:snapToGrid/>
    </w:rPr>
  </w:style>
  <w:style w:type="paragraph" w:styleId="ListParagraph">
    <w:name w:val="List Paragraph"/>
    <w:basedOn w:val="Normal"/>
    <w:uiPriority w:val="99"/>
    <w:qFormat/>
    <w:rsid w:val="00060BD6"/>
    <w:pPr>
      <w:ind w:left="720"/>
    </w:pPr>
    <w:rPr>
      <w:snapToGrid/>
    </w:r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snapToGrid/>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A80F91"/>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A80F91"/>
    <w:rPr>
      <w:vertAlign w:val="superscript"/>
    </w:rPr>
  </w:style>
  <w:style w:type="paragraph" w:styleId="TOC1">
    <w:name w:val="toc 1"/>
    <w:basedOn w:val="Normal"/>
    <w:next w:val="Normal"/>
    <w:semiHidden/>
    <w:locked/>
    <w:rsid w:val="00A80F91"/>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A80F91"/>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A80F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A80F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A80F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A80F91"/>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A80F91"/>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A80F91"/>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A80F91"/>
    <w:pPr>
      <w:tabs>
        <w:tab w:val="left" w:pos="3240"/>
        <w:tab w:val="right" w:leader="dot" w:pos="9360"/>
      </w:tabs>
      <w:suppressAutoHyphens/>
      <w:ind w:left="3240" w:hanging="360"/>
    </w:pPr>
    <w:rPr>
      <w:noProof/>
    </w:rPr>
  </w:style>
  <w:style w:type="character" w:customStyle="1" w:styleId="EquationCaption">
    <w:name w:val="_Equation Caption"/>
    <w:rsid w:val="00A80F91"/>
  </w:style>
  <w:style w:type="paragraph" w:styleId="BlockText">
    <w:name w:val="Block Text"/>
    <w:basedOn w:val="Normal"/>
    <w:locked/>
    <w:rsid w:val="00A80F91"/>
    <w:pPr>
      <w:spacing w:after="240"/>
      <w:ind w:left="1440" w:right="1440"/>
    </w:pPr>
  </w:style>
  <w:style w:type="paragraph" w:customStyle="1" w:styleId="Paratitle">
    <w:name w:val="Para title"/>
    <w:basedOn w:val="Normal"/>
    <w:rsid w:val="00A80F91"/>
    <w:pPr>
      <w:tabs>
        <w:tab w:val="center" w:pos="9270"/>
      </w:tabs>
      <w:spacing w:after="240"/>
    </w:pPr>
    <w:rPr>
      <w:spacing w:val="-2"/>
    </w:rPr>
  </w:style>
  <w:style w:type="paragraph" w:customStyle="1" w:styleId="Bullet">
    <w:name w:val="Bullet"/>
    <w:basedOn w:val="Normal"/>
    <w:rsid w:val="00A80F91"/>
    <w:pPr>
      <w:tabs>
        <w:tab w:val="left" w:pos="2160"/>
      </w:tabs>
      <w:spacing w:after="220"/>
      <w:ind w:left="2160" w:hanging="720"/>
    </w:pPr>
  </w:style>
  <w:style w:type="paragraph" w:customStyle="1" w:styleId="TableFormat">
    <w:name w:val="TableFormat"/>
    <w:basedOn w:val="Bullet"/>
    <w:rsid w:val="00A80F91"/>
    <w:pPr>
      <w:tabs>
        <w:tab w:val="clear" w:pos="2160"/>
        <w:tab w:val="left" w:pos="5040"/>
      </w:tabs>
      <w:ind w:left="5040" w:hanging="3600"/>
    </w:pPr>
  </w:style>
  <w:style w:type="paragraph" w:customStyle="1" w:styleId="TOCTitle">
    <w:name w:val="TOC Title"/>
    <w:basedOn w:val="Normal"/>
    <w:rsid w:val="00A80F91"/>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
    <w:locked/>
    <w:rsid w:val="00A031CA"/>
  </w:style>
  <w:style w:type="character" w:customStyle="1" w:styleId="ParaNumChar">
    <w:name w:val="ParaNum Char"/>
    <w:link w:val="ParaNum"/>
    <w:locked/>
    <w:rsid w:val="00CB3253"/>
    <w:rPr>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80F91"/>
    <w:pPr>
      <w:widowControl w:val="0"/>
    </w:pPr>
    <w:rPr>
      <w:snapToGrid w:val="0"/>
      <w:kern w:val="28"/>
      <w:szCs w:val="20"/>
    </w:rPr>
  </w:style>
  <w:style w:type="paragraph" w:styleId="Heading1">
    <w:name w:val="heading 1"/>
    <w:basedOn w:val="Normal"/>
    <w:next w:val="ParaNum"/>
    <w:link w:val="Heading1Char"/>
    <w:qFormat/>
    <w:rsid w:val="00A80F91"/>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80F91"/>
    <w:pPr>
      <w:keepNext/>
      <w:numPr>
        <w:ilvl w:val="1"/>
        <w:numId w:val="5"/>
      </w:numPr>
      <w:spacing w:after="120"/>
      <w:outlineLvl w:val="1"/>
    </w:pPr>
    <w:rPr>
      <w:b/>
    </w:rPr>
  </w:style>
  <w:style w:type="paragraph" w:styleId="Heading3">
    <w:name w:val="heading 3"/>
    <w:basedOn w:val="Normal"/>
    <w:next w:val="ParaNum"/>
    <w:link w:val="Heading3Char"/>
    <w:qFormat/>
    <w:rsid w:val="00A80F91"/>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A80F91"/>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A80F91"/>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A80F91"/>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A80F91"/>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A80F91"/>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80F91"/>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0F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0F91"/>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EF7DE0"/>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A80F91"/>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A80F91"/>
    <w:rPr>
      <w:rFonts w:ascii="Times New Roman" w:hAnsi="Times New Roman"/>
      <w:dstrike w:val="0"/>
      <w:color w:val="auto"/>
      <w:sz w:val="20"/>
      <w:vertAlign w:val="superscript"/>
    </w:rPr>
  </w:style>
  <w:style w:type="paragraph" w:styleId="Header">
    <w:name w:val="header"/>
    <w:basedOn w:val="Normal"/>
    <w:link w:val="HeaderChar"/>
    <w:autoRedefine/>
    <w:rsid w:val="00A80F91"/>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A80F91"/>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A80F91"/>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napToGrid/>
      <w:sz w:val="20"/>
    </w:rPr>
  </w:style>
  <w:style w:type="paragraph" w:customStyle="1" w:styleId="ParaNum">
    <w:name w:val="ParaNum"/>
    <w:basedOn w:val="Normal"/>
    <w:link w:val="ParaNumChar"/>
    <w:rsid w:val="00A80F91"/>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snapToGrid/>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A80F91"/>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snapToGrid/>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A80F91"/>
    <w:pPr>
      <w:jc w:val="center"/>
    </w:pPr>
    <w:rPr>
      <w:rFonts w:ascii="Times New Roman Bold" w:hAnsi="Times New Roman Bold"/>
      <w:b/>
      <w:bCs/>
      <w:caps/>
      <w:szCs w:val="22"/>
    </w:rPr>
  </w:style>
  <w:style w:type="paragraph" w:styleId="TOAHeading">
    <w:name w:val="toa heading"/>
    <w:basedOn w:val="Normal"/>
    <w:next w:val="Normal"/>
    <w:semiHidden/>
    <w:rsid w:val="00A80F91"/>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rPr>
      <w:snapToGrid/>
    </w:rPr>
  </w:style>
  <w:style w:type="paragraph" w:styleId="ListParagraph">
    <w:name w:val="List Paragraph"/>
    <w:basedOn w:val="Normal"/>
    <w:uiPriority w:val="99"/>
    <w:qFormat/>
    <w:rsid w:val="00060BD6"/>
    <w:pPr>
      <w:ind w:left="720"/>
    </w:pPr>
    <w:rPr>
      <w:snapToGrid/>
    </w:r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snapToGrid/>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A80F91"/>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A80F91"/>
    <w:rPr>
      <w:vertAlign w:val="superscript"/>
    </w:rPr>
  </w:style>
  <w:style w:type="paragraph" w:styleId="TOC1">
    <w:name w:val="toc 1"/>
    <w:basedOn w:val="Normal"/>
    <w:next w:val="Normal"/>
    <w:semiHidden/>
    <w:locked/>
    <w:rsid w:val="00A80F91"/>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A80F91"/>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A80F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A80F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A80F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A80F91"/>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A80F91"/>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A80F91"/>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A80F91"/>
    <w:pPr>
      <w:tabs>
        <w:tab w:val="left" w:pos="3240"/>
        <w:tab w:val="right" w:leader="dot" w:pos="9360"/>
      </w:tabs>
      <w:suppressAutoHyphens/>
      <w:ind w:left="3240" w:hanging="360"/>
    </w:pPr>
    <w:rPr>
      <w:noProof/>
    </w:rPr>
  </w:style>
  <w:style w:type="character" w:customStyle="1" w:styleId="EquationCaption">
    <w:name w:val="_Equation Caption"/>
    <w:rsid w:val="00A80F91"/>
  </w:style>
  <w:style w:type="paragraph" w:styleId="BlockText">
    <w:name w:val="Block Text"/>
    <w:basedOn w:val="Normal"/>
    <w:locked/>
    <w:rsid w:val="00A80F91"/>
    <w:pPr>
      <w:spacing w:after="240"/>
      <w:ind w:left="1440" w:right="1440"/>
    </w:pPr>
  </w:style>
  <w:style w:type="paragraph" w:customStyle="1" w:styleId="Paratitle">
    <w:name w:val="Para title"/>
    <w:basedOn w:val="Normal"/>
    <w:rsid w:val="00A80F91"/>
    <w:pPr>
      <w:tabs>
        <w:tab w:val="center" w:pos="9270"/>
      </w:tabs>
      <w:spacing w:after="240"/>
    </w:pPr>
    <w:rPr>
      <w:spacing w:val="-2"/>
    </w:rPr>
  </w:style>
  <w:style w:type="paragraph" w:customStyle="1" w:styleId="Bullet">
    <w:name w:val="Bullet"/>
    <w:basedOn w:val="Normal"/>
    <w:rsid w:val="00A80F91"/>
    <w:pPr>
      <w:tabs>
        <w:tab w:val="left" w:pos="2160"/>
      </w:tabs>
      <w:spacing w:after="220"/>
      <w:ind w:left="2160" w:hanging="720"/>
    </w:pPr>
  </w:style>
  <w:style w:type="paragraph" w:customStyle="1" w:styleId="TableFormat">
    <w:name w:val="TableFormat"/>
    <w:basedOn w:val="Bullet"/>
    <w:rsid w:val="00A80F91"/>
    <w:pPr>
      <w:tabs>
        <w:tab w:val="clear" w:pos="2160"/>
        <w:tab w:val="left" w:pos="5040"/>
      </w:tabs>
      <w:ind w:left="5040" w:hanging="3600"/>
    </w:pPr>
  </w:style>
  <w:style w:type="paragraph" w:customStyle="1" w:styleId="TOCTitle">
    <w:name w:val="TOC Title"/>
    <w:basedOn w:val="Normal"/>
    <w:rsid w:val="00A80F91"/>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
    <w:locked/>
    <w:rsid w:val="00A031CA"/>
  </w:style>
  <w:style w:type="character" w:customStyle="1" w:styleId="ParaNumChar">
    <w:name w:val="ParaNum Char"/>
    <w:link w:val="ParaNum"/>
    <w:locked/>
    <w:rsid w:val="00CB3253"/>
    <w:rPr>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199392025">
      <w:bodyDiv w:val="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lbartel@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0208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1448</Words>
  <Characters>7922</Characters>
  <Application>Microsoft Office Word</Application>
  <DocSecurity>0</DocSecurity>
  <Lines>140</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2016-05-17T18:15:00Z</dcterms:created>
  <dcterms:modified xsi:type="dcterms:W3CDTF">2016-05-17T18:15:00Z</dcterms:modified>
  <cp:category> </cp:category>
  <cp:contentStatus> </cp:contentStatus>
</cp:coreProperties>
</file>