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FA227" w14:textId="5BE2401B" w:rsidR="003B3030" w:rsidRPr="00776BBA" w:rsidRDefault="003B3030" w:rsidP="003B3030">
      <w:pPr>
        <w:jc w:val="right"/>
        <w:rPr>
          <w:b/>
          <w:szCs w:val="22"/>
        </w:rPr>
      </w:pPr>
      <w:bookmarkStart w:id="0" w:name="_GoBack"/>
      <w:bookmarkEnd w:id="0"/>
      <w:r w:rsidRPr="00776BBA">
        <w:rPr>
          <w:b/>
          <w:szCs w:val="22"/>
        </w:rPr>
        <w:t>DA 1</w:t>
      </w:r>
      <w:r>
        <w:rPr>
          <w:b/>
          <w:szCs w:val="22"/>
        </w:rPr>
        <w:t>6</w:t>
      </w:r>
      <w:r w:rsidRPr="00776BBA">
        <w:rPr>
          <w:b/>
          <w:szCs w:val="22"/>
        </w:rPr>
        <w:t>-</w:t>
      </w:r>
      <w:r w:rsidR="00CD2969">
        <w:rPr>
          <w:b/>
          <w:szCs w:val="22"/>
        </w:rPr>
        <w:t>519</w:t>
      </w:r>
    </w:p>
    <w:p w14:paraId="59DC9C31" w14:textId="6349B6F1" w:rsidR="003B3030" w:rsidRPr="00776BBA" w:rsidRDefault="003B3030" w:rsidP="003B3030">
      <w:pPr>
        <w:spacing w:after="240"/>
        <w:jc w:val="right"/>
        <w:rPr>
          <w:b/>
          <w:szCs w:val="22"/>
        </w:rPr>
      </w:pPr>
      <w:r>
        <w:rPr>
          <w:b/>
          <w:szCs w:val="22"/>
        </w:rPr>
        <w:t xml:space="preserve">Released:  </w:t>
      </w:r>
      <w:r w:rsidR="00F14F1F">
        <w:rPr>
          <w:b/>
          <w:szCs w:val="22"/>
        </w:rPr>
        <w:t>May</w:t>
      </w:r>
      <w:r>
        <w:rPr>
          <w:b/>
          <w:szCs w:val="22"/>
        </w:rPr>
        <w:t xml:space="preserve"> </w:t>
      </w:r>
      <w:r w:rsidR="008A3A8B">
        <w:rPr>
          <w:b/>
          <w:szCs w:val="22"/>
        </w:rPr>
        <w:t>12</w:t>
      </w:r>
      <w:r>
        <w:rPr>
          <w:b/>
          <w:szCs w:val="22"/>
        </w:rPr>
        <w:t>, 2016</w:t>
      </w:r>
    </w:p>
    <w:p w14:paraId="7F60DE89" w14:textId="77777777" w:rsidR="003B3030" w:rsidRDefault="003B3030" w:rsidP="003B3030">
      <w:pPr>
        <w:jc w:val="center"/>
        <w:rPr>
          <w:b/>
          <w:szCs w:val="22"/>
        </w:rPr>
      </w:pPr>
      <w:r>
        <w:rPr>
          <w:b/>
          <w:szCs w:val="22"/>
        </w:rPr>
        <w:t xml:space="preserve">WIRELESS TELECOMMUNICATIONS BUREAU SEEKS </w:t>
      </w:r>
      <w:r w:rsidRPr="00467380">
        <w:rPr>
          <w:b/>
          <w:szCs w:val="22"/>
        </w:rPr>
        <w:t>COMMENT</w:t>
      </w:r>
    </w:p>
    <w:p w14:paraId="42462CB3" w14:textId="77777777" w:rsidR="003B3030" w:rsidRDefault="003B3030" w:rsidP="003B3030">
      <w:pPr>
        <w:jc w:val="center"/>
        <w:rPr>
          <w:b/>
          <w:szCs w:val="22"/>
        </w:rPr>
      </w:pPr>
      <w:r w:rsidRPr="00467380">
        <w:rPr>
          <w:b/>
          <w:szCs w:val="22"/>
        </w:rPr>
        <w:t>ON</w:t>
      </w:r>
      <w:r>
        <w:rPr>
          <w:b/>
          <w:szCs w:val="22"/>
        </w:rPr>
        <w:t xml:space="preserve"> PROPOSED AMEND</w:t>
      </w:r>
      <w:r w:rsidR="00830A73">
        <w:rPr>
          <w:b/>
          <w:szCs w:val="22"/>
        </w:rPr>
        <w:t>ED</w:t>
      </w:r>
      <w:r w:rsidR="000A6CEB">
        <w:rPr>
          <w:b/>
          <w:szCs w:val="22"/>
        </w:rPr>
        <w:t xml:space="preserve"> </w:t>
      </w:r>
      <w:r w:rsidR="00E038EA">
        <w:rPr>
          <w:b/>
          <w:szCs w:val="22"/>
        </w:rPr>
        <w:t>NATION</w:t>
      </w:r>
      <w:r w:rsidR="00DC02F6">
        <w:rPr>
          <w:b/>
          <w:szCs w:val="22"/>
        </w:rPr>
        <w:t>WIDE</w:t>
      </w:r>
      <w:r w:rsidR="00E038EA">
        <w:rPr>
          <w:b/>
          <w:szCs w:val="22"/>
        </w:rPr>
        <w:t xml:space="preserve"> PROGRAMMATIC</w:t>
      </w:r>
      <w:r>
        <w:rPr>
          <w:b/>
          <w:szCs w:val="22"/>
        </w:rPr>
        <w:t xml:space="preserve"> AGREEMENT FOR </w:t>
      </w:r>
      <w:r w:rsidR="00E038EA">
        <w:rPr>
          <w:b/>
          <w:szCs w:val="22"/>
        </w:rPr>
        <w:t>THE COLLOCATION OF</w:t>
      </w:r>
      <w:r>
        <w:rPr>
          <w:b/>
          <w:szCs w:val="22"/>
        </w:rPr>
        <w:t xml:space="preserve"> WIRELESS </w:t>
      </w:r>
      <w:r w:rsidR="00E038EA">
        <w:rPr>
          <w:b/>
          <w:szCs w:val="22"/>
        </w:rPr>
        <w:t>ANTENNAS</w:t>
      </w:r>
    </w:p>
    <w:p w14:paraId="192D9D7B" w14:textId="77777777" w:rsidR="003B3030" w:rsidRDefault="003B3030" w:rsidP="003B3030">
      <w:pPr>
        <w:jc w:val="center"/>
        <w:rPr>
          <w:b/>
          <w:bCs/>
        </w:rPr>
      </w:pPr>
    </w:p>
    <w:p w14:paraId="05FF31FB" w14:textId="6DA4AE47" w:rsidR="003B3030" w:rsidRPr="00776BBA" w:rsidRDefault="003B3030" w:rsidP="003B3030">
      <w:pPr>
        <w:spacing w:after="240"/>
        <w:jc w:val="center"/>
        <w:rPr>
          <w:b/>
          <w:szCs w:val="22"/>
        </w:rPr>
      </w:pPr>
      <w:r w:rsidRPr="00776BBA">
        <w:rPr>
          <w:b/>
          <w:szCs w:val="22"/>
        </w:rPr>
        <w:t>WT Docket No. 1</w:t>
      </w:r>
      <w:r w:rsidR="008A3A8B">
        <w:rPr>
          <w:b/>
          <w:szCs w:val="22"/>
        </w:rPr>
        <w:t>5</w:t>
      </w:r>
      <w:r w:rsidRPr="00776BBA">
        <w:rPr>
          <w:b/>
          <w:szCs w:val="22"/>
        </w:rPr>
        <w:t>-180</w:t>
      </w:r>
    </w:p>
    <w:p w14:paraId="2A2D29CD" w14:textId="70A70A00" w:rsidR="003B3030" w:rsidRPr="00467380" w:rsidRDefault="003B3030" w:rsidP="003B3030">
      <w:pPr>
        <w:spacing w:after="240"/>
        <w:rPr>
          <w:b/>
          <w:szCs w:val="22"/>
        </w:rPr>
      </w:pPr>
      <w:r w:rsidRPr="00467380">
        <w:rPr>
          <w:b/>
          <w:szCs w:val="22"/>
        </w:rPr>
        <w:t xml:space="preserve">Comment Date:  </w:t>
      </w:r>
      <w:r w:rsidR="00F14F1F">
        <w:rPr>
          <w:b/>
          <w:szCs w:val="22"/>
        </w:rPr>
        <w:t>June</w:t>
      </w:r>
      <w:r>
        <w:rPr>
          <w:b/>
          <w:szCs w:val="22"/>
        </w:rPr>
        <w:t xml:space="preserve"> </w:t>
      </w:r>
      <w:r w:rsidR="008A3A8B">
        <w:rPr>
          <w:b/>
          <w:szCs w:val="22"/>
        </w:rPr>
        <w:t>13</w:t>
      </w:r>
      <w:r>
        <w:rPr>
          <w:b/>
          <w:szCs w:val="22"/>
        </w:rPr>
        <w:t>, 2016</w:t>
      </w:r>
    </w:p>
    <w:p w14:paraId="21A9591E" w14:textId="45EDF1AC" w:rsidR="00B049F3" w:rsidRDefault="003B3030" w:rsidP="00B049F3">
      <w:pPr>
        <w:pStyle w:val="NoSpacing"/>
        <w:ind w:firstLine="720"/>
      </w:pPr>
      <w:r>
        <w:t xml:space="preserve">By this Public Notice, the Wireless Telecommunications Bureau (Bureau) seeks public comment on the attached proposed </w:t>
      </w:r>
      <w:r w:rsidR="00830A73">
        <w:rPr>
          <w:i/>
        </w:rPr>
        <w:t xml:space="preserve">Amended </w:t>
      </w:r>
      <w:r w:rsidRPr="00DC02F6">
        <w:rPr>
          <w:i/>
        </w:rPr>
        <w:t>Nationwide Programmatic Agreement for the Collocation of Wireless Antennas</w:t>
      </w:r>
      <w:r>
        <w:t xml:space="preserve"> (</w:t>
      </w:r>
      <w:r w:rsidR="00832795">
        <w:t xml:space="preserve">Amended </w:t>
      </w:r>
      <w:r>
        <w:t xml:space="preserve">Collocation Agreement) </w:t>
      </w:r>
      <w:r w:rsidRPr="00E4161F">
        <w:t xml:space="preserve">to </w:t>
      </w:r>
      <w:r w:rsidR="001F7F9D">
        <w:t>address</w:t>
      </w:r>
      <w:r w:rsidR="009769DE">
        <w:t xml:space="preserve"> </w:t>
      </w:r>
      <w:r w:rsidRPr="00E4161F">
        <w:t>the review of</w:t>
      </w:r>
      <w:r w:rsidR="00B9327F">
        <w:t xml:space="preserve"> deployments of</w:t>
      </w:r>
      <w:r w:rsidRPr="00E4161F">
        <w:t xml:space="preserve"> </w:t>
      </w:r>
      <w:r w:rsidR="00832795">
        <w:t>small wireless antennas and associated equipment</w:t>
      </w:r>
      <w:r w:rsidRPr="00E4161F">
        <w:t xml:space="preserve"> </w:t>
      </w:r>
      <w:r>
        <w:t>under Section 106 of the National Historic Preservation Act (NHPA).</w:t>
      </w:r>
      <w:r w:rsidR="00832795">
        <w:rPr>
          <w:rStyle w:val="FootnoteReference"/>
        </w:rPr>
        <w:footnoteReference w:id="2"/>
      </w:r>
      <w:r>
        <w:t xml:space="preserve"> </w:t>
      </w:r>
      <w:r w:rsidR="00832795">
        <w:t xml:space="preserve"> </w:t>
      </w:r>
      <w:r w:rsidRPr="00E4161F" w:rsidDel="00F44DF3">
        <w:t xml:space="preserve">We propose to amend the </w:t>
      </w:r>
      <w:r w:rsidR="00832795">
        <w:t xml:space="preserve">current </w:t>
      </w:r>
      <w:r w:rsidR="00832795">
        <w:rPr>
          <w:i/>
        </w:rPr>
        <w:t xml:space="preserve">Nationwide Programmatic Agreement for the Collocation of Wireless Antennas </w:t>
      </w:r>
      <w:r w:rsidR="00832795">
        <w:t>(</w:t>
      </w:r>
      <w:r w:rsidRPr="00E4161F" w:rsidDel="00F44DF3">
        <w:t>Collocation Agreement</w:t>
      </w:r>
      <w:r w:rsidR="00832795">
        <w:t>)</w:t>
      </w:r>
      <w:r w:rsidR="00832795">
        <w:rPr>
          <w:rStyle w:val="FootnoteReference"/>
        </w:rPr>
        <w:footnoteReference w:id="3"/>
      </w:r>
      <w:r w:rsidRPr="00E4161F" w:rsidDel="00F44DF3">
        <w:t xml:space="preserve"> to</w:t>
      </w:r>
      <w:r w:rsidR="00F008BF">
        <w:t xml:space="preserve"> account for</w:t>
      </w:r>
      <w:r w:rsidR="00B9327F">
        <w:t xml:space="preserve"> the limited potential of</w:t>
      </w:r>
      <w:r w:rsidR="00F008BF">
        <w:t xml:space="preserve"> </w:t>
      </w:r>
      <w:r>
        <w:t xml:space="preserve">small wireless </w:t>
      </w:r>
      <w:r w:rsidR="00832795">
        <w:t>antennas and associated equipment</w:t>
      </w:r>
      <w:r>
        <w:t xml:space="preserve">, including Distributed Antenna Systems (DAS) and small cell facilities, </w:t>
      </w:r>
      <w:r w:rsidRPr="00E4161F" w:rsidDel="00F44DF3">
        <w:t>to affect historic properties</w:t>
      </w:r>
      <w:r>
        <w:t>.</w:t>
      </w:r>
      <w:r w:rsidR="00832795">
        <w:t xml:space="preserve">  We also propose </w:t>
      </w:r>
      <w:r w:rsidR="00F008BF">
        <w:t>minor</w:t>
      </w:r>
      <w:r w:rsidR="001C1210">
        <w:t xml:space="preserve"> </w:t>
      </w:r>
      <w:r w:rsidR="00832795">
        <w:t>amendments</w:t>
      </w:r>
      <w:r w:rsidR="00F008BF">
        <w:t xml:space="preserve"> intended to clarify </w:t>
      </w:r>
      <w:r w:rsidR="00B9327F">
        <w:t>pre-existing</w:t>
      </w:r>
      <w:r w:rsidR="00F008BF">
        <w:t xml:space="preserve"> provisions </w:t>
      </w:r>
      <w:r w:rsidR="00861664">
        <w:t>of</w:t>
      </w:r>
      <w:r w:rsidR="00FF59DC">
        <w:t xml:space="preserve"> the Collocation Agreement</w:t>
      </w:r>
      <w:r w:rsidR="00F008BF">
        <w:t xml:space="preserve"> without modifying how those provisions will be administered going forward</w:t>
      </w:r>
      <w:r w:rsidR="00FF59DC">
        <w:t>.</w:t>
      </w:r>
      <w:r w:rsidR="00832795">
        <w:t xml:space="preserve"> </w:t>
      </w:r>
    </w:p>
    <w:p w14:paraId="78CC9DD9" w14:textId="77777777" w:rsidR="00B049F3" w:rsidRDefault="00B049F3" w:rsidP="00B049F3">
      <w:pPr>
        <w:pStyle w:val="NoSpacing"/>
        <w:ind w:firstLine="720"/>
      </w:pPr>
    </w:p>
    <w:p w14:paraId="5CD098BF" w14:textId="113EE890" w:rsidR="00B049F3" w:rsidRPr="00B83F53" w:rsidRDefault="00B049F3" w:rsidP="00B049F3">
      <w:pPr>
        <w:pStyle w:val="NoSpacing"/>
        <w:ind w:firstLine="720"/>
      </w:pPr>
      <w:r>
        <w:t xml:space="preserve">We propose </w:t>
      </w:r>
      <w:r w:rsidR="00F008BF">
        <w:t xml:space="preserve">these </w:t>
      </w:r>
      <w:r>
        <w:t>amendment</w:t>
      </w:r>
      <w:r w:rsidR="00F008BF">
        <w:t>s</w:t>
      </w:r>
      <w:r>
        <w:t xml:space="preserve"> in order to enable swift </w:t>
      </w:r>
      <w:r w:rsidR="00566EE6">
        <w:t>and</w:t>
      </w:r>
      <w:r>
        <w:t xml:space="preserve"> responsible deployment of wireless broadband services – including deployments that will support next generation “5G” wireless service offerings – while </w:t>
      </w:r>
      <w:r w:rsidR="001C1210">
        <w:t>maintaining</w:t>
      </w:r>
      <w:r>
        <w:t xml:space="preserve"> the vital role that State</w:t>
      </w:r>
      <w:r w:rsidR="00A24EFC">
        <w:t>s</w:t>
      </w:r>
      <w:r>
        <w:t xml:space="preserve"> and Tribal </w:t>
      </w:r>
      <w:r w:rsidR="00A24EFC">
        <w:t>Nations</w:t>
      </w:r>
      <w:r>
        <w:t xml:space="preserve"> play in reviewing projects with potentially significant effects.  As FCC Chairman Wheeler has observed, the evolution to 5G is a “hinge moment” in technological advancement.</w:t>
      </w:r>
      <w:r w:rsidR="00C158A0">
        <w:rPr>
          <w:rStyle w:val="FootnoteReference"/>
        </w:rPr>
        <w:footnoteReference w:id="4"/>
      </w:r>
      <w:r>
        <w:t xml:space="preserve">  The Bureau’s proposal is designed to leverage this moment and facilitate nationwide wireless broadband deployment while ensuring at the same time that the Commission’s rules reflect the NHPA’s values and obligations. </w:t>
      </w:r>
    </w:p>
    <w:p w14:paraId="4980CE99" w14:textId="77777777" w:rsidR="003B3030" w:rsidRDefault="003B3030" w:rsidP="003B3030">
      <w:pPr>
        <w:pStyle w:val="NoSpacing"/>
        <w:ind w:firstLine="720"/>
      </w:pPr>
    </w:p>
    <w:p w14:paraId="6D829D0B" w14:textId="16BA4E27" w:rsidR="003B3030" w:rsidRDefault="003B3030" w:rsidP="003B3030">
      <w:pPr>
        <w:pStyle w:val="NoSpacing"/>
        <w:rPr>
          <w:szCs w:val="22"/>
        </w:rPr>
      </w:pPr>
      <w:r>
        <w:tab/>
      </w:r>
      <w:r w:rsidRPr="00DC689A">
        <w:rPr>
          <w:szCs w:val="22"/>
        </w:rPr>
        <w:t xml:space="preserve">To </w:t>
      </w:r>
      <w:r w:rsidRPr="00DC689A">
        <w:t>fulfill</w:t>
      </w:r>
      <w:r w:rsidRPr="00DC689A">
        <w:rPr>
          <w:szCs w:val="22"/>
        </w:rPr>
        <w:t xml:space="preserve"> its responsibilities under </w:t>
      </w:r>
      <w:r w:rsidR="004D1DC9">
        <w:rPr>
          <w:szCs w:val="22"/>
        </w:rPr>
        <w:t>the NHPA</w:t>
      </w:r>
      <w:r w:rsidRPr="00DC689A">
        <w:rPr>
          <w:szCs w:val="22"/>
        </w:rPr>
        <w:t xml:space="preserve">, the Commission has incorporated the requirements of </w:t>
      </w:r>
      <w:r w:rsidR="001C1210">
        <w:rPr>
          <w:szCs w:val="22"/>
        </w:rPr>
        <w:t xml:space="preserve">Section 106 of </w:t>
      </w:r>
      <w:r w:rsidR="003151C5">
        <w:rPr>
          <w:szCs w:val="22"/>
        </w:rPr>
        <w:t xml:space="preserve">the </w:t>
      </w:r>
      <w:r w:rsidRPr="00DC689A">
        <w:rPr>
          <w:szCs w:val="22"/>
        </w:rPr>
        <w:t>NHPA into its environmental rules.</w:t>
      </w:r>
      <w:r w:rsidRPr="00DC689A">
        <w:rPr>
          <w:rStyle w:val="FootnoteReference"/>
          <w:szCs w:val="22"/>
        </w:rPr>
        <w:footnoteReference w:id="5"/>
      </w:r>
      <w:r w:rsidRPr="00DC689A">
        <w:rPr>
          <w:szCs w:val="22"/>
        </w:rPr>
        <w:t xml:space="preserve">  Section 1.1307(a)(4) </w:t>
      </w:r>
      <w:r>
        <w:rPr>
          <w:szCs w:val="22"/>
        </w:rPr>
        <w:t xml:space="preserve">of the Commission’s rules </w:t>
      </w:r>
      <w:r w:rsidRPr="00DC689A">
        <w:rPr>
          <w:szCs w:val="22"/>
        </w:rPr>
        <w:t>directs licensees and applicants to follow the procedures in</w:t>
      </w:r>
      <w:r>
        <w:rPr>
          <w:szCs w:val="22"/>
        </w:rPr>
        <w:t xml:space="preserve"> the rules of the Advisory Council for Historic Preservation (</w:t>
      </w:r>
      <w:r w:rsidRPr="00DC689A">
        <w:rPr>
          <w:szCs w:val="22"/>
        </w:rPr>
        <w:t>ACHP</w:t>
      </w:r>
      <w:r>
        <w:rPr>
          <w:szCs w:val="22"/>
        </w:rPr>
        <w:t>)</w:t>
      </w:r>
      <w:r w:rsidR="00B9327F">
        <w:rPr>
          <w:szCs w:val="22"/>
        </w:rPr>
        <w:t>,</w:t>
      </w:r>
      <w:r w:rsidRPr="00DC689A">
        <w:rPr>
          <w:szCs w:val="22"/>
        </w:rPr>
        <w:t xml:space="preserve"> as modified by</w:t>
      </w:r>
      <w:r>
        <w:rPr>
          <w:szCs w:val="22"/>
        </w:rPr>
        <w:t xml:space="preserve"> two programmatic agreements </w:t>
      </w:r>
      <w:r w:rsidRPr="00377F57">
        <w:rPr>
          <w:szCs w:val="22"/>
        </w:rPr>
        <w:t>executed by the Commission with ACHP and the National Conference of State Historic Preservation Officers</w:t>
      </w:r>
      <w:r>
        <w:rPr>
          <w:szCs w:val="22"/>
        </w:rPr>
        <w:t xml:space="preserve"> (NCSHPO),</w:t>
      </w:r>
      <w:r w:rsidRPr="00377F57">
        <w:rPr>
          <w:szCs w:val="22"/>
          <w:vertAlign w:val="superscript"/>
        </w:rPr>
        <w:footnoteReference w:id="6"/>
      </w:r>
      <w:r>
        <w:rPr>
          <w:szCs w:val="22"/>
        </w:rPr>
        <w:t xml:space="preserve"> in order to determine whether certain undertakings will affect historic properties.</w:t>
      </w:r>
      <w:r w:rsidRPr="00DC689A">
        <w:rPr>
          <w:rStyle w:val="FootnoteReference"/>
          <w:szCs w:val="22"/>
        </w:rPr>
        <w:footnoteReference w:id="7"/>
      </w:r>
      <w:r>
        <w:rPr>
          <w:szCs w:val="22"/>
        </w:rPr>
        <w:t xml:space="preserve">  </w:t>
      </w:r>
      <w:r w:rsidRPr="00066B13">
        <w:rPr>
          <w:szCs w:val="22"/>
        </w:rPr>
        <w:t>The</w:t>
      </w:r>
      <w:r w:rsidR="001C1210">
        <w:rPr>
          <w:szCs w:val="22"/>
        </w:rPr>
        <w:t xml:space="preserve"> NPA</w:t>
      </w:r>
      <w:r w:rsidR="00B9327F">
        <w:rPr>
          <w:szCs w:val="22"/>
        </w:rPr>
        <w:t xml:space="preserve"> generally</w:t>
      </w:r>
      <w:r w:rsidR="001C1210">
        <w:rPr>
          <w:szCs w:val="22"/>
        </w:rPr>
        <w:t xml:space="preserve"> addresses new tower construction, and the</w:t>
      </w:r>
      <w:r w:rsidRPr="00066B13">
        <w:rPr>
          <w:szCs w:val="22"/>
        </w:rPr>
        <w:t xml:space="preserve"> Collocation Agreement</w:t>
      </w:r>
      <w:r w:rsidRPr="00E8688B">
        <w:rPr>
          <w:szCs w:val="22"/>
        </w:rPr>
        <w:t xml:space="preserve"> addresses historic preservation review for collocations on existing towers, buildings, and other non-tower structures.</w:t>
      </w:r>
      <w:r w:rsidRPr="00E8688B">
        <w:rPr>
          <w:rStyle w:val="FootnoteReference"/>
          <w:szCs w:val="22"/>
        </w:rPr>
        <w:footnoteReference w:id="8"/>
      </w:r>
      <w:r w:rsidRPr="00E8688B">
        <w:rPr>
          <w:szCs w:val="22"/>
        </w:rPr>
        <w:t xml:space="preserve">  Under the Collocation Agreement, most antenna collocations on existing structures are excluded from </w:t>
      </w:r>
      <w:r w:rsidR="004D1DC9">
        <w:rPr>
          <w:szCs w:val="22"/>
        </w:rPr>
        <w:t xml:space="preserve">Section 106 </w:t>
      </w:r>
      <w:r w:rsidRPr="00E8688B">
        <w:rPr>
          <w:szCs w:val="22"/>
        </w:rPr>
        <w:t>historic preservation review, with a few defined exceptions to address potentially problematic situations.</w:t>
      </w:r>
    </w:p>
    <w:p w14:paraId="46CFAA8E" w14:textId="77777777" w:rsidR="003B3030" w:rsidRDefault="003B3030" w:rsidP="003B3030">
      <w:pPr>
        <w:pStyle w:val="NoSpacing"/>
        <w:rPr>
          <w:szCs w:val="22"/>
        </w:rPr>
      </w:pPr>
    </w:p>
    <w:p w14:paraId="27CED14B" w14:textId="77777777" w:rsidR="003B3030" w:rsidRDefault="003B3030" w:rsidP="003B3030">
      <w:pPr>
        <w:ind w:firstLine="720"/>
        <w:rPr>
          <w:szCs w:val="22"/>
        </w:rPr>
      </w:pPr>
      <w:r w:rsidRPr="00BA14FE">
        <w:rPr>
          <w:szCs w:val="22"/>
        </w:rPr>
        <w:t xml:space="preserve">In the </w:t>
      </w:r>
      <w:r w:rsidRPr="00BA14FE">
        <w:rPr>
          <w:i/>
          <w:szCs w:val="22"/>
        </w:rPr>
        <w:t>Infrastructure Report and Order</w:t>
      </w:r>
      <w:r w:rsidRPr="00BA14FE">
        <w:rPr>
          <w:szCs w:val="22"/>
        </w:rPr>
        <w:t>, the Commission recognized that DAS networks and small cell facilities use components that are a fraction of the size of traditional cell tower deployments and can often be installed on utility poles, buildings, and other existing structures with</w:t>
      </w:r>
      <w:r w:rsidR="001C1210">
        <w:rPr>
          <w:szCs w:val="22"/>
        </w:rPr>
        <w:t xml:space="preserve"> limited or</w:t>
      </w:r>
      <w:r w:rsidRPr="00BA14FE">
        <w:rPr>
          <w:szCs w:val="22"/>
        </w:rPr>
        <w:t xml:space="preserve"> no potential to cause </w:t>
      </w:r>
      <w:r w:rsidR="002F7763">
        <w:rPr>
          <w:szCs w:val="22"/>
        </w:rPr>
        <w:t>adverse</w:t>
      </w:r>
      <w:r>
        <w:rPr>
          <w:szCs w:val="22"/>
        </w:rPr>
        <w:t xml:space="preserve"> </w:t>
      </w:r>
      <w:r w:rsidRPr="00BA14FE">
        <w:rPr>
          <w:szCs w:val="22"/>
        </w:rPr>
        <w:t>effects on historic properties.</w:t>
      </w:r>
      <w:r w:rsidRPr="00BA14FE">
        <w:rPr>
          <w:rStyle w:val="FootnoteReference"/>
          <w:szCs w:val="22"/>
        </w:rPr>
        <w:footnoteReference w:id="9"/>
      </w:r>
      <w:r w:rsidRPr="00BA14FE">
        <w:rPr>
          <w:szCs w:val="22"/>
        </w:rPr>
        <w:t xml:space="preserve">  Accordingly, </w:t>
      </w:r>
      <w:r w:rsidRPr="001C761F">
        <w:rPr>
          <w:szCs w:val="22"/>
        </w:rPr>
        <w:t xml:space="preserve">the Commission eliminated </w:t>
      </w:r>
      <w:r w:rsidR="003151C5">
        <w:rPr>
          <w:szCs w:val="22"/>
        </w:rPr>
        <w:t>some</w:t>
      </w:r>
      <w:r w:rsidRPr="001C761F">
        <w:rPr>
          <w:szCs w:val="22"/>
        </w:rPr>
        <w:t xml:space="preserve"> </w:t>
      </w:r>
      <w:r>
        <w:rPr>
          <w:szCs w:val="22"/>
        </w:rPr>
        <w:t xml:space="preserve">Section 106 </w:t>
      </w:r>
      <w:r w:rsidRPr="001C761F">
        <w:rPr>
          <w:szCs w:val="22"/>
        </w:rPr>
        <w:t xml:space="preserve">reviews of proposed deployments of small </w:t>
      </w:r>
      <w:r>
        <w:rPr>
          <w:szCs w:val="22"/>
        </w:rPr>
        <w:t xml:space="preserve">wireless </w:t>
      </w:r>
      <w:r w:rsidRPr="001C761F">
        <w:rPr>
          <w:szCs w:val="22"/>
        </w:rPr>
        <w:t>communications facilities by adopting two targeted exclusions from Section 106 review for certain small</w:t>
      </w:r>
      <w:r w:rsidR="004D1DC9">
        <w:rPr>
          <w:szCs w:val="22"/>
        </w:rPr>
        <w:t>-</w:t>
      </w:r>
      <w:r w:rsidRPr="001C761F">
        <w:rPr>
          <w:szCs w:val="22"/>
        </w:rPr>
        <w:t>facility collocations on utility structures and on buildings and other non-tower structures, provided that they meet certain specified criteria.</w:t>
      </w:r>
      <w:r w:rsidRPr="001C761F">
        <w:rPr>
          <w:rStyle w:val="FootnoteReference"/>
          <w:szCs w:val="22"/>
        </w:rPr>
        <w:footnoteReference w:id="10"/>
      </w:r>
      <w:r w:rsidRPr="00BA14FE">
        <w:rPr>
          <w:szCs w:val="22"/>
        </w:rPr>
        <w:t xml:space="preserve">  The Commission </w:t>
      </w:r>
      <w:r w:rsidR="007D28D1">
        <w:rPr>
          <w:szCs w:val="22"/>
        </w:rPr>
        <w:t xml:space="preserve">also </w:t>
      </w:r>
      <w:r>
        <w:rPr>
          <w:szCs w:val="22"/>
        </w:rPr>
        <w:t>stated</w:t>
      </w:r>
      <w:r w:rsidRPr="00BA14FE">
        <w:rPr>
          <w:szCs w:val="22"/>
        </w:rPr>
        <w:t xml:space="preserve"> that there is room for additional </w:t>
      </w:r>
      <w:r w:rsidR="00311E81">
        <w:rPr>
          <w:szCs w:val="22"/>
        </w:rPr>
        <w:t>improvement</w:t>
      </w:r>
      <w:r w:rsidRPr="00BA14FE">
        <w:rPr>
          <w:szCs w:val="22"/>
        </w:rPr>
        <w:t xml:space="preserve"> in this area, and </w:t>
      </w:r>
      <w:r>
        <w:rPr>
          <w:szCs w:val="22"/>
        </w:rPr>
        <w:t>determined</w:t>
      </w:r>
      <w:r w:rsidRPr="00BA14FE">
        <w:rPr>
          <w:szCs w:val="22"/>
        </w:rPr>
        <w:t xml:space="preserve"> that any more</w:t>
      </w:r>
      <w:r>
        <w:rPr>
          <w:szCs w:val="22"/>
        </w:rPr>
        <w:t xml:space="preserve"> </w:t>
      </w:r>
      <w:r w:rsidRPr="00BA14FE">
        <w:rPr>
          <w:szCs w:val="22"/>
        </w:rPr>
        <w:t xml:space="preserve">comprehensive measures would require additional consideration and consultation and </w:t>
      </w:r>
      <w:r>
        <w:rPr>
          <w:szCs w:val="22"/>
        </w:rPr>
        <w:t xml:space="preserve">would be </w:t>
      </w:r>
      <w:r w:rsidRPr="00BA14FE">
        <w:rPr>
          <w:szCs w:val="22"/>
        </w:rPr>
        <w:t>more appropriately addressed and developed through the program alternative process.</w:t>
      </w:r>
      <w:r w:rsidRPr="00BA14FE">
        <w:rPr>
          <w:rStyle w:val="FootnoteReference"/>
          <w:szCs w:val="22"/>
        </w:rPr>
        <w:footnoteReference w:id="11"/>
      </w:r>
      <w:r>
        <w:rPr>
          <w:szCs w:val="22"/>
        </w:rPr>
        <w:t xml:space="preserve">  </w:t>
      </w:r>
      <w:r w:rsidRPr="00BA14FE">
        <w:rPr>
          <w:szCs w:val="22"/>
        </w:rPr>
        <w:t xml:space="preserve">The Commission committed to work with ACHP and other </w:t>
      </w:r>
      <w:r w:rsidR="005A74A7">
        <w:rPr>
          <w:szCs w:val="22"/>
        </w:rPr>
        <w:t xml:space="preserve">interested parties </w:t>
      </w:r>
      <w:r w:rsidRPr="00BA14FE">
        <w:rPr>
          <w:szCs w:val="22"/>
        </w:rPr>
        <w:t xml:space="preserve">to develop a program alternative to promote additional </w:t>
      </w:r>
      <w:r>
        <w:rPr>
          <w:szCs w:val="22"/>
        </w:rPr>
        <w:t xml:space="preserve">appropriate </w:t>
      </w:r>
      <w:r w:rsidRPr="00BA14FE">
        <w:rPr>
          <w:szCs w:val="22"/>
        </w:rPr>
        <w:t>efficiencies in the historic preservation review of DAS and small-cell deployments.</w:t>
      </w:r>
      <w:r w:rsidRPr="00BA14FE">
        <w:rPr>
          <w:rStyle w:val="FootnoteReference"/>
          <w:szCs w:val="22"/>
        </w:rPr>
        <w:footnoteReference w:id="12"/>
      </w:r>
      <w:r w:rsidRPr="00BA14FE">
        <w:rPr>
          <w:szCs w:val="22"/>
        </w:rPr>
        <w:t xml:space="preserve">  </w:t>
      </w:r>
    </w:p>
    <w:p w14:paraId="443FFD91" w14:textId="77777777" w:rsidR="003B3030" w:rsidRDefault="003B3030" w:rsidP="003B3030">
      <w:pPr>
        <w:ind w:firstLine="720"/>
        <w:rPr>
          <w:szCs w:val="22"/>
        </w:rPr>
      </w:pPr>
    </w:p>
    <w:p w14:paraId="65EF7CEA" w14:textId="77777777" w:rsidR="003B3030" w:rsidRPr="00594E8A" w:rsidRDefault="003B3030" w:rsidP="003B3030">
      <w:pPr>
        <w:ind w:firstLine="720"/>
        <w:rPr>
          <w:szCs w:val="22"/>
        </w:rPr>
      </w:pPr>
      <w:r>
        <w:rPr>
          <w:szCs w:val="22"/>
        </w:rPr>
        <w:t xml:space="preserve">Our proposal to </w:t>
      </w:r>
      <w:r w:rsidRPr="00594E8A">
        <w:rPr>
          <w:szCs w:val="22"/>
        </w:rPr>
        <w:t>amend the Collocation Agreement</w:t>
      </w:r>
      <w:r>
        <w:rPr>
          <w:szCs w:val="22"/>
        </w:rPr>
        <w:t xml:space="preserve"> </w:t>
      </w:r>
      <w:r w:rsidR="000E06BE">
        <w:rPr>
          <w:szCs w:val="22"/>
        </w:rPr>
        <w:t>modifies an existing</w:t>
      </w:r>
      <w:r w:rsidRPr="00594E8A">
        <w:rPr>
          <w:szCs w:val="22"/>
        </w:rPr>
        <w:t xml:space="preserve"> program alternative </w:t>
      </w:r>
      <w:r w:rsidR="000E06BE">
        <w:rPr>
          <w:szCs w:val="22"/>
        </w:rPr>
        <w:t>established in accordance with</w:t>
      </w:r>
      <w:r w:rsidRPr="00594E8A">
        <w:rPr>
          <w:szCs w:val="22"/>
        </w:rPr>
        <w:t xml:space="preserve"> </w:t>
      </w:r>
      <w:r w:rsidRPr="00B83F53">
        <w:rPr>
          <w:szCs w:val="22"/>
        </w:rPr>
        <w:t xml:space="preserve">Section 800.14 </w:t>
      </w:r>
      <w:r w:rsidRPr="00594E8A">
        <w:rPr>
          <w:szCs w:val="22"/>
        </w:rPr>
        <w:t>of ACHP</w:t>
      </w:r>
      <w:r>
        <w:rPr>
          <w:szCs w:val="22"/>
        </w:rPr>
        <w:t>’s rules</w:t>
      </w:r>
      <w:r w:rsidRPr="00594E8A">
        <w:rPr>
          <w:szCs w:val="22"/>
        </w:rPr>
        <w:t>.</w:t>
      </w:r>
      <w:r w:rsidRPr="00594E8A">
        <w:rPr>
          <w:szCs w:val="22"/>
          <w:vertAlign w:val="superscript"/>
        </w:rPr>
        <w:footnoteReference w:id="13"/>
      </w:r>
      <w:r w:rsidRPr="00594E8A">
        <w:rPr>
          <w:szCs w:val="22"/>
        </w:rPr>
        <w:t xml:space="preserve">  </w:t>
      </w:r>
      <w:r w:rsidR="000E06BE">
        <w:rPr>
          <w:szCs w:val="22"/>
        </w:rPr>
        <w:t>T</w:t>
      </w:r>
      <w:r w:rsidRPr="00594E8A">
        <w:rPr>
          <w:szCs w:val="22"/>
        </w:rPr>
        <w:t>he Collocation Agreement</w:t>
      </w:r>
      <w:r w:rsidR="000E06BE">
        <w:rPr>
          <w:szCs w:val="22"/>
        </w:rPr>
        <w:t xml:space="preserve"> establishes procedures for its </w:t>
      </w:r>
      <w:r w:rsidR="0046569D">
        <w:rPr>
          <w:szCs w:val="22"/>
        </w:rPr>
        <w:t>amendment</w:t>
      </w:r>
      <w:r w:rsidRPr="00594E8A">
        <w:rPr>
          <w:szCs w:val="22"/>
        </w:rPr>
        <w:t>,</w:t>
      </w:r>
      <w:r w:rsidR="0046569D">
        <w:rPr>
          <w:rStyle w:val="FootnoteReference"/>
          <w:szCs w:val="22"/>
        </w:rPr>
        <w:footnoteReference w:id="14"/>
      </w:r>
      <w:r w:rsidRPr="00594E8A">
        <w:rPr>
          <w:szCs w:val="22"/>
        </w:rPr>
        <w:t xml:space="preserve"> </w:t>
      </w:r>
      <w:r w:rsidR="000E06BE">
        <w:rPr>
          <w:szCs w:val="22"/>
        </w:rPr>
        <w:t xml:space="preserve">and ACHP’s rules </w:t>
      </w:r>
      <w:r w:rsidRPr="00594E8A">
        <w:rPr>
          <w:szCs w:val="22"/>
        </w:rPr>
        <w:t xml:space="preserve">require </w:t>
      </w:r>
      <w:r w:rsidR="00E63186">
        <w:rPr>
          <w:szCs w:val="22"/>
        </w:rPr>
        <w:t>that we</w:t>
      </w:r>
      <w:r w:rsidRPr="00594E8A">
        <w:rPr>
          <w:szCs w:val="22"/>
        </w:rPr>
        <w:t xml:space="preserve"> arrange for public participation appropriate to the subject matter and the scope of the category of covered undertakings.</w:t>
      </w:r>
      <w:r w:rsidRPr="00594E8A">
        <w:rPr>
          <w:szCs w:val="22"/>
          <w:vertAlign w:val="superscript"/>
        </w:rPr>
        <w:footnoteReference w:id="15"/>
      </w:r>
      <w:r w:rsidRPr="00594E8A">
        <w:rPr>
          <w:szCs w:val="22"/>
        </w:rPr>
        <w:t xml:space="preserve">  </w:t>
      </w:r>
      <w:r>
        <w:rPr>
          <w:szCs w:val="22"/>
        </w:rPr>
        <w:t>Accordingly, on</w:t>
      </w:r>
      <w:r w:rsidRPr="00594E8A">
        <w:rPr>
          <w:szCs w:val="22"/>
        </w:rPr>
        <w:t xml:space="preserve"> July 28, 2015, the Bureau formally commenced this proceeding by releasing the Public Notice and Section 106 Scoping Document, inviting comment on amend</w:t>
      </w:r>
      <w:r>
        <w:rPr>
          <w:szCs w:val="22"/>
        </w:rPr>
        <w:t>ing</w:t>
      </w:r>
      <w:r w:rsidRPr="00594E8A">
        <w:rPr>
          <w:szCs w:val="22"/>
        </w:rPr>
        <w:t xml:space="preserve"> the Collocation Agreement to facilitate the review process for deployments of small wireless communications facilities under Section 106 of the NHPA.</w:t>
      </w:r>
      <w:r w:rsidRPr="00594E8A">
        <w:rPr>
          <w:szCs w:val="22"/>
          <w:vertAlign w:val="superscript"/>
        </w:rPr>
        <w:footnoteReference w:id="16"/>
      </w:r>
      <w:r w:rsidRPr="00594E8A">
        <w:rPr>
          <w:szCs w:val="22"/>
        </w:rPr>
        <w:t xml:space="preserve">  </w:t>
      </w:r>
    </w:p>
    <w:p w14:paraId="2F9803A9" w14:textId="77777777" w:rsidR="003B3030" w:rsidRPr="00594E8A" w:rsidRDefault="003B3030" w:rsidP="003B3030">
      <w:pPr>
        <w:ind w:firstLine="720"/>
        <w:rPr>
          <w:szCs w:val="22"/>
        </w:rPr>
      </w:pPr>
    </w:p>
    <w:p w14:paraId="75D13E63" w14:textId="77777777" w:rsidR="003B3030" w:rsidRPr="00594E8A" w:rsidRDefault="003B3030" w:rsidP="003B3030">
      <w:pPr>
        <w:ind w:firstLine="720"/>
        <w:rPr>
          <w:szCs w:val="22"/>
        </w:rPr>
      </w:pPr>
      <w:r w:rsidRPr="00594E8A">
        <w:rPr>
          <w:szCs w:val="22"/>
        </w:rPr>
        <w:t xml:space="preserve">We developed </w:t>
      </w:r>
      <w:r>
        <w:rPr>
          <w:szCs w:val="22"/>
        </w:rPr>
        <w:t xml:space="preserve">our specific </w:t>
      </w:r>
      <w:r w:rsidRPr="00594E8A">
        <w:rPr>
          <w:szCs w:val="22"/>
        </w:rPr>
        <w:t>propos</w:t>
      </w:r>
      <w:r>
        <w:rPr>
          <w:szCs w:val="22"/>
        </w:rPr>
        <w:t>al for</w:t>
      </w:r>
      <w:r w:rsidRPr="00594E8A">
        <w:rPr>
          <w:szCs w:val="22"/>
        </w:rPr>
        <w:t xml:space="preserve"> amend</w:t>
      </w:r>
      <w:r>
        <w:rPr>
          <w:szCs w:val="22"/>
        </w:rPr>
        <w:t>ing</w:t>
      </w:r>
      <w:r w:rsidRPr="00594E8A">
        <w:rPr>
          <w:szCs w:val="22"/>
        </w:rPr>
        <w:t xml:space="preserve"> the Collocation Agreement</w:t>
      </w:r>
      <w:r>
        <w:rPr>
          <w:szCs w:val="22"/>
        </w:rPr>
        <w:t>,</w:t>
      </w:r>
      <w:r w:rsidRPr="00594E8A">
        <w:rPr>
          <w:szCs w:val="22"/>
        </w:rPr>
        <w:t xml:space="preserve"> in Appendix A of this Public Notice</w:t>
      </w:r>
      <w:r>
        <w:rPr>
          <w:szCs w:val="22"/>
        </w:rPr>
        <w:t>,</w:t>
      </w:r>
      <w:r w:rsidRPr="00594E8A">
        <w:rPr>
          <w:szCs w:val="22"/>
        </w:rPr>
        <w:t xml:space="preserve"> after considering the comments filed in response to the </w:t>
      </w:r>
      <w:r>
        <w:rPr>
          <w:szCs w:val="22"/>
        </w:rPr>
        <w:t>Section 106 S</w:t>
      </w:r>
      <w:r w:rsidRPr="00594E8A">
        <w:rPr>
          <w:szCs w:val="22"/>
        </w:rPr>
        <w:t xml:space="preserve">coping </w:t>
      </w:r>
      <w:r>
        <w:rPr>
          <w:szCs w:val="22"/>
        </w:rPr>
        <w:t>D</w:t>
      </w:r>
      <w:r w:rsidRPr="00594E8A">
        <w:rPr>
          <w:szCs w:val="22"/>
        </w:rPr>
        <w:t>ocument and</w:t>
      </w:r>
      <w:r w:rsidR="00A24EFC">
        <w:rPr>
          <w:szCs w:val="22"/>
        </w:rPr>
        <w:t xml:space="preserve"> additional</w:t>
      </w:r>
      <w:r w:rsidRPr="00594E8A">
        <w:rPr>
          <w:szCs w:val="22"/>
        </w:rPr>
        <w:t xml:space="preserve"> information provided at meetings with industry</w:t>
      </w:r>
      <w:r w:rsidR="00A24EFC">
        <w:rPr>
          <w:szCs w:val="22"/>
        </w:rPr>
        <w:t xml:space="preserve"> representatives</w:t>
      </w:r>
      <w:r w:rsidRPr="00594E8A">
        <w:rPr>
          <w:szCs w:val="22"/>
        </w:rPr>
        <w:t xml:space="preserve"> and other </w:t>
      </w:r>
      <w:r w:rsidR="005A74A7">
        <w:rPr>
          <w:szCs w:val="22"/>
        </w:rPr>
        <w:t>interested parties</w:t>
      </w:r>
      <w:r w:rsidR="00A24EFC">
        <w:rPr>
          <w:szCs w:val="22"/>
        </w:rPr>
        <w:t xml:space="preserve">.  In particular, our proposal has been informed by </w:t>
      </w:r>
      <w:r w:rsidR="003704E8">
        <w:rPr>
          <w:szCs w:val="22"/>
        </w:rPr>
        <w:t xml:space="preserve">engagement </w:t>
      </w:r>
      <w:r w:rsidRPr="00594E8A">
        <w:rPr>
          <w:szCs w:val="22"/>
        </w:rPr>
        <w:t>with</w:t>
      </w:r>
      <w:r w:rsidR="00A24EFC">
        <w:rPr>
          <w:szCs w:val="22"/>
        </w:rPr>
        <w:t xml:space="preserve"> ACHP,</w:t>
      </w:r>
      <w:r w:rsidRPr="00594E8A">
        <w:rPr>
          <w:szCs w:val="22"/>
        </w:rPr>
        <w:t xml:space="preserve"> </w:t>
      </w:r>
      <w:r w:rsidR="00311E81">
        <w:rPr>
          <w:szCs w:val="22"/>
        </w:rPr>
        <w:t>State Historic Preservation Officers (</w:t>
      </w:r>
      <w:r w:rsidRPr="00594E8A">
        <w:rPr>
          <w:szCs w:val="22"/>
        </w:rPr>
        <w:t>SHPOs</w:t>
      </w:r>
      <w:r w:rsidR="00311E81">
        <w:rPr>
          <w:szCs w:val="22"/>
        </w:rPr>
        <w:t>)</w:t>
      </w:r>
      <w:r w:rsidRPr="00594E8A">
        <w:rPr>
          <w:szCs w:val="22"/>
        </w:rPr>
        <w:t xml:space="preserve">, </w:t>
      </w:r>
      <w:r>
        <w:rPr>
          <w:szCs w:val="22"/>
        </w:rPr>
        <w:t>Tribal Historic Preservation Officers (</w:t>
      </w:r>
      <w:r w:rsidRPr="00594E8A">
        <w:rPr>
          <w:szCs w:val="22"/>
        </w:rPr>
        <w:t>THPOs</w:t>
      </w:r>
      <w:r>
        <w:rPr>
          <w:szCs w:val="22"/>
        </w:rPr>
        <w:t>)</w:t>
      </w:r>
      <w:r w:rsidRPr="00594E8A">
        <w:rPr>
          <w:szCs w:val="22"/>
        </w:rPr>
        <w:t xml:space="preserve">, and Tribal Nations.  In accordance with ACHP’s requirements, </w:t>
      </w:r>
      <w:r>
        <w:rPr>
          <w:szCs w:val="22"/>
        </w:rPr>
        <w:t>this Public Notice seeks comment</w:t>
      </w:r>
      <w:r w:rsidRPr="00594E8A">
        <w:rPr>
          <w:szCs w:val="22"/>
        </w:rPr>
        <w:t xml:space="preserve"> on the proposed </w:t>
      </w:r>
      <w:r w:rsidR="002C56CC">
        <w:rPr>
          <w:szCs w:val="22"/>
        </w:rPr>
        <w:t>Amended</w:t>
      </w:r>
      <w:r w:rsidRPr="00594E8A">
        <w:rPr>
          <w:szCs w:val="22"/>
        </w:rPr>
        <w:t xml:space="preserve"> Collocation Agreement</w:t>
      </w:r>
      <w:r w:rsidR="001E057F">
        <w:rPr>
          <w:szCs w:val="22"/>
        </w:rPr>
        <w:t>;</w:t>
      </w:r>
      <w:r w:rsidRPr="00594E8A">
        <w:rPr>
          <w:szCs w:val="22"/>
        </w:rPr>
        <w:t xml:space="preserve"> </w:t>
      </w:r>
      <w:r>
        <w:rPr>
          <w:szCs w:val="22"/>
        </w:rPr>
        <w:t xml:space="preserve">we </w:t>
      </w:r>
      <w:r w:rsidRPr="00594E8A">
        <w:rPr>
          <w:szCs w:val="22"/>
        </w:rPr>
        <w:t>will</w:t>
      </w:r>
      <w:r w:rsidR="001E057F">
        <w:rPr>
          <w:szCs w:val="22"/>
        </w:rPr>
        <w:t xml:space="preserve"> also</w:t>
      </w:r>
      <w:r w:rsidRPr="00594E8A">
        <w:rPr>
          <w:szCs w:val="22"/>
        </w:rPr>
        <w:t xml:space="preserve"> publish notice of the proposed </w:t>
      </w:r>
      <w:r w:rsidR="002C56CC">
        <w:rPr>
          <w:szCs w:val="22"/>
        </w:rPr>
        <w:t>Amended Collocation Agreement</w:t>
      </w:r>
      <w:r w:rsidRPr="00594E8A">
        <w:rPr>
          <w:szCs w:val="22"/>
        </w:rPr>
        <w:t xml:space="preserve"> in the Federal Register, giving all </w:t>
      </w:r>
      <w:r w:rsidR="005A74A7">
        <w:rPr>
          <w:szCs w:val="22"/>
        </w:rPr>
        <w:t xml:space="preserve">interested parties </w:t>
      </w:r>
      <w:r w:rsidRPr="00594E8A">
        <w:rPr>
          <w:szCs w:val="22"/>
        </w:rPr>
        <w:t>an opportunity to comment on the record at the decisional stage.</w:t>
      </w:r>
      <w:r w:rsidRPr="00594E8A">
        <w:rPr>
          <w:szCs w:val="22"/>
          <w:vertAlign w:val="superscript"/>
        </w:rPr>
        <w:footnoteReference w:id="17"/>
      </w:r>
      <w:r w:rsidRPr="00594E8A">
        <w:rPr>
          <w:szCs w:val="22"/>
        </w:rPr>
        <w:t xml:space="preserve">  </w:t>
      </w:r>
    </w:p>
    <w:p w14:paraId="77534D8E" w14:textId="77777777" w:rsidR="003B3030" w:rsidRPr="00594E8A" w:rsidRDefault="003B3030" w:rsidP="003B3030">
      <w:pPr>
        <w:ind w:firstLine="720"/>
        <w:rPr>
          <w:szCs w:val="22"/>
        </w:rPr>
      </w:pPr>
    </w:p>
    <w:p w14:paraId="51D32883" w14:textId="77777777" w:rsidR="003B3030" w:rsidRPr="00594E8A" w:rsidRDefault="003B3030" w:rsidP="003B3030">
      <w:pPr>
        <w:ind w:firstLine="720"/>
        <w:rPr>
          <w:szCs w:val="22"/>
        </w:rPr>
      </w:pPr>
      <w:r w:rsidRPr="00594E8A">
        <w:rPr>
          <w:szCs w:val="22"/>
        </w:rPr>
        <w:t>After considering the comments received in response to this Public Notice</w:t>
      </w:r>
      <w:r w:rsidR="002B2917" w:rsidRPr="002B2917">
        <w:rPr>
          <w:szCs w:val="22"/>
        </w:rPr>
        <w:t xml:space="preserve">, </w:t>
      </w:r>
      <w:r w:rsidRPr="00594E8A">
        <w:rPr>
          <w:szCs w:val="22"/>
        </w:rPr>
        <w:t xml:space="preserve">we expect to submit a proposed </w:t>
      </w:r>
      <w:r w:rsidR="00B3401C">
        <w:rPr>
          <w:szCs w:val="22"/>
        </w:rPr>
        <w:t xml:space="preserve">Amended </w:t>
      </w:r>
      <w:r w:rsidRPr="00594E8A">
        <w:rPr>
          <w:szCs w:val="22"/>
        </w:rPr>
        <w:t>Collocation Agreement to the</w:t>
      </w:r>
      <w:r w:rsidR="00331647">
        <w:rPr>
          <w:szCs w:val="22"/>
        </w:rPr>
        <w:t xml:space="preserve"> other original signatories:</w:t>
      </w:r>
      <w:r w:rsidRPr="00594E8A">
        <w:rPr>
          <w:szCs w:val="22"/>
        </w:rPr>
        <w:t xml:space="preserve"> ACHP and NCSHPO.</w:t>
      </w:r>
    </w:p>
    <w:p w14:paraId="2CC60108" w14:textId="77777777" w:rsidR="003B3030" w:rsidRDefault="003B3030" w:rsidP="003B3030">
      <w:pPr>
        <w:ind w:firstLine="720"/>
        <w:rPr>
          <w:szCs w:val="22"/>
        </w:rPr>
      </w:pPr>
    </w:p>
    <w:p w14:paraId="432268C5" w14:textId="2F40B904" w:rsidR="003B3030" w:rsidRDefault="003B3030" w:rsidP="00A30837">
      <w:pPr>
        <w:ind w:firstLine="720"/>
        <w:rPr>
          <w:szCs w:val="22"/>
        </w:rPr>
      </w:pPr>
      <w:r w:rsidRPr="00066B13">
        <w:rPr>
          <w:szCs w:val="22"/>
        </w:rPr>
        <w:t xml:space="preserve">The </w:t>
      </w:r>
      <w:r>
        <w:rPr>
          <w:szCs w:val="22"/>
        </w:rPr>
        <w:t>proposed</w:t>
      </w:r>
      <w:r w:rsidRPr="00066B13">
        <w:rPr>
          <w:szCs w:val="22"/>
        </w:rPr>
        <w:t xml:space="preserve"> </w:t>
      </w:r>
      <w:r w:rsidR="002C56CC">
        <w:rPr>
          <w:szCs w:val="22"/>
        </w:rPr>
        <w:t>Amended</w:t>
      </w:r>
      <w:r w:rsidRPr="00066B13">
        <w:rPr>
          <w:szCs w:val="22"/>
        </w:rPr>
        <w:t xml:space="preserve"> Collocation Agreement </w:t>
      </w:r>
      <w:r>
        <w:rPr>
          <w:szCs w:val="22"/>
        </w:rPr>
        <w:t xml:space="preserve">in Appendix A of this Public Notice would </w:t>
      </w:r>
      <w:r w:rsidRPr="00066B13">
        <w:rPr>
          <w:szCs w:val="22"/>
        </w:rPr>
        <w:t>supplement the two targeted exclusions from Section 106 review</w:t>
      </w:r>
      <w:r>
        <w:rPr>
          <w:szCs w:val="22"/>
        </w:rPr>
        <w:t xml:space="preserve"> and the NPA</w:t>
      </w:r>
      <w:r w:rsidRPr="00066B13">
        <w:rPr>
          <w:szCs w:val="22"/>
        </w:rPr>
        <w:t xml:space="preserve"> that the Commission adopted in the </w:t>
      </w:r>
      <w:r w:rsidRPr="00066B13">
        <w:rPr>
          <w:i/>
          <w:szCs w:val="22"/>
        </w:rPr>
        <w:t>Infrastructure Report and Order</w:t>
      </w:r>
      <w:r w:rsidRPr="00066B13">
        <w:rPr>
          <w:szCs w:val="22"/>
        </w:rPr>
        <w:t xml:space="preserve"> for DAS and small cell deployments, as well as the exclusions set forth in the Collocation Agreement</w:t>
      </w:r>
      <w:r>
        <w:rPr>
          <w:szCs w:val="22"/>
        </w:rPr>
        <w:t>, as adopted in 2001</w:t>
      </w:r>
      <w:r w:rsidRPr="00066B13">
        <w:rPr>
          <w:szCs w:val="22"/>
        </w:rPr>
        <w:t xml:space="preserve">.  </w:t>
      </w:r>
      <w:r w:rsidR="00331647">
        <w:rPr>
          <w:szCs w:val="22"/>
        </w:rPr>
        <w:t>As summarized below, t</w:t>
      </w:r>
      <w:r>
        <w:rPr>
          <w:szCs w:val="22"/>
        </w:rPr>
        <w:t xml:space="preserve">he proposed </w:t>
      </w:r>
      <w:r w:rsidR="002C56CC">
        <w:rPr>
          <w:szCs w:val="22"/>
        </w:rPr>
        <w:t>Amended Collocation Agreement</w:t>
      </w:r>
      <w:r>
        <w:rPr>
          <w:szCs w:val="22"/>
        </w:rPr>
        <w:t xml:space="preserve"> </w:t>
      </w:r>
      <w:r w:rsidR="00AB0E32">
        <w:rPr>
          <w:szCs w:val="22"/>
        </w:rPr>
        <w:t>would</w:t>
      </w:r>
      <w:r w:rsidRPr="00A8524C">
        <w:rPr>
          <w:szCs w:val="22"/>
        </w:rPr>
        <w:t xml:space="preserve"> tailor the Section 106 process for DAS and small cell deployments by excluding deployments that </w:t>
      </w:r>
      <w:r w:rsidR="00AB0E32">
        <w:rPr>
          <w:szCs w:val="22"/>
        </w:rPr>
        <w:t>have</w:t>
      </w:r>
      <w:r w:rsidRPr="00A8524C">
        <w:rPr>
          <w:szCs w:val="22"/>
        </w:rPr>
        <w:t xml:space="preserve"> minimal potential for adverse effects on historic properties.  </w:t>
      </w:r>
      <w:r w:rsidR="000326B2" w:rsidRPr="000326B2">
        <w:rPr>
          <w:szCs w:val="22"/>
        </w:rPr>
        <w:t>Illustrati</w:t>
      </w:r>
      <w:r w:rsidR="000326B2">
        <w:rPr>
          <w:szCs w:val="22"/>
        </w:rPr>
        <w:t>ve examples</w:t>
      </w:r>
      <w:r w:rsidR="000326B2" w:rsidRPr="000326B2">
        <w:rPr>
          <w:szCs w:val="22"/>
        </w:rPr>
        <w:t xml:space="preserve"> of small facility designs are attached as Appendix B.  In addition, </w:t>
      </w:r>
      <w:r w:rsidR="000326B2">
        <w:rPr>
          <w:szCs w:val="22"/>
        </w:rPr>
        <w:t>illustrative examples</w:t>
      </w:r>
      <w:r w:rsidR="000326B2" w:rsidRPr="000326B2">
        <w:rPr>
          <w:szCs w:val="22"/>
        </w:rPr>
        <w:t xml:space="preserve"> of small facility deployments may be viewed at </w:t>
      </w:r>
      <w:hyperlink r:id="rId8" w:history="1">
        <w:r w:rsidR="000326B2" w:rsidRPr="00063EE3">
          <w:rPr>
            <w:rStyle w:val="Hyperlink"/>
            <w:szCs w:val="22"/>
          </w:rPr>
          <w:t>https://www.fcc.gov/file/3813/download</w:t>
        </w:r>
      </w:hyperlink>
      <w:r w:rsidR="000326B2" w:rsidRPr="000326B2">
        <w:rPr>
          <w:szCs w:val="22"/>
        </w:rPr>
        <w:t>.</w:t>
      </w:r>
    </w:p>
    <w:p w14:paraId="1A1A37BE" w14:textId="77777777" w:rsidR="003B3030" w:rsidRDefault="003B3030" w:rsidP="003B3030">
      <w:pPr>
        <w:ind w:firstLine="720"/>
        <w:rPr>
          <w:szCs w:val="22"/>
        </w:rPr>
      </w:pPr>
    </w:p>
    <w:p w14:paraId="7AD93642" w14:textId="3711B4C1" w:rsidR="003B3030" w:rsidRDefault="003B3030" w:rsidP="003B3030">
      <w:pPr>
        <w:rPr>
          <w:szCs w:val="22"/>
        </w:rPr>
      </w:pPr>
      <w:r>
        <w:rPr>
          <w:szCs w:val="22"/>
        </w:rPr>
        <w:tab/>
      </w:r>
      <w:r>
        <w:rPr>
          <w:i/>
          <w:szCs w:val="22"/>
        </w:rPr>
        <w:t xml:space="preserve">Exclusion Relating to the Collocation of Small Wireless </w:t>
      </w:r>
      <w:r w:rsidR="00912B40">
        <w:rPr>
          <w:i/>
          <w:szCs w:val="22"/>
        </w:rPr>
        <w:t>Antennas and Associated Equipment</w:t>
      </w:r>
      <w:r>
        <w:rPr>
          <w:i/>
          <w:szCs w:val="22"/>
        </w:rPr>
        <w:t xml:space="preserve"> on Buildings and Non-Tower Structures Outside of Historic Districts</w:t>
      </w:r>
      <w:r>
        <w:rPr>
          <w:szCs w:val="22"/>
        </w:rPr>
        <w:t xml:space="preserve">.  </w:t>
      </w:r>
      <w:r w:rsidRPr="004D3EF9">
        <w:rPr>
          <w:szCs w:val="22"/>
        </w:rPr>
        <w:t xml:space="preserve">The current Collocation Agreement provides </w:t>
      </w:r>
      <w:r>
        <w:rPr>
          <w:szCs w:val="22"/>
        </w:rPr>
        <w:t xml:space="preserve">an exclusion for collocations, outside of historic districts, </w:t>
      </w:r>
      <w:r w:rsidRPr="004D3EF9">
        <w:rPr>
          <w:szCs w:val="22"/>
        </w:rPr>
        <w:t xml:space="preserve">on buildings and non-tower structures that are not over 45 years of age.  </w:t>
      </w:r>
      <w:r>
        <w:rPr>
          <w:szCs w:val="22"/>
        </w:rPr>
        <w:t xml:space="preserve">The proposed amendment to the Collocation Agreement would add new </w:t>
      </w:r>
      <w:r w:rsidR="009A4E06">
        <w:rPr>
          <w:szCs w:val="22"/>
        </w:rPr>
        <w:t>Stipulation</w:t>
      </w:r>
      <w:r>
        <w:rPr>
          <w:szCs w:val="22"/>
        </w:rPr>
        <w:t xml:space="preserve"> VI, which </w:t>
      </w:r>
      <w:r w:rsidR="00912EB5">
        <w:rPr>
          <w:szCs w:val="22"/>
        </w:rPr>
        <w:t>establishes</w:t>
      </w:r>
      <w:r>
        <w:rPr>
          <w:szCs w:val="22"/>
        </w:rPr>
        <w:t xml:space="preserve"> an exclusion for small </w:t>
      </w:r>
      <w:r w:rsidR="00912B40">
        <w:rPr>
          <w:szCs w:val="22"/>
        </w:rPr>
        <w:t>wireless</w:t>
      </w:r>
      <w:r w:rsidR="0004563D">
        <w:rPr>
          <w:szCs w:val="22"/>
        </w:rPr>
        <w:t xml:space="preserve"> antennas and associated equipment</w:t>
      </w:r>
      <w:r>
        <w:rPr>
          <w:szCs w:val="22"/>
        </w:rPr>
        <w:t xml:space="preserve"> </w:t>
      </w:r>
      <w:r w:rsidR="0004563D">
        <w:rPr>
          <w:szCs w:val="22"/>
        </w:rPr>
        <w:t>mounted</w:t>
      </w:r>
      <w:r>
        <w:rPr>
          <w:szCs w:val="22"/>
        </w:rPr>
        <w:t xml:space="preserve"> on buildings or non-tower structures</w:t>
      </w:r>
      <w:r w:rsidR="0004563D">
        <w:rPr>
          <w:szCs w:val="22"/>
        </w:rPr>
        <w:t xml:space="preserve"> or in the interior of building</w:t>
      </w:r>
      <w:r w:rsidR="00B9327F">
        <w:rPr>
          <w:szCs w:val="22"/>
        </w:rPr>
        <w:t>s</w:t>
      </w:r>
      <w:r>
        <w:rPr>
          <w:szCs w:val="22"/>
        </w:rPr>
        <w:t xml:space="preserve"> </w:t>
      </w:r>
      <w:r w:rsidR="0013123E">
        <w:rPr>
          <w:szCs w:val="22"/>
        </w:rPr>
        <w:t>that</w:t>
      </w:r>
      <w:r>
        <w:rPr>
          <w:szCs w:val="22"/>
        </w:rPr>
        <w:t xml:space="preserve"> are over 45 years of age </w:t>
      </w:r>
      <w:r w:rsidR="0013123E">
        <w:rPr>
          <w:szCs w:val="22"/>
        </w:rPr>
        <w:t>if they</w:t>
      </w:r>
      <w:r>
        <w:rPr>
          <w:szCs w:val="22"/>
        </w:rPr>
        <w:t xml:space="preserve"> are</w:t>
      </w:r>
      <w:r w:rsidR="00E61D4B">
        <w:rPr>
          <w:szCs w:val="22"/>
        </w:rPr>
        <w:t xml:space="preserve"> not historic properties and are</w:t>
      </w:r>
      <w:r w:rsidRPr="004E5F40">
        <w:t xml:space="preserve"> </w:t>
      </w:r>
      <w:r>
        <w:rPr>
          <w:szCs w:val="22"/>
        </w:rPr>
        <w:t xml:space="preserve">outside of historic districts. Under the terms of the proposed exclusion, a small wireless </w:t>
      </w:r>
      <w:r w:rsidR="00761E2F">
        <w:rPr>
          <w:szCs w:val="22"/>
        </w:rPr>
        <w:t>antenna</w:t>
      </w:r>
      <w:r>
        <w:rPr>
          <w:szCs w:val="22"/>
        </w:rPr>
        <w:t xml:space="preserve"> may be mounted on an existing building or non-tower structure</w:t>
      </w:r>
      <w:r w:rsidR="00761E2F">
        <w:rPr>
          <w:szCs w:val="22"/>
        </w:rPr>
        <w:t xml:space="preserve"> or in the interior of a building</w:t>
      </w:r>
      <w:r>
        <w:rPr>
          <w:szCs w:val="22"/>
        </w:rPr>
        <w:t xml:space="preserve"> </w:t>
      </w:r>
      <w:r w:rsidR="00AE53D8">
        <w:rPr>
          <w:szCs w:val="22"/>
        </w:rPr>
        <w:t>regardless of the building’s or structure’s age</w:t>
      </w:r>
      <w:r>
        <w:rPr>
          <w:szCs w:val="22"/>
        </w:rPr>
        <w:t xml:space="preserve"> without review under the Section 106 process set forth in the NPA unless: </w:t>
      </w:r>
      <w:r w:rsidRPr="000B011A">
        <w:rPr>
          <w:szCs w:val="22"/>
        </w:rPr>
        <w:t>(1) the building or structure is inside the boundary of a historic district</w:t>
      </w:r>
      <w:r w:rsidR="00DC5DE0" w:rsidRPr="000B011A">
        <w:rPr>
          <w:szCs w:val="22"/>
        </w:rPr>
        <w:t xml:space="preserve">, or if the antenna </w:t>
      </w:r>
      <w:r w:rsidRPr="000B011A">
        <w:rPr>
          <w:szCs w:val="22"/>
        </w:rPr>
        <w:t xml:space="preserve">is visible from the ground level of </w:t>
      </w:r>
      <w:r w:rsidR="00732C2E" w:rsidRPr="000B011A">
        <w:rPr>
          <w:szCs w:val="22"/>
        </w:rPr>
        <w:t>a</w:t>
      </w:r>
      <w:r w:rsidRPr="000B011A">
        <w:rPr>
          <w:szCs w:val="22"/>
        </w:rPr>
        <w:t xml:space="preserve"> historic district, </w:t>
      </w:r>
      <w:r w:rsidR="00DC5DE0" w:rsidRPr="000B011A">
        <w:rPr>
          <w:szCs w:val="22"/>
        </w:rPr>
        <w:t>the building or structure</w:t>
      </w:r>
      <w:r w:rsidRPr="000B011A">
        <w:rPr>
          <w:szCs w:val="22"/>
        </w:rPr>
        <w:t xml:space="preserve"> is within 250 feet of the boundary of </w:t>
      </w:r>
      <w:r w:rsidR="004337B3" w:rsidRPr="000B011A">
        <w:rPr>
          <w:szCs w:val="22"/>
        </w:rPr>
        <w:t>the</w:t>
      </w:r>
      <w:r w:rsidRPr="000B011A">
        <w:rPr>
          <w:szCs w:val="22"/>
        </w:rPr>
        <w:t xml:space="preserve"> historic district;</w:t>
      </w:r>
      <w:r>
        <w:rPr>
          <w:szCs w:val="22"/>
        </w:rPr>
        <w:t xml:space="preserve"> (</w:t>
      </w:r>
      <w:r w:rsidR="00DC5DE0">
        <w:rPr>
          <w:szCs w:val="22"/>
        </w:rPr>
        <w:t>2</w:t>
      </w:r>
      <w:r>
        <w:rPr>
          <w:szCs w:val="22"/>
        </w:rPr>
        <w:t>) the building or structure is either a designated National Historic Landmark, or listed in or eligible for listing in the National Register of Historic Places; or (</w:t>
      </w:r>
      <w:r w:rsidR="00DC5DE0">
        <w:rPr>
          <w:szCs w:val="22"/>
        </w:rPr>
        <w:t>3</w:t>
      </w:r>
      <w:r>
        <w:rPr>
          <w:szCs w:val="22"/>
        </w:rPr>
        <w:t xml:space="preserve">) the licensee or owner </w:t>
      </w:r>
      <w:r w:rsidR="00166AC7">
        <w:rPr>
          <w:szCs w:val="22"/>
        </w:rPr>
        <w:t xml:space="preserve">of the building or structure </w:t>
      </w:r>
      <w:r>
        <w:rPr>
          <w:szCs w:val="22"/>
        </w:rPr>
        <w:t>has received notification that the Commission has received a complaint from a member of the public,</w:t>
      </w:r>
      <w:r w:rsidR="00732C2E">
        <w:rPr>
          <w:szCs w:val="22"/>
        </w:rPr>
        <w:t xml:space="preserve"> a</w:t>
      </w:r>
      <w:r w:rsidR="00D363F5">
        <w:rPr>
          <w:szCs w:val="22"/>
        </w:rPr>
        <w:t xml:space="preserve">n </w:t>
      </w:r>
      <w:r w:rsidR="00B9327F">
        <w:rPr>
          <w:szCs w:val="22"/>
        </w:rPr>
        <w:t>Tribal Nation</w:t>
      </w:r>
      <w:r w:rsidR="00732C2E">
        <w:rPr>
          <w:szCs w:val="22"/>
        </w:rPr>
        <w:t>,</w:t>
      </w:r>
      <w:r>
        <w:rPr>
          <w:szCs w:val="22"/>
        </w:rPr>
        <w:t xml:space="preserve"> a SHPO</w:t>
      </w:r>
      <w:r w:rsidR="00A544EF">
        <w:rPr>
          <w:szCs w:val="22"/>
        </w:rPr>
        <w:t>,</w:t>
      </w:r>
      <w:r>
        <w:rPr>
          <w:szCs w:val="22"/>
        </w:rPr>
        <w:t xml:space="preserve"> or AC</w:t>
      </w:r>
      <w:r w:rsidR="00E61D4B">
        <w:rPr>
          <w:szCs w:val="22"/>
        </w:rPr>
        <w:t>H</w:t>
      </w:r>
      <w:r>
        <w:rPr>
          <w:szCs w:val="22"/>
        </w:rPr>
        <w:t xml:space="preserve">P that the collocation has an adverse effect on one or more historic properties.  In addition, this amendment </w:t>
      </w:r>
      <w:r w:rsidR="00C706B1">
        <w:rPr>
          <w:szCs w:val="22"/>
        </w:rPr>
        <w:t>establishes</w:t>
      </w:r>
      <w:r>
        <w:rPr>
          <w:szCs w:val="22"/>
        </w:rPr>
        <w:t xml:space="preserve"> volumetric limits for antennas and other wireless equipment associated with the structure that are eligible for the exclusion, and </w:t>
      </w:r>
      <w:r w:rsidR="00192A94">
        <w:rPr>
          <w:szCs w:val="22"/>
        </w:rPr>
        <w:t>restrictions on</w:t>
      </w:r>
      <w:r>
        <w:rPr>
          <w:szCs w:val="22"/>
        </w:rPr>
        <w:t xml:space="preserve"> ground disturbance, with an exemption for</w:t>
      </w:r>
      <w:r w:rsidR="00E61D4B">
        <w:rPr>
          <w:szCs w:val="22"/>
        </w:rPr>
        <w:t xml:space="preserve"> up to</w:t>
      </w:r>
      <w:r>
        <w:rPr>
          <w:szCs w:val="22"/>
        </w:rPr>
        <w:t xml:space="preserve"> four light</w:t>
      </w:r>
      <w:r w:rsidR="008863B7">
        <w:rPr>
          <w:szCs w:val="22"/>
        </w:rPr>
        <w:t>n</w:t>
      </w:r>
      <w:r>
        <w:rPr>
          <w:szCs w:val="22"/>
        </w:rPr>
        <w:t xml:space="preserve">ing grounding rods </w:t>
      </w:r>
      <w:r w:rsidR="00AE53D8">
        <w:rPr>
          <w:szCs w:val="22"/>
        </w:rPr>
        <w:t xml:space="preserve">not exceeding a specified size </w:t>
      </w:r>
      <w:r>
        <w:rPr>
          <w:szCs w:val="22"/>
        </w:rPr>
        <w:t>per project.</w:t>
      </w:r>
      <w:r w:rsidR="00D23432">
        <w:rPr>
          <w:szCs w:val="22"/>
        </w:rPr>
        <w:t xml:space="preserve">  </w:t>
      </w:r>
      <w:r w:rsidR="00D23432" w:rsidRPr="00D23432">
        <w:rPr>
          <w:szCs w:val="22"/>
        </w:rPr>
        <w:t>The volume of any deployed equipment that is not visible from public spaces at the ground level from 250 feet or less may be omitted from the calculation of volume</w:t>
      </w:r>
      <w:r w:rsidR="00D23432">
        <w:rPr>
          <w:szCs w:val="22"/>
        </w:rPr>
        <w:t>tric limits cited in this Stipulation.</w:t>
      </w:r>
    </w:p>
    <w:p w14:paraId="7A0371B1" w14:textId="77777777" w:rsidR="003B3030" w:rsidRDefault="003B3030" w:rsidP="003B3030">
      <w:pPr>
        <w:rPr>
          <w:szCs w:val="22"/>
        </w:rPr>
      </w:pPr>
    </w:p>
    <w:p w14:paraId="712D8CE8" w14:textId="46C54E8E" w:rsidR="003B3030" w:rsidRDefault="003B3030" w:rsidP="003B3030">
      <w:pPr>
        <w:rPr>
          <w:szCs w:val="22"/>
        </w:rPr>
      </w:pPr>
      <w:r>
        <w:rPr>
          <w:szCs w:val="22"/>
        </w:rPr>
        <w:tab/>
      </w:r>
      <w:r>
        <w:rPr>
          <w:i/>
          <w:szCs w:val="22"/>
        </w:rPr>
        <w:t xml:space="preserve">Exclusion Relating to Minimally Visible </w:t>
      </w:r>
      <w:r w:rsidR="00F25D41">
        <w:rPr>
          <w:i/>
          <w:szCs w:val="22"/>
        </w:rPr>
        <w:t>Deployments</w:t>
      </w:r>
      <w:r w:rsidR="00984F00">
        <w:rPr>
          <w:i/>
          <w:szCs w:val="22"/>
        </w:rPr>
        <w:t xml:space="preserve"> of Small Wireless Antennas and Associated Equipment</w:t>
      </w:r>
      <w:r>
        <w:rPr>
          <w:i/>
          <w:szCs w:val="22"/>
        </w:rPr>
        <w:t xml:space="preserve"> on Structures in Historic Districts</w:t>
      </w:r>
      <w:r w:rsidR="00984F00">
        <w:rPr>
          <w:i/>
          <w:szCs w:val="22"/>
        </w:rPr>
        <w:t xml:space="preserve"> or on Historic Properties</w:t>
      </w:r>
      <w:r>
        <w:rPr>
          <w:i/>
          <w:szCs w:val="22"/>
        </w:rPr>
        <w:t>.</w:t>
      </w:r>
      <w:r>
        <w:rPr>
          <w:szCs w:val="22"/>
        </w:rPr>
        <w:t xml:space="preserve">  The proposed </w:t>
      </w:r>
      <w:r w:rsidR="002A5202">
        <w:rPr>
          <w:szCs w:val="22"/>
        </w:rPr>
        <w:t xml:space="preserve">Amended </w:t>
      </w:r>
      <w:r>
        <w:rPr>
          <w:szCs w:val="22"/>
        </w:rPr>
        <w:t xml:space="preserve">Collocation Agreement would also add a new </w:t>
      </w:r>
      <w:r w:rsidR="009A4E06">
        <w:rPr>
          <w:szCs w:val="22"/>
        </w:rPr>
        <w:t>Stipulation</w:t>
      </w:r>
      <w:r>
        <w:rPr>
          <w:szCs w:val="22"/>
        </w:rPr>
        <w:t xml:space="preserve"> VII.A to provide an exclusion from review for</w:t>
      </w:r>
      <w:r w:rsidR="00912EB5">
        <w:rPr>
          <w:szCs w:val="22"/>
        </w:rPr>
        <w:t xml:space="preserve"> a</w:t>
      </w:r>
      <w:r>
        <w:rPr>
          <w:szCs w:val="22"/>
        </w:rPr>
        <w:t xml:space="preserve"> small wireless </w:t>
      </w:r>
      <w:r w:rsidR="00300ED7">
        <w:rPr>
          <w:szCs w:val="22"/>
        </w:rPr>
        <w:t>antenna</w:t>
      </w:r>
      <w:r>
        <w:rPr>
          <w:szCs w:val="22"/>
        </w:rPr>
        <w:t xml:space="preserve"> and associated equipment mounted on a building or non-tower structure</w:t>
      </w:r>
      <w:r w:rsidR="00300ED7">
        <w:rPr>
          <w:szCs w:val="22"/>
        </w:rPr>
        <w:t xml:space="preserve"> (or in the interior of </w:t>
      </w:r>
      <w:r w:rsidR="00B9327F">
        <w:rPr>
          <w:szCs w:val="22"/>
        </w:rPr>
        <w:t>a</w:t>
      </w:r>
      <w:r w:rsidR="00300ED7">
        <w:rPr>
          <w:szCs w:val="22"/>
        </w:rPr>
        <w:t xml:space="preserve"> building)</w:t>
      </w:r>
      <w:r>
        <w:rPr>
          <w:szCs w:val="22"/>
        </w:rPr>
        <w:t xml:space="preserve"> that </w:t>
      </w:r>
      <w:r w:rsidR="00912EB5">
        <w:rPr>
          <w:szCs w:val="22"/>
        </w:rPr>
        <w:t xml:space="preserve">is a </w:t>
      </w:r>
      <w:r>
        <w:rPr>
          <w:szCs w:val="22"/>
        </w:rPr>
        <w:t>historic propert</w:t>
      </w:r>
      <w:r w:rsidR="00912EB5">
        <w:rPr>
          <w:szCs w:val="22"/>
        </w:rPr>
        <w:t>y</w:t>
      </w:r>
      <w:r>
        <w:rPr>
          <w:szCs w:val="22"/>
        </w:rPr>
        <w:t xml:space="preserve"> or inside or within 250 feet of the boundary of a historic district, </w:t>
      </w:r>
      <w:r w:rsidR="00262B57">
        <w:rPr>
          <w:szCs w:val="22"/>
        </w:rPr>
        <w:t>subject to</w:t>
      </w:r>
      <w:r>
        <w:rPr>
          <w:szCs w:val="22"/>
        </w:rPr>
        <w:t xml:space="preserve"> visibility </w:t>
      </w:r>
      <w:r w:rsidR="00262B57">
        <w:rPr>
          <w:szCs w:val="22"/>
        </w:rPr>
        <w:t>limit</w:t>
      </w:r>
      <w:r>
        <w:rPr>
          <w:szCs w:val="22"/>
        </w:rPr>
        <w:t xml:space="preserve">s.  Under these </w:t>
      </w:r>
      <w:r w:rsidR="00262B57">
        <w:rPr>
          <w:szCs w:val="22"/>
        </w:rPr>
        <w:t>limits</w:t>
      </w:r>
      <w:r>
        <w:rPr>
          <w:szCs w:val="22"/>
        </w:rPr>
        <w:t xml:space="preserve">, </w:t>
      </w:r>
      <w:r w:rsidR="00300ED7">
        <w:rPr>
          <w:szCs w:val="22"/>
        </w:rPr>
        <w:t>th</w:t>
      </w:r>
      <w:r w:rsidR="00110CBD">
        <w:rPr>
          <w:szCs w:val="22"/>
        </w:rPr>
        <w:t>at</w:t>
      </w:r>
      <w:r>
        <w:rPr>
          <w:szCs w:val="22"/>
        </w:rPr>
        <w:t xml:space="preserve"> antenna or antenna enclosure </w:t>
      </w:r>
      <w:r w:rsidR="00B9327F">
        <w:rPr>
          <w:szCs w:val="22"/>
        </w:rPr>
        <w:t>must</w:t>
      </w:r>
      <w:r w:rsidR="00110CBD">
        <w:rPr>
          <w:szCs w:val="22"/>
        </w:rPr>
        <w:t xml:space="preserve"> be </w:t>
      </w:r>
      <w:r w:rsidR="00300ED7">
        <w:rPr>
          <w:szCs w:val="22"/>
        </w:rPr>
        <w:t>the only equipment that is</w:t>
      </w:r>
      <w:r>
        <w:rPr>
          <w:szCs w:val="22"/>
        </w:rPr>
        <w:t xml:space="preserve"> visible from the ground level</w:t>
      </w:r>
      <w:r w:rsidR="00110CBD" w:rsidRPr="00110CBD">
        <w:rPr>
          <w:color w:val="000000"/>
          <w:szCs w:val="22"/>
        </w:rPr>
        <w:t xml:space="preserve"> </w:t>
      </w:r>
      <w:r w:rsidR="00110CBD" w:rsidRPr="00110CBD">
        <w:rPr>
          <w:szCs w:val="22"/>
        </w:rPr>
        <w:t>or from pub</w:t>
      </w:r>
      <w:r w:rsidR="00110CBD">
        <w:rPr>
          <w:szCs w:val="22"/>
        </w:rPr>
        <w:t>lic spaces within the building (</w:t>
      </w:r>
      <w:r w:rsidR="00110CBD" w:rsidRPr="00110CBD">
        <w:rPr>
          <w:szCs w:val="22"/>
        </w:rPr>
        <w:t>if the antenna is mounted in the interior of a building</w:t>
      </w:r>
      <w:r w:rsidR="00110CBD">
        <w:rPr>
          <w:szCs w:val="22"/>
        </w:rPr>
        <w:t>)</w:t>
      </w:r>
      <w:r>
        <w:rPr>
          <w:szCs w:val="22"/>
        </w:rPr>
        <w:t xml:space="preserve">, </w:t>
      </w:r>
      <w:r w:rsidR="00262B57">
        <w:rPr>
          <w:szCs w:val="22"/>
        </w:rPr>
        <w:t>that antenna or enclosure</w:t>
      </w:r>
      <w:r>
        <w:rPr>
          <w:szCs w:val="22"/>
        </w:rPr>
        <w:t xml:space="preserve"> must not exceed 3 cubic feet</w:t>
      </w:r>
      <w:r w:rsidR="00262B57">
        <w:rPr>
          <w:szCs w:val="22"/>
        </w:rPr>
        <w:t xml:space="preserve"> in volume</w:t>
      </w:r>
      <w:r>
        <w:rPr>
          <w:szCs w:val="22"/>
        </w:rPr>
        <w:t xml:space="preserve">, and the antenna must be </w:t>
      </w:r>
      <w:r w:rsidR="00300ED7">
        <w:rPr>
          <w:szCs w:val="22"/>
        </w:rPr>
        <w:t>installed</w:t>
      </w:r>
      <w:r>
        <w:rPr>
          <w:szCs w:val="22"/>
        </w:rPr>
        <w:t xml:space="preserve"> using stealth techniques that match or complement the structure on which </w:t>
      </w:r>
      <w:r w:rsidR="00110CBD">
        <w:rPr>
          <w:szCs w:val="22"/>
        </w:rPr>
        <w:t xml:space="preserve">or within which </w:t>
      </w:r>
      <w:r>
        <w:rPr>
          <w:szCs w:val="22"/>
        </w:rPr>
        <w:t>it is deployed.</w:t>
      </w:r>
      <w:r w:rsidR="001078F8">
        <w:rPr>
          <w:szCs w:val="22"/>
        </w:rPr>
        <w:t xml:space="preserve">  Under</w:t>
      </w:r>
      <w:r w:rsidR="007140BB">
        <w:rPr>
          <w:szCs w:val="22"/>
        </w:rPr>
        <w:t xml:space="preserve"> this exclusion, no other</w:t>
      </w:r>
      <w:r w:rsidR="001078F8">
        <w:rPr>
          <w:szCs w:val="22"/>
        </w:rPr>
        <w:t xml:space="preserve"> </w:t>
      </w:r>
      <w:r w:rsidR="007140BB">
        <w:rPr>
          <w:szCs w:val="22"/>
        </w:rPr>
        <w:t>antenna</w:t>
      </w:r>
      <w:r w:rsidR="001078F8">
        <w:rPr>
          <w:szCs w:val="22"/>
        </w:rPr>
        <w:t xml:space="preserve"> on the building or non-tower structure</w:t>
      </w:r>
      <w:r w:rsidR="007140BB">
        <w:rPr>
          <w:szCs w:val="22"/>
        </w:rPr>
        <w:t xml:space="preserve"> may be visible from the ground level</w:t>
      </w:r>
      <w:r w:rsidR="00110CBD" w:rsidRPr="00110CBD">
        <w:rPr>
          <w:color w:val="000000"/>
          <w:szCs w:val="22"/>
        </w:rPr>
        <w:t xml:space="preserve"> </w:t>
      </w:r>
      <w:r w:rsidR="00110CBD" w:rsidRPr="00110CBD">
        <w:rPr>
          <w:szCs w:val="22"/>
        </w:rPr>
        <w:t>or from public spaces within the building (for an antenna mounted in the interior of a building</w:t>
      </w:r>
      <w:r w:rsidR="00110CBD">
        <w:rPr>
          <w:szCs w:val="22"/>
        </w:rPr>
        <w:t>)</w:t>
      </w:r>
      <w:r w:rsidR="001078F8">
        <w:rPr>
          <w:szCs w:val="22"/>
        </w:rPr>
        <w:t>.</w:t>
      </w:r>
      <w:r>
        <w:rPr>
          <w:szCs w:val="22"/>
        </w:rPr>
        <w:t xml:space="preserve">  In addition, the amendment includes provisions restricting the visibility of an antenna’s associated equipment, and requires that the facilities </w:t>
      </w:r>
      <w:r w:rsidR="00E61D4B">
        <w:rPr>
          <w:szCs w:val="22"/>
        </w:rPr>
        <w:t>be</w:t>
      </w:r>
      <w:r>
        <w:rPr>
          <w:szCs w:val="22"/>
        </w:rPr>
        <w:t xml:space="preserve"> installed in a way that does not damage historic materials and that permits the removal of such facilities without damaging historic materials.  The amendment also includes limits on the extent of ground disturbance associated with the </w:t>
      </w:r>
      <w:r w:rsidR="005B4628">
        <w:rPr>
          <w:szCs w:val="22"/>
        </w:rPr>
        <w:t>collocation</w:t>
      </w:r>
      <w:r>
        <w:rPr>
          <w:szCs w:val="22"/>
        </w:rPr>
        <w:t xml:space="preserve">, and on the number </w:t>
      </w:r>
      <w:r w:rsidR="00E13017">
        <w:rPr>
          <w:szCs w:val="22"/>
        </w:rPr>
        <w:t xml:space="preserve">and size </w:t>
      </w:r>
      <w:r>
        <w:rPr>
          <w:szCs w:val="22"/>
        </w:rPr>
        <w:t xml:space="preserve">of lightning grounding rods that may be installed.   </w:t>
      </w:r>
    </w:p>
    <w:p w14:paraId="7B8398FD" w14:textId="77777777" w:rsidR="003B3030" w:rsidRDefault="003B3030" w:rsidP="003B3030">
      <w:pPr>
        <w:rPr>
          <w:szCs w:val="22"/>
        </w:rPr>
      </w:pPr>
    </w:p>
    <w:p w14:paraId="029113BB" w14:textId="1A637794" w:rsidR="003B3030" w:rsidRDefault="003B3030" w:rsidP="003B3030">
      <w:pPr>
        <w:rPr>
          <w:szCs w:val="22"/>
        </w:rPr>
      </w:pPr>
      <w:r>
        <w:rPr>
          <w:szCs w:val="22"/>
        </w:rPr>
        <w:tab/>
      </w:r>
      <w:r>
        <w:rPr>
          <w:i/>
          <w:szCs w:val="22"/>
        </w:rPr>
        <w:t xml:space="preserve">Exclusion Relating to Visible Small </w:t>
      </w:r>
      <w:r w:rsidR="00F25D41">
        <w:rPr>
          <w:i/>
          <w:szCs w:val="22"/>
        </w:rPr>
        <w:t xml:space="preserve">Wireless Antennas and Associated Equipment </w:t>
      </w:r>
      <w:r>
        <w:rPr>
          <w:i/>
          <w:szCs w:val="22"/>
        </w:rPr>
        <w:t>Deployments on Historic Properties or in Historic Districts.</w:t>
      </w:r>
      <w:r>
        <w:rPr>
          <w:szCs w:val="22"/>
        </w:rPr>
        <w:t xml:space="preserve">  In addition, the proposed amendments to the Collocation Agreement would add new </w:t>
      </w:r>
      <w:r w:rsidR="009A4E06">
        <w:rPr>
          <w:szCs w:val="22"/>
        </w:rPr>
        <w:t>Stipulations</w:t>
      </w:r>
      <w:r>
        <w:rPr>
          <w:szCs w:val="22"/>
        </w:rPr>
        <w:t xml:space="preserve"> VII.B, VII.C, and VII.D, providing narrow exclusions from the Section 106 process set forth in the NPA for visible small </w:t>
      </w:r>
      <w:r w:rsidR="00F25D41">
        <w:rPr>
          <w:szCs w:val="22"/>
        </w:rPr>
        <w:t>wireless antennas and associated equipment</w:t>
      </w:r>
      <w:r>
        <w:rPr>
          <w:szCs w:val="22"/>
        </w:rPr>
        <w:t xml:space="preserve"> in historic districts under limited circumstances.  New Section VII.B would provide an exclusion for a small wireless </w:t>
      </w:r>
      <w:r w:rsidR="00250B34">
        <w:rPr>
          <w:szCs w:val="22"/>
        </w:rPr>
        <w:t>antenna including</w:t>
      </w:r>
      <w:r w:rsidR="00F25D41">
        <w:rPr>
          <w:szCs w:val="22"/>
        </w:rPr>
        <w:t xml:space="preserve"> associated equipment</w:t>
      </w:r>
      <w:r>
        <w:rPr>
          <w:szCs w:val="22"/>
        </w:rPr>
        <w:t xml:space="preserve"> mounted on a utility structure</w:t>
      </w:r>
      <w:r w:rsidR="00F25D41">
        <w:rPr>
          <w:szCs w:val="22"/>
        </w:rPr>
        <w:t xml:space="preserve"> (including utility poles or electric transmission towers, but not including </w:t>
      </w:r>
      <w:r w:rsidR="00EB6D8C">
        <w:rPr>
          <w:szCs w:val="22"/>
        </w:rPr>
        <w:t xml:space="preserve">traffic lights, </w:t>
      </w:r>
      <w:r w:rsidR="00F25D41">
        <w:rPr>
          <w:szCs w:val="22"/>
        </w:rPr>
        <w:t>light poles, lamp posts, and other structures w</w:t>
      </w:r>
      <w:r w:rsidR="00D764CF">
        <w:rPr>
          <w:szCs w:val="22"/>
        </w:rPr>
        <w:t>hose primary purpose is to provide public lighting)</w:t>
      </w:r>
      <w:r>
        <w:rPr>
          <w:szCs w:val="22"/>
        </w:rPr>
        <w:t xml:space="preserve"> that is in active use by a utility company </w:t>
      </w:r>
      <w:r w:rsidR="000812B4">
        <w:rPr>
          <w:szCs w:val="22"/>
        </w:rPr>
        <w:t>and either</w:t>
      </w:r>
      <w:r w:rsidR="0098726C">
        <w:rPr>
          <w:szCs w:val="22"/>
        </w:rPr>
        <w:t xml:space="preserve"> is</w:t>
      </w:r>
      <w:r w:rsidR="000812B4">
        <w:rPr>
          <w:szCs w:val="22"/>
        </w:rPr>
        <w:t xml:space="preserve"> a historic property,</w:t>
      </w:r>
      <w:r w:rsidR="0098726C">
        <w:rPr>
          <w:szCs w:val="22"/>
        </w:rPr>
        <w:t xml:space="preserve"> is</w:t>
      </w:r>
      <w:r w:rsidR="000812B4">
        <w:rPr>
          <w:szCs w:val="22"/>
        </w:rPr>
        <w:t xml:space="preserve"> located on a historic property, or is </w:t>
      </w:r>
      <w:r>
        <w:rPr>
          <w:szCs w:val="22"/>
        </w:rPr>
        <w:t xml:space="preserve">located inside or within 250 feet of the boundary of a historic district.  Further, </w:t>
      </w:r>
      <w:r w:rsidR="001E0DA6">
        <w:rPr>
          <w:szCs w:val="22"/>
        </w:rPr>
        <w:t>this proposed amendment provides that</w:t>
      </w:r>
      <w:r w:rsidR="00D816DE">
        <w:rPr>
          <w:szCs w:val="22"/>
        </w:rPr>
        <w:t>: (1)</w:t>
      </w:r>
      <w:r>
        <w:rPr>
          <w:szCs w:val="22"/>
        </w:rPr>
        <w:t xml:space="preserve"> the antenna</w:t>
      </w:r>
      <w:r w:rsidR="00E2599A">
        <w:rPr>
          <w:szCs w:val="22"/>
        </w:rPr>
        <w:t>, excluding the associated equipment,</w:t>
      </w:r>
      <w:r>
        <w:rPr>
          <w:szCs w:val="22"/>
        </w:rPr>
        <w:t xml:space="preserve"> must fit in an enclosure</w:t>
      </w:r>
      <w:r w:rsidR="00153A1D">
        <w:rPr>
          <w:szCs w:val="22"/>
        </w:rPr>
        <w:t xml:space="preserve"> (or if the antenna is exposed, within an imaginary enclosure, i.e., one that would be the correct size to contain the equipment)</w:t>
      </w:r>
      <w:r>
        <w:rPr>
          <w:szCs w:val="22"/>
        </w:rPr>
        <w:t xml:space="preserve"> that is no more than three cubic feet in volume, with a cumulative limit of 6 cubic feet for more than one antenna/antenna enclosure; (2) the wireless equipment associated with the antenna </w:t>
      </w:r>
      <w:r w:rsidR="00967069">
        <w:rPr>
          <w:szCs w:val="22"/>
        </w:rPr>
        <w:t>and any</w:t>
      </w:r>
      <w:r>
        <w:rPr>
          <w:szCs w:val="22"/>
        </w:rPr>
        <w:t xml:space="preserve"> pre-existing associated equipment on the structure,</w:t>
      </w:r>
      <w:r w:rsidR="00153A1D">
        <w:rPr>
          <w:szCs w:val="22"/>
        </w:rPr>
        <w:t xml:space="preserve"> but excluding cable runs for the connection of power and other services,</w:t>
      </w:r>
      <w:r>
        <w:rPr>
          <w:szCs w:val="22"/>
        </w:rPr>
        <w:t xml:space="preserve"> may be no more than 21 cubic feet in volume</w:t>
      </w:r>
      <w:r w:rsidR="00E01260">
        <w:rPr>
          <w:szCs w:val="22"/>
        </w:rPr>
        <w:t xml:space="preserve">; and (3) </w:t>
      </w:r>
      <w:r w:rsidR="0006747E">
        <w:rPr>
          <w:szCs w:val="22"/>
        </w:rPr>
        <w:t xml:space="preserve">the </w:t>
      </w:r>
      <w:r w:rsidR="00C17E0A">
        <w:rPr>
          <w:szCs w:val="22"/>
        </w:rPr>
        <w:t>extent</w:t>
      </w:r>
      <w:r w:rsidR="0006747E">
        <w:rPr>
          <w:szCs w:val="22"/>
        </w:rPr>
        <w:t xml:space="preserve"> of ground disturbance associa</w:t>
      </w:r>
      <w:r w:rsidR="00E01260">
        <w:rPr>
          <w:szCs w:val="22"/>
        </w:rPr>
        <w:t xml:space="preserve">ted with the deployment, and </w:t>
      </w:r>
      <w:r w:rsidR="0006747E">
        <w:rPr>
          <w:szCs w:val="22"/>
        </w:rPr>
        <w:t>the number and size of lightning grounding rods that may be installed</w:t>
      </w:r>
      <w:r w:rsidR="00E01260">
        <w:rPr>
          <w:szCs w:val="22"/>
        </w:rPr>
        <w:t>, is limited</w:t>
      </w:r>
      <w:r w:rsidR="0006747E">
        <w:rPr>
          <w:szCs w:val="22"/>
        </w:rPr>
        <w:t>.</w:t>
      </w:r>
    </w:p>
    <w:p w14:paraId="12AE9D1E" w14:textId="77777777" w:rsidR="003B3030" w:rsidRDefault="003B3030" w:rsidP="003B3030">
      <w:pPr>
        <w:rPr>
          <w:szCs w:val="22"/>
        </w:rPr>
      </w:pPr>
    </w:p>
    <w:p w14:paraId="4FCE3382" w14:textId="14F89E3D" w:rsidR="003B3030" w:rsidRDefault="003B3030" w:rsidP="003B3030">
      <w:pPr>
        <w:rPr>
          <w:szCs w:val="22"/>
        </w:rPr>
      </w:pPr>
      <w:r>
        <w:rPr>
          <w:szCs w:val="22"/>
        </w:rPr>
        <w:tab/>
        <w:t xml:space="preserve">Proposed </w:t>
      </w:r>
      <w:r w:rsidR="009A4E06">
        <w:rPr>
          <w:szCs w:val="22"/>
        </w:rPr>
        <w:t>Stipulation</w:t>
      </w:r>
      <w:r>
        <w:rPr>
          <w:szCs w:val="22"/>
        </w:rPr>
        <w:t xml:space="preserve"> VII.C specifies that the foregoing proposed exclusion for utility poles in historic districts would not apply to collocations on a traffic control structure </w:t>
      </w:r>
      <w:r>
        <w:t>(</w:t>
      </w:r>
      <w:r w:rsidRPr="000B011A">
        <w:t>i.e.,</w:t>
      </w:r>
      <w:r>
        <w:t xml:space="preserve"> traffic light) or on a light pole, lamp post, or other structure whose primary purpose is to provide public lighting, where the structure is located </w:t>
      </w:r>
      <w:r w:rsidRPr="00CF7B1B">
        <w:t>inside or within 250 feet of the boundary of a historic district</w:t>
      </w:r>
      <w:r>
        <w:t xml:space="preserve">.  However, this section also provides that </w:t>
      </w:r>
      <w:r>
        <w:rPr>
          <w:szCs w:val="22"/>
        </w:rPr>
        <w:t xml:space="preserve">such proposed collocations </w:t>
      </w:r>
      <w:r w:rsidR="00B9327F">
        <w:rPr>
          <w:szCs w:val="22"/>
        </w:rPr>
        <w:t>may</w:t>
      </w:r>
      <w:r w:rsidR="0044598C">
        <w:rPr>
          <w:szCs w:val="22"/>
        </w:rPr>
        <w:t xml:space="preserve"> </w:t>
      </w:r>
      <w:r>
        <w:rPr>
          <w:szCs w:val="22"/>
        </w:rPr>
        <w:t>be excluded from such review on a case-by-case basis, if</w:t>
      </w:r>
      <w:r w:rsidR="0093492F">
        <w:rPr>
          <w:szCs w:val="22"/>
        </w:rPr>
        <w:t>:</w:t>
      </w:r>
      <w:r w:rsidR="0044598C">
        <w:rPr>
          <w:szCs w:val="22"/>
        </w:rPr>
        <w:t xml:space="preserve"> (1) the collocation meets specified volumetric</w:t>
      </w:r>
      <w:r w:rsidR="00EB6D8C">
        <w:rPr>
          <w:szCs w:val="22"/>
        </w:rPr>
        <w:t xml:space="preserve"> and ground disturbance</w:t>
      </w:r>
      <w:r w:rsidR="0044598C">
        <w:rPr>
          <w:szCs w:val="22"/>
        </w:rPr>
        <w:t xml:space="preserve"> limits</w:t>
      </w:r>
      <w:r w:rsidR="0093492F">
        <w:rPr>
          <w:szCs w:val="22"/>
        </w:rPr>
        <w:t>;</w:t>
      </w:r>
      <w:r w:rsidR="0044598C">
        <w:rPr>
          <w:szCs w:val="22"/>
        </w:rPr>
        <w:t xml:space="preserve"> and (</w:t>
      </w:r>
      <w:r w:rsidR="00EB6D8C">
        <w:rPr>
          <w:szCs w:val="22"/>
        </w:rPr>
        <w:t>2</w:t>
      </w:r>
      <w:r w:rsidR="0044598C">
        <w:rPr>
          <w:szCs w:val="22"/>
        </w:rPr>
        <w:t>)</w:t>
      </w:r>
      <w:r>
        <w:rPr>
          <w:szCs w:val="22"/>
        </w:rPr>
        <w:t xml:space="preserve"> the structure is not historic </w:t>
      </w:r>
      <w:r w:rsidR="00301508">
        <w:rPr>
          <w:szCs w:val="22"/>
        </w:rPr>
        <w:t xml:space="preserve">(not a designated National Historic Landmark or a property listed in or eligible for listing in the National Register of Historic Places) </w:t>
      </w:r>
      <w:r>
        <w:rPr>
          <w:szCs w:val="22"/>
        </w:rPr>
        <w:t>or considered a contributing element to the historic district</w:t>
      </w:r>
      <w:r w:rsidR="00B9327F">
        <w:rPr>
          <w:szCs w:val="22"/>
        </w:rPr>
        <w:t>.  The amendment sets forth a process under which such collocations may qualify for the exclusion</w:t>
      </w:r>
      <w:r w:rsidR="00EB6D8C">
        <w:rPr>
          <w:szCs w:val="22"/>
        </w:rPr>
        <w:t>,</w:t>
      </w:r>
      <w:r>
        <w:rPr>
          <w:szCs w:val="22"/>
        </w:rPr>
        <w:t xml:space="preserve"> which includes providing the SHPO with an opportunity to concur with the applicant’s determination that the structure is not a contributing element.  </w:t>
      </w:r>
    </w:p>
    <w:p w14:paraId="349AE821" w14:textId="77777777" w:rsidR="003B3030" w:rsidRDefault="003B3030" w:rsidP="003B3030">
      <w:pPr>
        <w:rPr>
          <w:szCs w:val="22"/>
        </w:rPr>
      </w:pPr>
    </w:p>
    <w:p w14:paraId="35C81507" w14:textId="77777777" w:rsidR="000748D4" w:rsidRDefault="003B3030" w:rsidP="003B3030">
      <w:pPr>
        <w:rPr>
          <w:szCs w:val="22"/>
        </w:rPr>
      </w:pPr>
      <w:r>
        <w:rPr>
          <w:szCs w:val="22"/>
        </w:rPr>
        <w:tab/>
      </w:r>
      <w:r w:rsidR="002B2917">
        <w:rPr>
          <w:szCs w:val="22"/>
        </w:rPr>
        <w:t xml:space="preserve">The newly proposed </w:t>
      </w:r>
      <w:r w:rsidR="009A4E06">
        <w:rPr>
          <w:szCs w:val="22"/>
        </w:rPr>
        <w:t>Stipulation</w:t>
      </w:r>
      <w:r>
        <w:rPr>
          <w:szCs w:val="22"/>
        </w:rPr>
        <w:t xml:space="preserve"> VII.D excludes from routine Section 106 </w:t>
      </w:r>
      <w:r w:rsidR="002B2917">
        <w:rPr>
          <w:szCs w:val="22"/>
        </w:rPr>
        <w:t xml:space="preserve">review </w:t>
      </w:r>
      <w:r>
        <w:rPr>
          <w:szCs w:val="22"/>
        </w:rPr>
        <w:t xml:space="preserve">a </w:t>
      </w:r>
      <w:r w:rsidRPr="005F73A3">
        <w:rPr>
          <w:szCs w:val="22"/>
        </w:rPr>
        <w:t>small wireless communications facility</w:t>
      </w:r>
      <w:r>
        <w:rPr>
          <w:szCs w:val="22"/>
        </w:rPr>
        <w:t xml:space="preserve"> located</w:t>
      </w:r>
      <w:r w:rsidRPr="005F73A3">
        <w:rPr>
          <w:szCs w:val="22"/>
        </w:rPr>
        <w:t xml:space="preserve"> on a building or non-tower structure</w:t>
      </w:r>
      <w:r w:rsidR="00B9327F">
        <w:rPr>
          <w:szCs w:val="22"/>
        </w:rPr>
        <w:t xml:space="preserve"> or in the interior of a building</w:t>
      </w:r>
      <w:r w:rsidRPr="005F73A3">
        <w:rPr>
          <w:szCs w:val="22"/>
        </w:rPr>
        <w:t xml:space="preserve"> that </w:t>
      </w:r>
      <w:r>
        <w:rPr>
          <w:szCs w:val="22"/>
        </w:rPr>
        <w:t xml:space="preserve">is a historic property </w:t>
      </w:r>
      <w:r w:rsidRPr="005F73A3">
        <w:rPr>
          <w:szCs w:val="22"/>
        </w:rPr>
        <w:t>or</w:t>
      </w:r>
      <w:r>
        <w:rPr>
          <w:szCs w:val="22"/>
        </w:rPr>
        <w:t xml:space="preserve"> is </w:t>
      </w:r>
      <w:r w:rsidRPr="005F73A3">
        <w:rPr>
          <w:szCs w:val="22"/>
        </w:rPr>
        <w:t>inside or within 250 feet of the boundary of a historic district, regardless of visibility, provided that the facility is a</w:t>
      </w:r>
      <w:r w:rsidR="00AE414F">
        <w:rPr>
          <w:szCs w:val="22"/>
        </w:rPr>
        <w:t>n in-kind</w:t>
      </w:r>
      <w:r w:rsidRPr="005F73A3">
        <w:rPr>
          <w:szCs w:val="22"/>
        </w:rPr>
        <w:t xml:space="preserve"> replacement for an existing facility</w:t>
      </w:r>
      <w:r>
        <w:rPr>
          <w:szCs w:val="22"/>
        </w:rPr>
        <w:t xml:space="preserve">, </w:t>
      </w:r>
      <w:r w:rsidRPr="005F73A3">
        <w:rPr>
          <w:szCs w:val="22"/>
        </w:rPr>
        <w:t xml:space="preserve">and it does not </w:t>
      </w:r>
      <w:r w:rsidR="00444EEE">
        <w:rPr>
          <w:szCs w:val="22"/>
        </w:rPr>
        <w:t>exceed the greater of the size of the existing antenna/antenna enclosure and associated equipment, or volumetric limits specified in the amendment.</w:t>
      </w:r>
      <w:r w:rsidR="00AE414F">
        <w:rPr>
          <w:szCs w:val="22"/>
        </w:rPr>
        <w:t xml:space="preserve">  The replacement of the facilities (including antenna(s) and associated equipment as defined in the Amended Collocation Agreement) must not damage historic materials and must permit removal of such facilities without damaging historic materials. </w:t>
      </w:r>
      <w:r w:rsidR="00444EEE">
        <w:rPr>
          <w:szCs w:val="22"/>
        </w:rPr>
        <w:t xml:space="preserve"> In addition, the extent of ground disturbance associated with the deployment, and the number and size of lightning grounding rods that may be installed, is limited</w:t>
      </w:r>
      <w:r>
        <w:rPr>
          <w:szCs w:val="22"/>
        </w:rPr>
        <w:t>.</w:t>
      </w:r>
    </w:p>
    <w:p w14:paraId="57DB7B9E" w14:textId="77777777" w:rsidR="00077EDB" w:rsidRDefault="00077EDB" w:rsidP="003B3030">
      <w:pPr>
        <w:rPr>
          <w:szCs w:val="22"/>
        </w:rPr>
      </w:pPr>
    </w:p>
    <w:p w14:paraId="1A224095" w14:textId="77777777" w:rsidR="000748D4" w:rsidRPr="00913F7C" w:rsidRDefault="000748D4" w:rsidP="003B3030">
      <w:pPr>
        <w:rPr>
          <w:szCs w:val="22"/>
        </w:rPr>
      </w:pPr>
      <w:r>
        <w:rPr>
          <w:szCs w:val="22"/>
        </w:rPr>
        <w:tab/>
      </w:r>
      <w:r w:rsidR="009A4E06">
        <w:rPr>
          <w:szCs w:val="22"/>
        </w:rPr>
        <w:t>Newly proposed Stipulation</w:t>
      </w:r>
      <w:r>
        <w:rPr>
          <w:szCs w:val="22"/>
        </w:rPr>
        <w:t xml:space="preserve"> VII.E</w:t>
      </w:r>
      <w:r w:rsidR="00326550">
        <w:rPr>
          <w:szCs w:val="22"/>
        </w:rPr>
        <w:t xml:space="preserve"> provides that a </w:t>
      </w:r>
      <w:r w:rsidR="00326550" w:rsidRPr="00326550">
        <w:rPr>
          <w:szCs w:val="22"/>
        </w:rPr>
        <w:t>small antenna mounted inside a building or non-tower structure and su</w:t>
      </w:r>
      <w:r w:rsidR="00326550">
        <w:rPr>
          <w:szCs w:val="22"/>
        </w:rPr>
        <w:t xml:space="preserve">bject to the provisions of </w:t>
      </w:r>
      <w:r w:rsidR="00250B34">
        <w:rPr>
          <w:szCs w:val="22"/>
        </w:rPr>
        <w:t xml:space="preserve">Stipulation VII </w:t>
      </w:r>
      <w:r w:rsidR="00EB6D8C">
        <w:rPr>
          <w:szCs w:val="22"/>
        </w:rPr>
        <w:t>must</w:t>
      </w:r>
      <w:r w:rsidR="00326550" w:rsidRPr="00326550">
        <w:rPr>
          <w:szCs w:val="22"/>
        </w:rPr>
        <w:t xml:space="preserve"> be installed in a way that does not damage historic materials and permits removal of such facilities without damaging historic materials</w:t>
      </w:r>
    </w:p>
    <w:p w14:paraId="2F1441FD" w14:textId="77777777" w:rsidR="003B3030" w:rsidRDefault="003B3030" w:rsidP="003B3030">
      <w:pPr>
        <w:rPr>
          <w:szCs w:val="22"/>
        </w:rPr>
      </w:pPr>
    </w:p>
    <w:p w14:paraId="373440AE" w14:textId="7708DB83" w:rsidR="003B3030" w:rsidRPr="00611236" w:rsidRDefault="003B3030" w:rsidP="003B3030">
      <w:pPr>
        <w:rPr>
          <w:szCs w:val="22"/>
        </w:rPr>
      </w:pPr>
      <w:r>
        <w:rPr>
          <w:szCs w:val="22"/>
        </w:rPr>
        <w:tab/>
        <w:t>In addition, there are a number of</w:t>
      </w:r>
      <w:r w:rsidR="00A430B3">
        <w:rPr>
          <w:szCs w:val="22"/>
        </w:rPr>
        <w:t xml:space="preserve"> other proposed </w:t>
      </w:r>
      <w:r w:rsidR="00EB6D8C">
        <w:rPr>
          <w:szCs w:val="22"/>
        </w:rPr>
        <w:t xml:space="preserve">minor </w:t>
      </w:r>
      <w:r w:rsidR="00A430B3">
        <w:rPr>
          <w:szCs w:val="22"/>
        </w:rPr>
        <w:t>amendments to the Collocation Agreement.  These include revisions to the preamble t</w:t>
      </w:r>
      <w:r w:rsidR="00EB6D8C">
        <w:rPr>
          <w:szCs w:val="22"/>
        </w:rPr>
        <w:t>hat: (1) define our policy goals in amending the Collocation Agreement; (2) define “Antenna”; (3) update t</w:t>
      </w:r>
      <w:r w:rsidR="006B1042">
        <w:rPr>
          <w:szCs w:val="22"/>
        </w:rPr>
        <w:t>he Agreement to refer to the NPA</w:t>
      </w:r>
      <w:r w:rsidR="00EB6D8C">
        <w:rPr>
          <w:szCs w:val="22"/>
        </w:rPr>
        <w:t xml:space="preserve">; and (4) </w:t>
      </w:r>
      <w:r w:rsidR="00A430B3">
        <w:rPr>
          <w:szCs w:val="22"/>
        </w:rPr>
        <w:t xml:space="preserve"> clarify the definition of “Collocation.”  </w:t>
      </w:r>
      <w:r w:rsidR="00BD7C3C">
        <w:rPr>
          <w:szCs w:val="22"/>
        </w:rPr>
        <w:t>Other proposed amendments are intended to clarify and simplify the Collocation Agreement</w:t>
      </w:r>
      <w:r w:rsidR="00B9327F">
        <w:rPr>
          <w:szCs w:val="22"/>
        </w:rPr>
        <w:t>, without changing the way the exclusions have worked in practice</w:t>
      </w:r>
      <w:r w:rsidR="00583598">
        <w:rPr>
          <w:szCs w:val="22"/>
        </w:rPr>
        <w:t xml:space="preserve">.  Thus, the amended Agreement: (1) updates the cite to the NHPA; </w:t>
      </w:r>
      <w:r w:rsidR="00320A59">
        <w:rPr>
          <w:szCs w:val="22"/>
        </w:rPr>
        <w:t xml:space="preserve">(2) clarifies the terms of the exclusions under Stipulations III and IV by simplifying the criteria </w:t>
      </w:r>
      <w:r w:rsidR="00B9327F">
        <w:rPr>
          <w:szCs w:val="22"/>
        </w:rPr>
        <w:t>that make</w:t>
      </w:r>
      <w:r w:rsidR="00320A59">
        <w:rPr>
          <w:szCs w:val="22"/>
        </w:rPr>
        <w:t xml:space="preserve"> towers ineligible for the exclusion</w:t>
      </w:r>
      <w:r w:rsidR="00B9327F">
        <w:rPr>
          <w:szCs w:val="22"/>
        </w:rPr>
        <w:t>s</w:t>
      </w:r>
      <w:r w:rsidR="00320A59">
        <w:rPr>
          <w:szCs w:val="22"/>
        </w:rPr>
        <w:t xml:space="preserve"> and making clear that complaints from </w:t>
      </w:r>
      <w:r w:rsidR="00B9327F">
        <w:rPr>
          <w:szCs w:val="22"/>
        </w:rPr>
        <w:t>Tribal Nations (as well as SHPOs, ACHP, and the public)</w:t>
      </w:r>
      <w:r w:rsidR="00320A59">
        <w:rPr>
          <w:szCs w:val="22"/>
        </w:rPr>
        <w:t xml:space="preserve"> may make a tower ineligible; </w:t>
      </w:r>
      <w:r w:rsidR="004A7841">
        <w:rPr>
          <w:szCs w:val="22"/>
        </w:rPr>
        <w:t xml:space="preserve">and </w:t>
      </w:r>
      <w:r w:rsidR="00320A59">
        <w:rPr>
          <w:szCs w:val="22"/>
        </w:rPr>
        <w:t xml:space="preserve">(3) provides a process for the public to notify the FCC regarding any concerns with the </w:t>
      </w:r>
      <w:r w:rsidR="006B1042">
        <w:rPr>
          <w:szCs w:val="22"/>
        </w:rPr>
        <w:t xml:space="preserve">application of the </w:t>
      </w:r>
      <w:r w:rsidR="00320A59">
        <w:rPr>
          <w:szCs w:val="22"/>
        </w:rPr>
        <w:t xml:space="preserve">Collocation Agreement </w:t>
      </w:r>
      <w:r w:rsidR="006B1042">
        <w:rPr>
          <w:szCs w:val="22"/>
        </w:rPr>
        <w:t>to specific undertakings</w:t>
      </w:r>
      <w:r w:rsidR="00D52BB5">
        <w:rPr>
          <w:szCs w:val="22"/>
        </w:rPr>
        <w:t xml:space="preserve"> (similar to the existing process under the NPA)</w:t>
      </w:r>
      <w:r w:rsidR="006B1042">
        <w:rPr>
          <w:szCs w:val="22"/>
        </w:rPr>
        <w:t>.</w:t>
      </w:r>
      <w:r>
        <w:rPr>
          <w:szCs w:val="22"/>
        </w:rPr>
        <w:t xml:space="preserve">  These amendments are </w:t>
      </w:r>
      <w:r w:rsidR="003D3F1F">
        <w:rPr>
          <w:szCs w:val="22"/>
        </w:rPr>
        <w:t>reflected in Appendix A</w:t>
      </w:r>
      <w:r>
        <w:rPr>
          <w:szCs w:val="22"/>
        </w:rPr>
        <w:t xml:space="preserve">.    </w:t>
      </w:r>
    </w:p>
    <w:p w14:paraId="6AA22EC5" w14:textId="77777777" w:rsidR="003B3030" w:rsidRPr="006543BA" w:rsidRDefault="003B3030" w:rsidP="003B3030">
      <w:pPr>
        <w:ind w:firstLine="720"/>
        <w:rPr>
          <w:szCs w:val="22"/>
        </w:rPr>
      </w:pPr>
    </w:p>
    <w:p w14:paraId="6AE93A6B" w14:textId="77777777" w:rsidR="003B3030" w:rsidRPr="005368E3" w:rsidRDefault="003B3030" w:rsidP="003B3030">
      <w:pPr>
        <w:ind w:firstLine="720"/>
        <w:rPr>
          <w:szCs w:val="22"/>
        </w:rPr>
      </w:pPr>
      <w:r>
        <w:rPr>
          <w:szCs w:val="22"/>
        </w:rPr>
        <w:t xml:space="preserve">This proceeding continues to be treated as exempt under the Commission’s </w:t>
      </w:r>
      <w:r w:rsidRPr="00A078B2">
        <w:rPr>
          <w:i/>
          <w:szCs w:val="22"/>
        </w:rPr>
        <w:t>ex parte</w:t>
      </w:r>
      <w:r>
        <w:rPr>
          <w:szCs w:val="22"/>
        </w:rPr>
        <w:t xml:space="preserve"> rules.</w:t>
      </w:r>
      <w:r>
        <w:rPr>
          <w:rStyle w:val="FootnoteReference"/>
          <w:szCs w:val="22"/>
        </w:rPr>
        <w:footnoteReference w:id="18"/>
      </w:r>
      <w:r>
        <w:rPr>
          <w:szCs w:val="22"/>
        </w:rPr>
        <w:t xml:space="preserve">  Accordingly, parties do not need to submit </w:t>
      </w:r>
      <w:r>
        <w:rPr>
          <w:i/>
          <w:szCs w:val="22"/>
        </w:rPr>
        <w:t>ex parte</w:t>
      </w:r>
      <w:r>
        <w:rPr>
          <w:szCs w:val="22"/>
        </w:rPr>
        <w:t xml:space="preserve"> filings for communications concerning the development of the amendments to the Collocation Agreement.</w:t>
      </w:r>
    </w:p>
    <w:p w14:paraId="10730892" w14:textId="77777777" w:rsidR="003B3030" w:rsidRDefault="003B3030" w:rsidP="003B3030">
      <w:pPr>
        <w:pStyle w:val="ParaNum0"/>
        <w:numPr>
          <w:ilvl w:val="0"/>
          <w:numId w:val="0"/>
        </w:numPr>
        <w:ind w:left="720"/>
      </w:pPr>
    </w:p>
    <w:p w14:paraId="281C7985" w14:textId="77777777" w:rsidR="003B3030" w:rsidRDefault="003B3030" w:rsidP="003B3030">
      <w:pPr>
        <w:ind w:firstLine="720"/>
        <w:rPr>
          <w:szCs w:val="22"/>
        </w:rPr>
      </w:pPr>
      <w:r w:rsidRPr="00521E9F">
        <w:rPr>
          <w:szCs w:val="22"/>
          <w:u w:val="single"/>
        </w:rPr>
        <w:t>Filing instructions</w:t>
      </w:r>
      <w:r>
        <w:rPr>
          <w:szCs w:val="22"/>
        </w:rPr>
        <w:t xml:space="preserve">:  </w:t>
      </w:r>
      <w:r w:rsidRPr="00521E9F">
        <w:rPr>
          <w:szCs w:val="22"/>
        </w:rPr>
        <w:t xml:space="preserve">Interested parties may file comments on or before the date indicated on the first page of this document.  Comments may be filed using the Commission’s Electronic Comment Filing System (“ECFS”). </w:t>
      </w:r>
    </w:p>
    <w:p w14:paraId="676EAACC" w14:textId="77777777" w:rsidR="003B3030" w:rsidRPr="00521E9F" w:rsidRDefault="003B3030" w:rsidP="003B3030">
      <w:pPr>
        <w:ind w:firstLine="720"/>
        <w:rPr>
          <w:szCs w:val="22"/>
        </w:rPr>
      </w:pPr>
    </w:p>
    <w:p w14:paraId="1B9B38E4" w14:textId="45BDE42D" w:rsidR="003B3030" w:rsidRPr="00D67DFA" w:rsidRDefault="003B3030" w:rsidP="003B3030">
      <w:pPr>
        <w:numPr>
          <w:ilvl w:val="0"/>
          <w:numId w:val="14"/>
        </w:numPr>
        <w:snapToGrid w:val="0"/>
        <w:rPr>
          <w:szCs w:val="22"/>
        </w:rPr>
      </w:pPr>
      <w:r w:rsidRPr="00D67DFA">
        <w:rPr>
          <w:szCs w:val="22"/>
        </w:rPr>
        <w:t xml:space="preserve">Electronic Filers:  Comments may be filed electronically using the Internet by accessing the ECFS:  </w:t>
      </w:r>
      <w:hyperlink r:id="rId9" w:history="1">
        <w:r w:rsidRPr="00D67DFA">
          <w:rPr>
            <w:rStyle w:val="Hyperlink"/>
            <w:szCs w:val="22"/>
          </w:rPr>
          <w:t>http://fjallfoss.fcc.gov/ecfs2/</w:t>
        </w:r>
      </w:hyperlink>
      <w:r w:rsidRPr="00D67DFA">
        <w:rPr>
          <w:szCs w:val="22"/>
        </w:rPr>
        <w:t xml:space="preserve">.  </w:t>
      </w:r>
    </w:p>
    <w:p w14:paraId="2CE24212" w14:textId="77777777" w:rsidR="003B3030" w:rsidRPr="00D67DFA" w:rsidRDefault="003B3030" w:rsidP="003B3030">
      <w:pPr>
        <w:rPr>
          <w:szCs w:val="22"/>
        </w:rPr>
      </w:pPr>
    </w:p>
    <w:p w14:paraId="7F0D6BB3" w14:textId="77777777" w:rsidR="003B3030" w:rsidRPr="00D67DFA" w:rsidRDefault="003B3030" w:rsidP="003B3030">
      <w:pPr>
        <w:numPr>
          <w:ilvl w:val="0"/>
          <w:numId w:val="15"/>
        </w:numPr>
        <w:snapToGrid w:val="0"/>
        <w:rPr>
          <w:szCs w:val="22"/>
        </w:rPr>
      </w:pPr>
      <w:r w:rsidRPr="00D67DFA">
        <w:rPr>
          <w:szCs w:val="22"/>
        </w:rPr>
        <w:t xml:space="preserve">Paper Filers:  Parties who choose to file by paper </w:t>
      </w:r>
      <w:r>
        <w:rPr>
          <w:szCs w:val="22"/>
        </w:rPr>
        <w:t>should</w:t>
      </w:r>
      <w:r w:rsidRPr="00D67DFA">
        <w:rPr>
          <w:szCs w:val="22"/>
        </w:rPr>
        <w:t xml:space="preserve"> file an original and one copy of each filing.  If more than one docket or rulemaking number appears in the caption of this proceeding, filers </w:t>
      </w:r>
      <w:r>
        <w:rPr>
          <w:szCs w:val="22"/>
        </w:rPr>
        <w:t>should</w:t>
      </w:r>
      <w:r w:rsidRPr="00D67DFA">
        <w:rPr>
          <w:szCs w:val="22"/>
        </w:rPr>
        <w:t xml:space="preserve"> submit two additional copies for each additional docket or rulemaking number.</w:t>
      </w:r>
    </w:p>
    <w:p w14:paraId="40E9B6F3" w14:textId="77777777" w:rsidR="003B3030" w:rsidRPr="00D67DFA" w:rsidRDefault="003B3030" w:rsidP="003B3030">
      <w:pPr>
        <w:rPr>
          <w:szCs w:val="22"/>
        </w:rPr>
      </w:pPr>
    </w:p>
    <w:p w14:paraId="611C6B1B" w14:textId="77777777" w:rsidR="003B3030" w:rsidRPr="00D67DFA" w:rsidRDefault="003B3030" w:rsidP="003B3030">
      <w:pPr>
        <w:ind w:left="720"/>
        <w:rPr>
          <w:szCs w:val="22"/>
        </w:rPr>
      </w:pPr>
      <w:r w:rsidRPr="00D67DFA">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1A45DB0E" w14:textId="77777777" w:rsidR="003B3030" w:rsidRPr="00D67DFA" w:rsidRDefault="003B3030" w:rsidP="003B3030">
      <w:pPr>
        <w:rPr>
          <w:szCs w:val="22"/>
        </w:rPr>
      </w:pPr>
    </w:p>
    <w:p w14:paraId="04F15F50" w14:textId="77777777" w:rsidR="003B3030" w:rsidRPr="00D67DFA" w:rsidRDefault="003B3030" w:rsidP="003B3030">
      <w:pPr>
        <w:numPr>
          <w:ilvl w:val="0"/>
          <w:numId w:val="16"/>
        </w:numPr>
        <w:snapToGrid w:val="0"/>
        <w:rPr>
          <w:szCs w:val="22"/>
        </w:rPr>
      </w:pPr>
      <w:r w:rsidRPr="00D67DFA">
        <w:rPr>
          <w:szCs w:val="22"/>
        </w:rPr>
        <w:t>All hand-delivered or messenger-delivered paper filings for the Commission’s Secretary must be delivered to FCC Headquarters at 445 12</w:t>
      </w:r>
      <w:r w:rsidRPr="00D67DFA">
        <w:rPr>
          <w:szCs w:val="22"/>
          <w:vertAlign w:val="superscript"/>
        </w:rPr>
        <w:t>th</w:t>
      </w:r>
      <w:r w:rsidRPr="00D67DFA">
        <w:rPr>
          <w:szCs w:val="22"/>
        </w:rPr>
        <w:t xml:space="preserve"> St., SW, Room TW-A325, Washington, DC 20554.  The filing hours are 8:00 a.m. to 7:00 p.m.  All hand deliveries must be held together with rubber bands or fasteners.  Any envelopes and boxes must be disposed of </w:t>
      </w:r>
      <w:r w:rsidRPr="00D67DFA">
        <w:rPr>
          <w:szCs w:val="22"/>
          <w:u w:val="single"/>
        </w:rPr>
        <w:t>before</w:t>
      </w:r>
      <w:r w:rsidRPr="00D67DFA">
        <w:rPr>
          <w:szCs w:val="22"/>
        </w:rPr>
        <w:t xml:space="preserve"> entering the building.  </w:t>
      </w:r>
    </w:p>
    <w:p w14:paraId="3AE22E85" w14:textId="77777777" w:rsidR="003B3030" w:rsidRPr="00D67DFA" w:rsidRDefault="003B3030" w:rsidP="003B3030">
      <w:pPr>
        <w:ind w:left="1080"/>
        <w:rPr>
          <w:szCs w:val="22"/>
        </w:rPr>
      </w:pPr>
    </w:p>
    <w:p w14:paraId="121F6F79" w14:textId="77777777" w:rsidR="003B3030" w:rsidRPr="00D67DFA" w:rsidRDefault="003B3030" w:rsidP="003B3030">
      <w:pPr>
        <w:numPr>
          <w:ilvl w:val="0"/>
          <w:numId w:val="16"/>
        </w:numPr>
        <w:snapToGrid w:val="0"/>
        <w:rPr>
          <w:szCs w:val="22"/>
        </w:rPr>
      </w:pPr>
      <w:r w:rsidRPr="00D67DFA">
        <w:rPr>
          <w:szCs w:val="22"/>
        </w:rPr>
        <w:t>Commercial overnight mail (other than U.S. Postal Service Express Mail and Priority Mail) must be sent to 9300 East Hampton Drive, Capitol Heights, MD  20743.</w:t>
      </w:r>
    </w:p>
    <w:p w14:paraId="5B042F8D" w14:textId="77777777" w:rsidR="003B3030" w:rsidRPr="00D67DFA" w:rsidRDefault="003B3030" w:rsidP="003B3030">
      <w:pPr>
        <w:rPr>
          <w:szCs w:val="22"/>
        </w:rPr>
      </w:pPr>
    </w:p>
    <w:p w14:paraId="4AA10FB6" w14:textId="77777777" w:rsidR="003B3030" w:rsidRPr="00D67DFA" w:rsidRDefault="003B3030" w:rsidP="003B3030">
      <w:pPr>
        <w:numPr>
          <w:ilvl w:val="0"/>
          <w:numId w:val="16"/>
        </w:numPr>
        <w:snapToGrid w:val="0"/>
        <w:rPr>
          <w:szCs w:val="22"/>
        </w:rPr>
      </w:pPr>
      <w:r w:rsidRPr="00D67DFA">
        <w:rPr>
          <w:szCs w:val="22"/>
        </w:rPr>
        <w:t>U.S. Postal Service first-class, Express, and Priority mail must be addressed to 445 12</w:t>
      </w:r>
      <w:r w:rsidRPr="00D67DFA">
        <w:rPr>
          <w:szCs w:val="22"/>
          <w:vertAlign w:val="superscript"/>
        </w:rPr>
        <w:t>th</w:t>
      </w:r>
      <w:r w:rsidRPr="00D67DFA">
        <w:rPr>
          <w:szCs w:val="22"/>
        </w:rPr>
        <w:t xml:space="preserve"> Street, SW, Washington DC  20554.</w:t>
      </w:r>
    </w:p>
    <w:p w14:paraId="1FE48AA4" w14:textId="77777777" w:rsidR="003B3030" w:rsidRPr="00D67DFA" w:rsidRDefault="003B3030" w:rsidP="003B3030">
      <w:pPr>
        <w:spacing w:after="120"/>
        <w:rPr>
          <w:szCs w:val="22"/>
        </w:rPr>
      </w:pPr>
      <w:r w:rsidRPr="00D67DFA">
        <w:rPr>
          <w:szCs w:val="22"/>
        </w:rPr>
        <w:t>.</w:t>
      </w:r>
    </w:p>
    <w:p w14:paraId="1DA78109" w14:textId="042B9B27" w:rsidR="003B3030" w:rsidRPr="00D67DFA" w:rsidRDefault="003B3030" w:rsidP="003B3030">
      <w:pPr>
        <w:ind w:firstLine="720"/>
      </w:pPr>
      <w:r w:rsidRPr="00521E9F">
        <w:rPr>
          <w:u w:val="single"/>
        </w:rPr>
        <w:t>Availability of Documents</w:t>
      </w:r>
      <w:r>
        <w:t>:</w:t>
      </w:r>
      <w:r w:rsidRPr="00D67DFA">
        <w:t xml:space="preserve">  Comments will be available for public inspection during regular business hours in the FCC Reference Center, Federal Communications Commission, 445 12</w:t>
      </w:r>
      <w:r w:rsidRPr="00D67DFA">
        <w:rPr>
          <w:vertAlign w:val="superscript"/>
        </w:rPr>
        <w:t>th</w:t>
      </w:r>
      <w:r w:rsidRPr="00D67DFA">
        <w:t xml:space="preserve"> Street, S.W., CY-A257, Washington, D.C., 20554.  These </w:t>
      </w:r>
      <w:r w:rsidRPr="00521E9F">
        <w:rPr>
          <w:szCs w:val="22"/>
        </w:rPr>
        <w:t>documents</w:t>
      </w:r>
      <w:r w:rsidRPr="00D67DFA">
        <w:t xml:space="preserve"> will also be available via ECFS.  </w:t>
      </w:r>
      <w:hyperlink r:id="rId10" w:history="1">
        <w:r w:rsidRPr="00D67DFA">
          <w:rPr>
            <w:rStyle w:val="Hyperlink"/>
          </w:rPr>
          <w:t>http://fjallfoss.fcc.gov/ecfs2/</w:t>
        </w:r>
      </w:hyperlink>
      <w:r>
        <w:t xml:space="preserve">  </w:t>
      </w:r>
      <w:r w:rsidRPr="00D67DFA">
        <w:t xml:space="preserve">Documents will be available electronically in ASCII, Microsoft Word, and/or Adobe Acrobat. </w:t>
      </w:r>
    </w:p>
    <w:p w14:paraId="3E0DE660" w14:textId="77777777" w:rsidR="003B3030" w:rsidRPr="006543BA" w:rsidRDefault="003B3030" w:rsidP="003B3030">
      <w:pPr>
        <w:rPr>
          <w:szCs w:val="22"/>
          <w:u w:val="single"/>
        </w:rPr>
      </w:pPr>
    </w:p>
    <w:p w14:paraId="364BBBE1" w14:textId="3FEC03D2" w:rsidR="003B3030" w:rsidRPr="006543BA" w:rsidRDefault="003B3030" w:rsidP="003B3030">
      <w:pPr>
        <w:ind w:firstLine="720"/>
        <w:rPr>
          <w:szCs w:val="22"/>
        </w:rPr>
      </w:pPr>
      <w:r w:rsidRPr="006543BA">
        <w:rPr>
          <w:szCs w:val="22"/>
          <w:u w:val="single"/>
        </w:rPr>
        <w:t>Accessibility information</w:t>
      </w:r>
      <w:r w:rsidRPr="00987CEF">
        <w:rPr>
          <w:szCs w:val="22"/>
        </w:rPr>
        <w:t xml:space="preserve">:  </w:t>
      </w:r>
      <w:r w:rsidRPr="006543BA">
        <w:rPr>
          <w:szCs w:val="22"/>
        </w:rPr>
        <w:t xml:space="preserve">To request information in accessible formats (computer diskettes large print, audio recording, and Braille), send an e-mail to </w:t>
      </w:r>
      <w:hyperlink r:id="rId11" w:history="1">
        <w:r w:rsidRPr="00AD6895">
          <w:rPr>
            <w:rStyle w:val="Hyperlink"/>
            <w:szCs w:val="22"/>
          </w:rPr>
          <w:t>fcc504@fcc.gov</w:t>
        </w:r>
      </w:hyperlink>
      <w:r w:rsidRPr="006543BA">
        <w:rPr>
          <w:szCs w:val="22"/>
        </w:rPr>
        <w:t xml:space="preserve"> or call the FCC’s Consumer and Governmental Affairs Bureau at (202) 418-0530(voice), (202) 418-0432(TTY).  This document can also be downloaded in Word and Portable Document Format (PDF) at </w:t>
      </w:r>
      <w:hyperlink r:id="rId12" w:history="1">
        <w:r w:rsidRPr="006543BA">
          <w:rPr>
            <w:rStyle w:val="Hyperlink"/>
            <w:szCs w:val="22"/>
          </w:rPr>
          <w:t>www.fcc.gov</w:t>
        </w:r>
      </w:hyperlink>
      <w:r w:rsidRPr="006543BA">
        <w:rPr>
          <w:szCs w:val="22"/>
        </w:rPr>
        <w:t>.</w:t>
      </w:r>
    </w:p>
    <w:p w14:paraId="127379C3" w14:textId="77777777" w:rsidR="003B3030" w:rsidRPr="006543BA" w:rsidRDefault="003B3030" w:rsidP="003B3030">
      <w:pPr>
        <w:rPr>
          <w:szCs w:val="22"/>
        </w:rPr>
      </w:pPr>
    </w:p>
    <w:p w14:paraId="7312EB34" w14:textId="325FB520" w:rsidR="003B3030" w:rsidRDefault="003B3030" w:rsidP="003B3030">
      <w:pPr>
        <w:rPr>
          <w:szCs w:val="22"/>
        </w:rPr>
      </w:pPr>
      <w:r w:rsidRPr="006543BA">
        <w:rPr>
          <w:szCs w:val="22"/>
        </w:rPr>
        <w:tab/>
        <w:t>Wireless Telecommunications Bureau contact</w:t>
      </w:r>
      <w:r>
        <w:rPr>
          <w:szCs w:val="22"/>
        </w:rPr>
        <w:t>s</w:t>
      </w:r>
      <w:r w:rsidRPr="006543BA">
        <w:rPr>
          <w:szCs w:val="22"/>
        </w:rPr>
        <w:t>: Stephen DelSordo</w:t>
      </w:r>
      <w:r>
        <w:rPr>
          <w:szCs w:val="22"/>
        </w:rPr>
        <w:t>,</w:t>
      </w:r>
      <w:r w:rsidRPr="006543BA">
        <w:rPr>
          <w:szCs w:val="22"/>
        </w:rPr>
        <w:t xml:space="preserve"> (202) 418-1986 or </w:t>
      </w:r>
      <w:hyperlink r:id="rId13" w:history="1">
        <w:r w:rsidRPr="00256277">
          <w:rPr>
            <w:rStyle w:val="Hyperlink"/>
            <w:szCs w:val="22"/>
          </w:rPr>
          <w:t>stephen.delsordo@fcc.gov</w:t>
        </w:r>
      </w:hyperlink>
      <w:r>
        <w:rPr>
          <w:szCs w:val="22"/>
        </w:rPr>
        <w:t xml:space="preserve">, or Paul D’Ari, 202-418-1550 or </w:t>
      </w:r>
      <w:hyperlink r:id="rId14" w:history="1">
        <w:r w:rsidRPr="00E33E24">
          <w:rPr>
            <w:rStyle w:val="Hyperlink"/>
            <w:szCs w:val="22"/>
          </w:rPr>
          <w:t>paul.dari@fcc.gov</w:t>
        </w:r>
      </w:hyperlink>
      <w:r>
        <w:rPr>
          <w:rStyle w:val="Hyperlink"/>
          <w:szCs w:val="22"/>
        </w:rPr>
        <w:t>.</w:t>
      </w:r>
    </w:p>
    <w:p w14:paraId="37D62107" w14:textId="77777777" w:rsidR="003B3030" w:rsidRDefault="003B3030" w:rsidP="003B3030">
      <w:pPr>
        <w:rPr>
          <w:szCs w:val="22"/>
        </w:rPr>
      </w:pPr>
      <w:r>
        <w:rPr>
          <w:szCs w:val="22"/>
        </w:rPr>
        <w:tab/>
      </w:r>
    </w:p>
    <w:p w14:paraId="2CBDDC31" w14:textId="77777777" w:rsidR="003B3030" w:rsidRDefault="003B3030" w:rsidP="003B3030">
      <w:pPr>
        <w:ind w:firstLine="720"/>
        <w:rPr>
          <w:szCs w:val="22"/>
        </w:rPr>
      </w:pPr>
      <w:r>
        <w:rPr>
          <w:szCs w:val="22"/>
        </w:rPr>
        <w:t>Media contact: Cecilia Sulhoff, (202) 418-0587 or cecilia.sulhoff@fcc.gov.</w:t>
      </w:r>
    </w:p>
    <w:p w14:paraId="0AB504B1" w14:textId="77777777" w:rsidR="003B3030" w:rsidRDefault="003B3030" w:rsidP="003B3030">
      <w:pPr>
        <w:ind w:firstLine="720"/>
        <w:rPr>
          <w:szCs w:val="22"/>
        </w:rPr>
      </w:pPr>
    </w:p>
    <w:p w14:paraId="5D81B950" w14:textId="77777777" w:rsidR="003B3030" w:rsidRDefault="003B3030" w:rsidP="003B3030">
      <w:pPr>
        <w:ind w:firstLine="720"/>
        <w:rPr>
          <w:szCs w:val="22"/>
        </w:rPr>
      </w:pPr>
    </w:p>
    <w:p w14:paraId="54AF290C" w14:textId="77777777" w:rsidR="003B3030" w:rsidRDefault="003B3030" w:rsidP="003B3030">
      <w:pPr>
        <w:ind w:firstLine="720"/>
        <w:jc w:val="center"/>
        <w:rPr>
          <w:szCs w:val="22"/>
        </w:rPr>
      </w:pPr>
      <w:r>
        <w:rPr>
          <w:szCs w:val="22"/>
        </w:rPr>
        <w:t xml:space="preserve">- </w:t>
      </w:r>
      <w:r w:rsidRPr="00826845">
        <w:rPr>
          <w:b/>
          <w:szCs w:val="22"/>
        </w:rPr>
        <w:t>FCC</w:t>
      </w:r>
      <w:r>
        <w:rPr>
          <w:szCs w:val="22"/>
        </w:rPr>
        <w:t xml:space="preserve"> -</w:t>
      </w:r>
    </w:p>
    <w:p w14:paraId="5EC69C48" w14:textId="77777777" w:rsidR="003B3030" w:rsidRPr="00776BBA" w:rsidRDefault="003B3030" w:rsidP="003B3030">
      <w:pPr>
        <w:ind w:firstLine="720"/>
        <w:rPr>
          <w:szCs w:val="22"/>
        </w:rPr>
        <w:sectPr w:rsidR="003B3030" w:rsidRPr="00776BBA" w:rsidSect="00DC02F6">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720" w:left="1440" w:header="720" w:footer="720" w:gutter="0"/>
          <w:pgNumType w:start="1"/>
          <w:cols w:space="720"/>
          <w:titlePg/>
          <w:docGrid w:linePitch="299"/>
        </w:sectPr>
      </w:pPr>
    </w:p>
    <w:p w14:paraId="046657B8" w14:textId="77777777" w:rsidR="003B3030" w:rsidRDefault="003B3030" w:rsidP="003B3030">
      <w:pPr>
        <w:rPr>
          <w:b/>
          <w:szCs w:val="22"/>
        </w:rPr>
      </w:pPr>
    </w:p>
    <w:p w14:paraId="653FCDFC" w14:textId="77777777" w:rsidR="003B3030" w:rsidRDefault="003B3030" w:rsidP="003B3030">
      <w:pPr>
        <w:rPr>
          <w:sz w:val="24"/>
          <w:szCs w:val="24"/>
        </w:rPr>
      </w:pPr>
    </w:p>
    <w:p w14:paraId="5BCE39D3" w14:textId="77777777" w:rsidR="003B3030" w:rsidRDefault="003B3030" w:rsidP="003B3030">
      <w:pPr>
        <w:rPr>
          <w:sz w:val="24"/>
          <w:szCs w:val="24"/>
        </w:rPr>
      </w:pPr>
    </w:p>
    <w:p w14:paraId="118D4878" w14:textId="77777777" w:rsidR="00602577" w:rsidRDefault="00602577" w:rsidP="00DC02F6">
      <w:pPr>
        <w:spacing w:before="120" w:after="240"/>
        <w:rPr>
          <w:sz w:val="24"/>
        </w:rPr>
      </w:pPr>
    </w:p>
    <w:sectPr w:rsidR="00602577" w:rsidSect="00DC02F6">
      <w:headerReference w:type="default" r:id="rId21"/>
      <w:footerReference w:type="default" r:id="rId22"/>
      <w:headerReference w:type="first" r:id="rId23"/>
      <w:footerReference w:type="first" r:id="rId24"/>
      <w:type w:val="continuous"/>
      <w:pgSz w:w="12240" w:h="15840" w:code="1"/>
      <w:pgMar w:top="720" w:right="1440" w:bottom="1440" w:left="1440" w:header="720"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18BB3" w14:textId="77777777" w:rsidR="00C719C9" w:rsidRDefault="00C719C9">
      <w:r>
        <w:separator/>
      </w:r>
    </w:p>
  </w:endnote>
  <w:endnote w:type="continuationSeparator" w:id="0">
    <w:p w14:paraId="282AC1AE" w14:textId="77777777" w:rsidR="00C719C9" w:rsidRDefault="00C719C9">
      <w:r>
        <w:continuationSeparator/>
      </w:r>
    </w:p>
  </w:endnote>
  <w:endnote w:type="continuationNotice" w:id="1">
    <w:p w14:paraId="577B1163" w14:textId="77777777" w:rsidR="00C719C9" w:rsidRDefault="00C71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81FA9" w14:textId="77777777" w:rsidR="003B3030" w:rsidRDefault="003B3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8376FA" w14:textId="77777777" w:rsidR="003B3030" w:rsidRDefault="003B3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3225" w14:textId="77777777" w:rsidR="003B3030" w:rsidRDefault="003B3030" w:rsidP="00DF5759">
    <w:pPr>
      <w:pStyle w:val="Footer"/>
      <w:jc w:val="center"/>
    </w:pPr>
    <w:r>
      <w:fldChar w:fldCharType="begin"/>
    </w:r>
    <w:r>
      <w:instrText xml:space="preserve"> PAGE   \* MERGEFORMAT </w:instrText>
    </w:r>
    <w:r>
      <w:fldChar w:fldCharType="separate"/>
    </w:r>
    <w:r w:rsidR="00A830A8">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B197" w14:textId="77777777" w:rsidR="00A830A8" w:rsidRDefault="00A830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AC6C" w14:textId="77777777" w:rsidR="0072370F" w:rsidRDefault="0072370F" w:rsidP="00DC02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3EF3D" w14:textId="77777777" w:rsidR="0072370F" w:rsidRDefault="0072370F" w:rsidP="00DC0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7CDB1" w14:textId="77777777" w:rsidR="00C719C9" w:rsidRDefault="00C719C9">
      <w:r>
        <w:separator/>
      </w:r>
    </w:p>
  </w:footnote>
  <w:footnote w:type="continuationSeparator" w:id="0">
    <w:p w14:paraId="0AC78610" w14:textId="77777777" w:rsidR="00C719C9" w:rsidRDefault="00C719C9">
      <w:r>
        <w:continuationSeparator/>
      </w:r>
    </w:p>
  </w:footnote>
  <w:footnote w:type="continuationNotice" w:id="1">
    <w:p w14:paraId="6D6721F7" w14:textId="77777777" w:rsidR="00C719C9" w:rsidRDefault="00C719C9"/>
  </w:footnote>
  <w:footnote w:id="2">
    <w:p w14:paraId="2463ECF1" w14:textId="77777777" w:rsidR="00832795" w:rsidRPr="00066B13" w:rsidRDefault="00832795" w:rsidP="00832795">
      <w:pPr>
        <w:pStyle w:val="FootnoteText"/>
        <w:rPr>
          <w:sz w:val="20"/>
        </w:rPr>
      </w:pPr>
      <w:r w:rsidRPr="00066B13">
        <w:rPr>
          <w:rStyle w:val="FootnoteReference"/>
          <w:sz w:val="20"/>
        </w:rPr>
        <w:footnoteRef/>
      </w:r>
      <w:r w:rsidRPr="00066B13">
        <w:rPr>
          <w:sz w:val="20"/>
        </w:rPr>
        <w:t xml:space="preserve"> </w:t>
      </w:r>
      <w:r w:rsidRPr="000D0E44">
        <w:rPr>
          <w:sz w:val="20"/>
        </w:rPr>
        <w:t>54 U.S.C. § 306108 (formerly codified at 16 U.S.C. § 470f)</w:t>
      </w:r>
      <w:r w:rsidRPr="00066B13">
        <w:rPr>
          <w:color w:val="000000"/>
          <w:sz w:val="20"/>
        </w:rPr>
        <w:t>.</w:t>
      </w:r>
    </w:p>
  </w:footnote>
  <w:footnote w:id="3">
    <w:p w14:paraId="28859E56" w14:textId="141B1AED" w:rsidR="00832795" w:rsidRPr="00295E50" w:rsidRDefault="00832795" w:rsidP="00832795">
      <w:pPr>
        <w:pStyle w:val="FootnoteText"/>
        <w:rPr>
          <w:sz w:val="20"/>
        </w:rPr>
      </w:pPr>
      <w:r w:rsidRPr="00295E50">
        <w:rPr>
          <w:rStyle w:val="FootnoteReference"/>
          <w:sz w:val="20"/>
        </w:rPr>
        <w:footnoteRef/>
      </w:r>
      <w:r w:rsidRPr="00295E50">
        <w:rPr>
          <w:sz w:val="20"/>
        </w:rPr>
        <w:t xml:space="preserve"> </w:t>
      </w:r>
      <w:r w:rsidRPr="00066B13">
        <w:rPr>
          <w:sz w:val="20"/>
        </w:rPr>
        <w:t xml:space="preserve">47 </w:t>
      </w:r>
      <w:r>
        <w:rPr>
          <w:sz w:val="20"/>
        </w:rPr>
        <w:t>CFR</w:t>
      </w:r>
      <w:r w:rsidRPr="00066B13">
        <w:rPr>
          <w:sz w:val="20"/>
        </w:rPr>
        <w:t xml:space="preserve"> </w:t>
      </w:r>
      <w:r w:rsidR="002F746B">
        <w:rPr>
          <w:sz w:val="20"/>
        </w:rPr>
        <w:t>p</w:t>
      </w:r>
      <w:r w:rsidRPr="00066B13">
        <w:rPr>
          <w:sz w:val="20"/>
        </w:rPr>
        <w:t>t</w:t>
      </w:r>
      <w:r w:rsidR="001259B0">
        <w:rPr>
          <w:sz w:val="20"/>
        </w:rPr>
        <w:t>.</w:t>
      </w:r>
      <w:r w:rsidRPr="00066B13">
        <w:rPr>
          <w:sz w:val="20"/>
        </w:rPr>
        <w:t xml:space="preserve"> 1, App. B.  </w:t>
      </w:r>
      <w:r w:rsidRPr="00066B13">
        <w:rPr>
          <w:color w:val="000000"/>
          <w:sz w:val="20"/>
        </w:rPr>
        <w:t xml:space="preserve">Section </w:t>
      </w:r>
      <w:r w:rsidR="009B628E">
        <w:rPr>
          <w:color w:val="000000"/>
          <w:sz w:val="20"/>
        </w:rPr>
        <w:t>VIII</w:t>
      </w:r>
      <w:r w:rsidRPr="00066B13">
        <w:rPr>
          <w:color w:val="000000"/>
          <w:sz w:val="20"/>
        </w:rPr>
        <w:t xml:space="preserve"> of the Collocation Agreement</w:t>
      </w:r>
      <w:r>
        <w:rPr>
          <w:color w:val="000000"/>
          <w:sz w:val="20"/>
        </w:rPr>
        <w:t xml:space="preserve"> as currently in effect</w:t>
      </w:r>
      <w:r w:rsidRPr="00066B13">
        <w:rPr>
          <w:color w:val="000000"/>
          <w:sz w:val="20"/>
        </w:rPr>
        <w:t xml:space="preserve"> </w:t>
      </w:r>
      <w:r w:rsidR="009B628E">
        <w:rPr>
          <w:color w:val="000000"/>
          <w:sz w:val="20"/>
        </w:rPr>
        <w:t xml:space="preserve">(Section X of the </w:t>
      </w:r>
      <w:r w:rsidR="00B9327F">
        <w:rPr>
          <w:color w:val="000000"/>
          <w:sz w:val="20"/>
        </w:rPr>
        <w:t>A</w:t>
      </w:r>
      <w:r w:rsidR="009B628E">
        <w:rPr>
          <w:color w:val="000000"/>
          <w:sz w:val="20"/>
        </w:rPr>
        <w:t>mended</w:t>
      </w:r>
      <w:r w:rsidR="00B9327F">
        <w:rPr>
          <w:color w:val="000000"/>
          <w:sz w:val="20"/>
        </w:rPr>
        <w:t xml:space="preserve"> Collocation</w:t>
      </w:r>
      <w:r w:rsidR="009B628E">
        <w:rPr>
          <w:color w:val="000000"/>
          <w:sz w:val="20"/>
        </w:rPr>
        <w:t xml:space="preserve"> Agreement) </w:t>
      </w:r>
      <w:r w:rsidRPr="00066B13">
        <w:rPr>
          <w:color w:val="000000"/>
          <w:sz w:val="20"/>
        </w:rPr>
        <w:t xml:space="preserve">provides the signatories with an opportunity to propose amendments to the agreement, to be executed upon the written concurrence of all signatories.  </w:t>
      </w:r>
      <w:r w:rsidRPr="00066B13">
        <w:rPr>
          <w:i/>
          <w:color w:val="000000"/>
          <w:sz w:val="20"/>
        </w:rPr>
        <w:t>Id</w:t>
      </w:r>
      <w:r w:rsidRPr="00066B13">
        <w:rPr>
          <w:color w:val="000000"/>
          <w:sz w:val="20"/>
        </w:rPr>
        <w:t xml:space="preserve">.  The </w:t>
      </w:r>
      <w:r>
        <w:rPr>
          <w:color w:val="000000"/>
          <w:sz w:val="20"/>
        </w:rPr>
        <w:t xml:space="preserve">proposed </w:t>
      </w:r>
      <w:r w:rsidR="00B9327F">
        <w:rPr>
          <w:color w:val="000000"/>
          <w:sz w:val="20"/>
        </w:rPr>
        <w:t>A</w:t>
      </w:r>
      <w:r w:rsidRPr="00066B13">
        <w:rPr>
          <w:color w:val="000000"/>
          <w:sz w:val="20"/>
        </w:rPr>
        <w:t>mended Collocation Agreement is attached</w:t>
      </w:r>
      <w:r>
        <w:rPr>
          <w:color w:val="000000"/>
          <w:sz w:val="20"/>
        </w:rPr>
        <w:t xml:space="preserve"> to this Public Notice</w:t>
      </w:r>
      <w:r w:rsidRPr="00066B13">
        <w:rPr>
          <w:color w:val="000000"/>
          <w:sz w:val="20"/>
        </w:rPr>
        <w:t xml:space="preserve"> as Appendix A</w:t>
      </w:r>
      <w:r w:rsidRPr="00295E50">
        <w:rPr>
          <w:sz w:val="20"/>
        </w:rPr>
        <w:t>.</w:t>
      </w:r>
    </w:p>
  </w:footnote>
  <w:footnote w:id="4">
    <w:p w14:paraId="356C9868" w14:textId="4D203CA0" w:rsidR="00C158A0" w:rsidRPr="004978A2" w:rsidRDefault="00C158A0">
      <w:pPr>
        <w:pStyle w:val="FootnoteText"/>
        <w:rPr>
          <w:sz w:val="20"/>
        </w:rPr>
      </w:pPr>
      <w:r>
        <w:rPr>
          <w:rStyle w:val="FootnoteReference"/>
        </w:rPr>
        <w:footnoteRef/>
      </w:r>
      <w:r>
        <w:t xml:space="preserve"> </w:t>
      </w:r>
      <w:r>
        <w:rPr>
          <w:sz w:val="20"/>
        </w:rPr>
        <w:t>Tom Wheeler, Chairman, FCC, Remarks as Prepared for Delivery at the 19</w:t>
      </w:r>
      <w:r w:rsidR="00BF3738">
        <w:rPr>
          <w:sz w:val="20"/>
        </w:rPr>
        <w:t xml:space="preserve">th Annual </w:t>
      </w:r>
      <w:r>
        <w:rPr>
          <w:sz w:val="20"/>
        </w:rPr>
        <w:t>Satellite Leadership Dinner</w:t>
      </w:r>
      <w:r w:rsidR="00490BF6">
        <w:rPr>
          <w:sz w:val="20"/>
        </w:rPr>
        <w:t>, Washington, D.C.</w:t>
      </w:r>
      <w:r>
        <w:rPr>
          <w:sz w:val="20"/>
        </w:rPr>
        <w:t xml:space="preserve"> (Mar. 7, 2016).</w:t>
      </w:r>
    </w:p>
  </w:footnote>
  <w:footnote w:id="5">
    <w:p w14:paraId="29181958" w14:textId="77777777" w:rsidR="003B3030" w:rsidRPr="00DC689A" w:rsidRDefault="003B3030" w:rsidP="003B3030">
      <w:pPr>
        <w:pStyle w:val="FootnoteText"/>
        <w:rPr>
          <w:sz w:val="20"/>
        </w:rPr>
      </w:pPr>
      <w:r w:rsidRPr="00DC689A">
        <w:rPr>
          <w:rStyle w:val="FootnoteReference"/>
          <w:sz w:val="20"/>
        </w:rPr>
        <w:footnoteRef/>
      </w:r>
      <w:r w:rsidRPr="00DC689A">
        <w:rPr>
          <w:sz w:val="20"/>
        </w:rPr>
        <w:t xml:space="preserve"> 47 </w:t>
      </w:r>
      <w:r>
        <w:rPr>
          <w:sz w:val="20"/>
        </w:rPr>
        <w:t>CFR</w:t>
      </w:r>
      <w:r w:rsidRPr="00DC689A">
        <w:rPr>
          <w:sz w:val="20"/>
        </w:rPr>
        <w:t xml:space="preserve"> § 1.1307(a)(4).</w:t>
      </w:r>
    </w:p>
  </w:footnote>
  <w:footnote w:id="6">
    <w:p w14:paraId="1C90FF1E" w14:textId="16878C41" w:rsidR="003B3030" w:rsidRPr="00232B48" w:rsidRDefault="003B3030" w:rsidP="003B3030">
      <w:pPr>
        <w:pStyle w:val="FootnoteText"/>
        <w:spacing w:after="120"/>
        <w:rPr>
          <w:sz w:val="20"/>
        </w:rPr>
      </w:pPr>
      <w:r>
        <w:rPr>
          <w:rStyle w:val="FootnoteReference"/>
          <w:sz w:val="20"/>
        </w:rPr>
        <w:footnoteRef/>
      </w:r>
      <w:r w:rsidRPr="00C30167">
        <w:rPr>
          <w:sz w:val="20"/>
        </w:rPr>
        <w:t xml:space="preserve"> 47 </w:t>
      </w:r>
      <w:r>
        <w:rPr>
          <w:sz w:val="20"/>
        </w:rPr>
        <w:t>CFR</w:t>
      </w:r>
      <w:r w:rsidRPr="00C30167">
        <w:rPr>
          <w:sz w:val="20"/>
        </w:rPr>
        <w:t xml:space="preserve"> § 1.1307(a)(4)</w:t>
      </w:r>
      <w:r>
        <w:rPr>
          <w:sz w:val="20"/>
        </w:rPr>
        <w:t xml:space="preserve">; </w:t>
      </w:r>
      <w:r w:rsidRPr="00C30167">
        <w:rPr>
          <w:sz w:val="20"/>
        </w:rPr>
        <w:t xml:space="preserve">47 </w:t>
      </w:r>
      <w:r>
        <w:rPr>
          <w:sz w:val="20"/>
        </w:rPr>
        <w:t>CFR</w:t>
      </w:r>
      <w:r w:rsidRPr="00C30167">
        <w:rPr>
          <w:sz w:val="20"/>
        </w:rPr>
        <w:t xml:space="preserve"> </w:t>
      </w:r>
      <w:r w:rsidR="002F746B">
        <w:rPr>
          <w:sz w:val="20"/>
        </w:rPr>
        <w:t>p</w:t>
      </w:r>
      <w:r w:rsidRPr="00C30167">
        <w:rPr>
          <w:sz w:val="20"/>
        </w:rPr>
        <w:t>t. 1, Apps. B and C.</w:t>
      </w:r>
      <w:r>
        <w:rPr>
          <w:sz w:val="20"/>
        </w:rPr>
        <w:t xml:space="preserve">  The first of these programmatic agreements is the Collocation Agreement.</w:t>
      </w:r>
      <w:r w:rsidRPr="001F375E">
        <w:rPr>
          <w:sz w:val="20"/>
        </w:rPr>
        <w:t xml:space="preserve">  The </w:t>
      </w:r>
      <w:r>
        <w:rPr>
          <w:sz w:val="20"/>
        </w:rPr>
        <w:t>other</w:t>
      </w:r>
      <w:r w:rsidRPr="001F375E">
        <w:rPr>
          <w:sz w:val="20"/>
        </w:rPr>
        <w:t xml:space="preserve"> p</w:t>
      </w:r>
      <w:r>
        <w:rPr>
          <w:sz w:val="20"/>
        </w:rPr>
        <w:t xml:space="preserve">rogrammatic agreement, </w:t>
      </w:r>
      <w:r w:rsidRPr="000B011A">
        <w:rPr>
          <w:sz w:val="20"/>
        </w:rPr>
        <w:t>the</w:t>
      </w:r>
      <w:r w:rsidRPr="00DC02F6">
        <w:rPr>
          <w:i/>
          <w:sz w:val="20"/>
        </w:rPr>
        <w:t xml:space="preserve"> Nationwide Programmatic Agreement </w:t>
      </w:r>
      <w:r w:rsidRPr="00496569">
        <w:rPr>
          <w:i/>
          <w:sz w:val="20"/>
        </w:rPr>
        <w:t>for Review of Effects on</w:t>
      </w:r>
      <w:r w:rsidRPr="00DC02F6">
        <w:rPr>
          <w:i/>
          <w:sz w:val="20"/>
        </w:rPr>
        <w:t xml:space="preserve"> Historic </w:t>
      </w:r>
      <w:r w:rsidRPr="00496569">
        <w:rPr>
          <w:i/>
          <w:sz w:val="20"/>
        </w:rPr>
        <w:t>Properties for Certain Undertakings Approved by the Federal Communications Commission</w:t>
      </w:r>
      <w:r w:rsidR="00B9327F">
        <w:rPr>
          <w:i/>
          <w:sz w:val="20"/>
        </w:rPr>
        <w:t xml:space="preserve"> </w:t>
      </w:r>
      <w:r w:rsidR="00B9327F">
        <w:rPr>
          <w:sz w:val="20"/>
        </w:rPr>
        <w:t>(NPA)</w:t>
      </w:r>
      <w:r w:rsidR="00A24EFC">
        <w:rPr>
          <w:i/>
          <w:sz w:val="20"/>
        </w:rPr>
        <w:t>,</w:t>
      </w:r>
      <w:r>
        <w:rPr>
          <w:sz w:val="20"/>
        </w:rPr>
        <w:t xml:space="preserve"> </w:t>
      </w:r>
      <w:r w:rsidR="007D28D1">
        <w:rPr>
          <w:sz w:val="20"/>
        </w:rPr>
        <w:t xml:space="preserve">establishes detailed procedures for </w:t>
      </w:r>
      <w:r w:rsidRPr="006847AA">
        <w:rPr>
          <w:sz w:val="20"/>
        </w:rPr>
        <w:t xml:space="preserve">the Section 106 review </w:t>
      </w:r>
      <w:r>
        <w:rPr>
          <w:sz w:val="20"/>
        </w:rPr>
        <w:t xml:space="preserve">process as applied to </w:t>
      </w:r>
      <w:r w:rsidRPr="006847AA">
        <w:rPr>
          <w:sz w:val="20"/>
        </w:rPr>
        <w:t xml:space="preserve">construction of </w:t>
      </w:r>
      <w:r>
        <w:rPr>
          <w:sz w:val="20"/>
        </w:rPr>
        <w:t xml:space="preserve">communications </w:t>
      </w:r>
      <w:r w:rsidRPr="006847AA">
        <w:rPr>
          <w:sz w:val="20"/>
        </w:rPr>
        <w:t>towers and other Commission undertakings, while at the same time advancing and preserving the goal of the NHPA to protect historic properties</w:t>
      </w:r>
      <w:r>
        <w:rPr>
          <w:sz w:val="20"/>
        </w:rPr>
        <w:t>.</w:t>
      </w:r>
      <w:r w:rsidRPr="001F375E">
        <w:rPr>
          <w:sz w:val="20"/>
        </w:rPr>
        <w:t xml:space="preserve">  </w:t>
      </w:r>
      <w:r w:rsidRPr="001F375E">
        <w:rPr>
          <w:i/>
          <w:sz w:val="20"/>
        </w:rPr>
        <w:t xml:space="preserve">See </w:t>
      </w:r>
      <w:r w:rsidRPr="001F375E">
        <w:rPr>
          <w:sz w:val="20"/>
        </w:rPr>
        <w:t xml:space="preserve">47 </w:t>
      </w:r>
      <w:r>
        <w:rPr>
          <w:sz w:val="20"/>
        </w:rPr>
        <w:t>CFR</w:t>
      </w:r>
      <w:r w:rsidRPr="001F375E">
        <w:rPr>
          <w:sz w:val="20"/>
        </w:rPr>
        <w:t xml:space="preserve"> Part 1, App. C</w:t>
      </w:r>
      <w:r>
        <w:rPr>
          <w:sz w:val="20"/>
        </w:rPr>
        <w:t xml:space="preserve">.  </w:t>
      </w:r>
    </w:p>
  </w:footnote>
  <w:footnote w:id="7">
    <w:p w14:paraId="0197D394" w14:textId="77777777" w:rsidR="003B3030" w:rsidRPr="001F375E" w:rsidRDefault="003B3030" w:rsidP="003B3030">
      <w:pPr>
        <w:pStyle w:val="FootnoteText"/>
        <w:rPr>
          <w:sz w:val="20"/>
        </w:rPr>
      </w:pPr>
      <w:r w:rsidRPr="001F375E">
        <w:rPr>
          <w:rStyle w:val="FootnoteReference"/>
          <w:sz w:val="20"/>
        </w:rPr>
        <w:footnoteRef/>
      </w:r>
      <w:r w:rsidRPr="001F375E">
        <w:rPr>
          <w:sz w:val="20"/>
        </w:rPr>
        <w:t xml:space="preserve"> </w:t>
      </w:r>
      <w:r w:rsidRPr="001F375E">
        <w:rPr>
          <w:i/>
          <w:sz w:val="20"/>
        </w:rPr>
        <w:t>See</w:t>
      </w:r>
      <w:r w:rsidRPr="001F375E">
        <w:rPr>
          <w:sz w:val="20"/>
        </w:rPr>
        <w:t xml:space="preserve"> 47 </w:t>
      </w:r>
      <w:r>
        <w:rPr>
          <w:sz w:val="20"/>
        </w:rPr>
        <w:t>CFR</w:t>
      </w:r>
      <w:r w:rsidRPr="001F375E">
        <w:rPr>
          <w:sz w:val="20"/>
        </w:rPr>
        <w:t xml:space="preserve"> § 1.1307(a)(4).</w:t>
      </w:r>
    </w:p>
  </w:footnote>
  <w:footnote w:id="8">
    <w:p w14:paraId="389C98A7" w14:textId="77777777" w:rsidR="003B3030" w:rsidRPr="001F375E" w:rsidRDefault="003B3030" w:rsidP="003B3030">
      <w:pPr>
        <w:pStyle w:val="FootnoteText"/>
        <w:rPr>
          <w:sz w:val="20"/>
        </w:rPr>
      </w:pPr>
      <w:r w:rsidRPr="001F375E">
        <w:rPr>
          <w:rStyle w:val="FootnoteReference"/>
          <w:sz w:val="20"/>
        </w:rPr>
        <w:footnoteRef/>
      </w:r>
      <w:r w:rsidRPr="001F375E">
        <w:rPr>
          <w:sz w:val="20"/>
        </w:rPr>
        <w:t xml:space="preserve"> </w:t>
      </w:r>
      <w:r w:rsidRPr="001F375E">
        <w:rPr>
          <w:i/>
          <w:sz w:val="20"/>
        </w:rPr>
        <w:t xml:space="preserve">See </w:t>
      </w:r>
      <w:r w:rsidRPr="001F375E">
        <w:rPr>
          <w:sz w:val="20"/>
        </w:rPr>
        <w:t xml:space="preserve">Collocation Agreement; </w:t>
      </w:r>
      <w:r w:rsidRPr="00DC02F6">
        <w:rPr>
          <w:i/>
          <w:sz w:val="20"/>
        </w:rPr>
        <w:t>Wireless Telecommunications Bureau Announces Execution of Programmatic Agreement with Respect to Collocating Wireless Antennas on Existing Structures</w:t>
      </w:r>
      <w:r w:rsidRPr="001F375E">
        <w:rPr>
          <w:sz w:val="20"/>
        </w:rPr>
        <w:t xml:space="preserve">, </w:t>
      </w:r>
      <w:r w:rsidRPr="00DC02F6">
        <w:rPr>
          <w:sz w:val="20"/>
        </w:rPr>
        <w:t>Public Notice</w:t>
      </w:r>
      <w:r w:rsidRPr="001F375E">
        <w:rPr>
          <w:sz w:val="20"/>
        </w:rPr>
        <w:t xml:space="preserve">, 16 FCC Rcd 5574 (WTB 2001).   </w:t>
      </w:r>
    </w:p>
  </w:footnote>
  <w:footnote w:id="9">
    <w:p w14:paraId="6A9907DF" w14:textId="744C843E" w:rsidR="003B3030" w:rsidRPr="00232B48" w:rsidRDefault="003B3030" w:rsidP="003B3030">
      <w:pPr>
        <w:pStyle w:val="FootnoteText"/>
        <w:spacing w:after="120"/>
        <w:rPr>
          <w:sz w:val="20"/>
        </w:rPr>
      </w:pPr>
      <w:r w:rsidRPr="00C30167">
        <w:rPr>
          <w:rStyle w:val="FootnoteReference"/>
          <w:sz w:val="20"/>
        </w:rPr>
        <w:footnoteRef/>
      </w:r>
      <w:r w:rsidRPr="00C30167">
        <w:rPr>
          <w:sz w:val="20"/>
        </w:rPr>
        <w:t xml:space="preserve"> </w:t>
      </w:r>
      <w:r w:rsidRPr="00DC02F6">
        <w:rPr>
          <w:i/>
          <w:sz w:val="20"/>
        </w:rPr>
        <w:t>Acceleration of Broadband Deployment by Improving Wireless Facilities Siting Policies</w:t>
      </w:r>
      <w:r w:rsidRPr="00C30167">
        <w:rPr>
          <w:sz w:val="20"/>
        </w:rPr>
        <w:t>, </w:t>
      </w:r>
      <w:r w:rsidRPr="00DC02F6">
        <w:rPr>
          <w:sz w:val="20"/>
        </w:rPr>
        <w:t>Report and Order</w:t>
      </w:r>
      <w:r w:rsidRPr="00C30167">
        <w:rPr>
          <w:sz w:val="20"/>
        </w:rPr>
        <w:t>, 29 FCC Rcd 12865,</w:t>
      </w:r>
      <w:r>
        <w:rPr>
          <w:sz w:val="20"/>
        </w:rPr>
        <w:t xml:space="preserve"> 12867</w:t>
      </w:r>
      <w:r w:rsidR="00D42390">
        <w:rPr>
          <w:sz w:val="20"/>
        </w:rPr>
        <w:t>,</w:t>
      </w:r>
      <w:r>
        <w:rPr>
          <w:sz w:val="20"/>
        </w:rPr>
        <w:t xml:space="preserve"> para. 3</w:t>
      </w:r>
      <w:r w:rsidRPr="00C30167">
        <w:rPr>
          <w:sz w:val="20"/>
        </w:rPr>
        <w:t xml:space="preserve"> (2014)</w:t>
      </w:r>
      <w:r>
        <w:rPr>
          <w:sz w:val="20"/>
        </w:rPr>
        <w:t xml:space="preserve">; </w:t>
      </w:r>
      <w:r w:rsidRPr="00DC02F6">
        <w:rPr>
          <w:sz w:val="20"/>
        </w:rPr>
        <w:t>Erratum</w:t>
      </w:r>
      <w:r>
        <w:rPr>
          <w:sz w:val="20"/>
        </w:rPr>
        <w:t xml:space="preserve">, 30 FCC Rcd 31 (2015) </w:t>
      </w:r>
      <w:r w:rsidRPr="00C30167">
        <w:rPr>
          <w:sz w:val="20"/>
        </w:rPr>
        <w:t>(</w:t>
      </w:r>
      <w:r w:rsidRPr="00102062">
        <w:rPr>
          <w:i/>
          <w:sz w:val="20"/>
        </w:rPr>
        <w:t>Infrastructure Report and Order</w:t>
      </w:r>
      <w:r w:rsidRPr="00C30167">
        <w:rPr>
          <w:sz w:val="20"/>
        </w:rPr>
        <w:t>)</w:t>
      </w:r>
      <w:r w:rsidR="001D7307">
        <w:rPr>
          <w:sz w:val="20"/>
        </w:rPr>
        <w:t xml:space="preserve">, </w:t>
      </w:r>
      <w:r w:rsidR="00A02BE2">
        <w:rPr>
          <w:i/>
          <w:sz w:val="20"/>
        </w:rPr>
        <w:t>aff</w:t>
      </w:r>
      <w:r w:rsidR="001D7307">
        <w:rPr>
          <w:i/>
          <w:sz w:val="20"/>
        </w:rPr>
        <w:t>’d Montgomery County v. FCC</w:t>
      </w:r>
      <w:r w:rsidR="001D7307">
        <w:rPr>
          <w:sz w:val="20"/>
        </w:rPr>
        <w:t>, 811 F.</w:t>
      </w:r>
      <w:r w:rsidR="0091611E">
        <w:rPr>
          <w:sz w:val="20"/>
        </w:rPr>
        <w:t>3d</w:t>
      </w:r>
      <w:r w:rsidR="001D7307">
        <w:rPr>
          <w:sz w:val="20"/>
        </w:rPr>
        <w:t xml:space="preserve"> 121 (4th Cir. 2015)</w:t>
      </w:r>
      <w:r w:rsidRPr="00C30167">
        <w:rPr>
          <w:sz w:val="20"/>
        </w:rPr>
        <w:t>.</w:t>
      </w:r>
    </w:p>
  </w:footnote>
  <w:footnote w:id="10">
    <w:p w14:paraId="0BCFED14" w14:textId="77777777" w:rsidR="003B3030" w:rsidRPr="00CD2B1D" w:rsidRDefault="003B3030" w:rsidP="003B3030">
      <w:pPr>
        <w:pStyle w:val="FootnoteText"/>
        <w:spacing w:after="120"/>
        <w:rPr>
          <w:sz w:val="20"/>
        </w:rPr>
      </w:pPr>
      <w:r w:rsidRPr="00CD2B1D">
        <w:rPr>
          <w:rStyle w:val="FootnoteReference"/>
          <w:sz w:val="20"/>
        </w:rPr>
        <w:footnoteRef/>
      </w:r>
      <w:r w:rsidRPr="00CD2B1D">
        <w:rPr>
          <w:sz w:val="20"/>
        </w:rPr>
        <w:t xml:space="preserve"> </w:t>
      </w:r>
      <w:r w:rsidRPr="00102062">
        <w:rPr>
          <w:i/>
          <w:sz w:val="20"/>
        </w:rPr>
        <w:t>Infrastructure Report and Order</w:t>
      </w:r>
      <w:r>
        <w:rPr>
          <w:sz w:val="20"/>
        </w:rPr>
        <w:t xml:space="preserve">, </w:t>
      </w:r>
      <w:r w:rsidRPr="00CD2B1D">
        <w:rPr>
          <w:sz w:val="20"/>
        </w:rPr>
        <w:t>29 FCC Rcd at</w:t>
      </w:r>
      <w:r>
        <w:rPr>
          <w:sz w:val="20"/>
        </w:rPr>
        <w:t xml:space="preserve"> 12901-12</w:t>
      </w:r>
      <w:r w:rsidR="00D42390">
        <w:rPr>
          <w:sz w:val="20"/>
        </w:rPr>
        <w:t>,</w:t>
      </w:r>
      <w:r>
        <w:rPr>
          <w:sz w:val="20"/>
        </w:rPr>
        <w:t xml:space="preserve"> paras. 76-103. </w:t>
      </w:r>
    </w:p>
  </w:footnote>
  <w:footnote w:id="11">
    <w:p w14:paraId="42C6BD6E" w14:textId="77777777" w:rsidR="003B3030" w:rsidRPr="00232B48" w:rsidRDefault="003B3030" w:rsidP="003B3030">
      <w:pPr>
        <w:pStyle w:val="FootnoteText"/>
        <w:spacing w:after="120"/>
        <w:rPr>
          <w:sz w:val="20"/>
        </w:rPr>
      </w:pPr>
      <w:r w:rsidRPr="00C30167">
        <w:rPr>
          <w:rStyle w:val="FootnoteReference"/>
          <w:sz w:val="20"/>
        </w:rPr>
        <w:footnoteRef/>
      </w:r>
      <w:r w:rsidRPr="00C30167">
        <w:rPr>
          <w:sz w:val="20"/>
        </w:rPr>
        <w:t xml:space="preserve"> </w:t>
      </w:r>
      <w:r w:rsidRPr="00102062">
        <w:rPr>
          <w:i/>
          <w:sz w:val="20"/>
        </w:rPr>
        <w:t>Infrastructure Report and Order</w:t>
      </w:r>
      <w:r>
        <w:rPr>
          <w:sz w:val="20"/>
        </w:rPr>
        <w:t xml:space="preserve">, </w:t>
      </w:r>
      <w:r w:rsidRPr="00CD2B1D">
        <w:rPr>
          <w:sz w:val="20"/>
        </w:rPr>
        <w:t>29 FCC Rcd</w:t>
      </w:r>
      <w:r w:rsidRPr="00C30167">
        <w:rPr>
          <w:sz w:val="20"/>
        </w:rPr>
        <w:t xml:space="preserve"> at </w:t>
      </w:r>
      <w:r>
        <w:rPr>
          <w:sz w:val="20"/>
        </w:rPr>
        <w:t>12906</w:t>
      </w:r>
      <w:r w:rsidR="00D42390">
        <w:rPr>
          <w:sz w:val="20"/>
        </w:rPr>
        <w:t>,</w:t>
      </w:r>
      <w:r>
        <w:rPr>
          <w:sz w:val="20"/>
        </w:rPr>
        <w:t xml:space="preserve"> </w:t>
      </w:r>
      <w:r w:rsidRPr="00C30167">
        <w:rPr>
          <w:sz w:val="20"/>
        </w:rPr>
        <w:t>para</w:t>
      </w:r>
      <w:r>
        <w:rPr>
          <w:sz w:val="20"/>
        </w:rPr>
        <w:t>s</w:t>
      </w:r>
      <w:r w:rsidRPr="00C30167">
        <w:rPr>
          <w:sz w:val="20"/>
        </w:rPr>
        <w:t>. 88</w:t>
      </w:r>
      <w:r>
        <w:rPr>
          <w:sz w:val="20"/>
        </w:rPr>
        <w:t>-89</w:t>
      </w:r>
      <w:r w:rsidRPr="00C30167">
        <w:rPr>
          <w:sz w:val="20"/>
        </w:rPr>
        <w:t>.</w:t>
      </w:r>
    </w:p>
  </w:footnote>
  <w:footnote w:id="12">
    <w:p w14:paraId="5D5E0265" w14:textId="77777777" w:rsidR="003B3030" w:rsidRPr="00232B48" w:rsidRDefault="003B3030" w:rsidP="003B3030">
      <w:pPr>
        <w:pStyle w:val="FootnoteText"/>
        <w:spacing w:after="120"/>
        <w:rPr>
          <w:sz w:val="20"/>
        </w:rPr>
      </w:pPr>
      <w:r w:rsidRPr="00C30167">
        <w:rPr>
          <w:rStyle w:val="FootnoteReference"/>
          <w:sz w:val="20"/>
        </w:rPr>
        <w:footnoteRef/>
      </w:r>
      <w:r w:rsidRPr="00C30167">
        <w:rPr>
          <w:sz w:val="20"/>
        </w:rPr>
        <w:t xml:space="preserve"> </w:t>
      </w:r>
      <w:r w:rsidRPr="00102062">
        <w:rPr>
          <w:i/>
          <w:sz w:val="20"/>
        </w:rPr>
        <w:t>Infrastructure Report and Order</w:t>
      </w:r>
      <w:r>
        <w:rPr>
          <w:sz w:val="20"/>
        </w:rPr>
        <w:t xml:space="preserve">, </w:t>
      </w:r>
      <w:r w:rsidRPr="00CD2B1D">
        <w:rPr>
          <w:sz w:val="20"/>
        </w:rPr>
        <w:t>29 FCC Rcd</w:t>
      </w:r>
      <w:r w:rsidRPr="00C30167">
        <w:rPr>
          <w:sz w:val="20"/>
        </w:rPr>
        <w:t xml:space="preserve"> at </w:t>
      </w:r>
      <w:r>
        <w:rPr>
          <w:sz w:val="20"/>
        </w:rPr>
        <w:t>12871</w:t>
      </w:r>
      <w:r w:rsidR="00D42390">
        <w:rPr>
          <w:sz w:val="20"/>
        </w:rPr>
        <w:t>,</w:t>
      </w:r>
      <w:r>
        <w:rPr>
          <w:sz w:val="20"/>
        </w:rPr>
        <w:t xml:space="preserve"> </w:t>
      </w:r>
      <w:r w:rsidRPr="00C30167">
        <w:rPr>
          <w:sz w:val="20"/>
        </w:rPr>
        <w:t>para. 13</w:t>
      </w:r>
      <w:r>
        <w:rPr>
          <w:sz w:val="20"/>
        </w:rPr>
        <w:t>;</w:t>
      </w:r>
      <w:r>
        <w:rPr>
          <w:i/>
          <w:sz w:val="20"/>
        </w:rPr>
        <w:t xml:space="preserve"> see generally </w:t>
      </w:r>
      <w:r>
        <w:rPr>
          <w:sz w:val="20"/>
        </w:rPr>
        <w:t>36 CFR § 800.14 (identifying different types of program alternatives that may govern implementation of Section 106 for a program or category of undertakings)</w:t>
      </w:r>
      <w:r w:rsidRPr="00C30167">
        <w:rPr>
          <w:sz w:val="20"/>
        </w:rPr>
        <w:t>.</w:t>
      </w:r>
    </w:p>
  </w:footnote>
  <w:footnote w:id="13">
    <w:p w14:paraId="7A8EC9EF" w14:textId="77777777" w:rsidR="003B3030" w:rsidRPr="00295E50" w:rsidRDefault="003B3030" w:rsidP="003B3030">
      <w:pPr>
        <w:pStyle w:val="FootnoteText"/>
        <w:rPr>
          <w:sz w:val="20"/>
        </w:rPr>
      </w:pPr>
      <w:r w:rsidRPr="00295E50">
        <w:rPr>
          <w:rStyle w:val="FootnoteReference"/>
          <w:sz w:val="20"/>
        </w:rPr>
        <w:footnoteRef/>
      </w:r>
      <w:r>
        <w:rPr>
          <w:sz w:val="20"/>
        </w:rPr>
        <w:t xml:space="preserve"> </w:t>
      </w:r>
      <w:r>
        <w:rPr>
          <w:i/>
          <w:sz w:val="20"/>
        </w:rPr>
        <w:t xml:space="preserve">See </w:t>
      </w:r>
      <w:r w:rsidRPr="007D656D">
        <w:rPr>
          <w:sz w:val="20"/>
        </w:rPr>
        <w:t xml:space="preserve">36 </w:t>
      </w:r>
      <w:r>
        <w:rPr>
          <w:sz w:val="20"/>
        </w:rPr>
        <w:t>CFR</w:t>
      </w:r>
      <w:r w:rsidRPr="007D656D">
        <w:rPr>
          <w:sz w:val="20"/>
        </w:rPr>
        <w:t xml:space="preserve"> § 800.14</w:t>
      </w:r>
      <w:r>
        <w:rPr>
          <w:sz w:val="20"/>
        </w:rPr>
        <w:t>(b).</w:t>
      </w:r>
    </w:p>
  </w:footnote>
  <w:footnote w:id="14">
    <w:p w14:paraId="52E5CF95" w14:textId="77777777" w:rsidR="0046569D" w:rsidRPr="00F36091" w:rsidRDefault="0046569D">
      <w:pPr>
        <w:pStyle w:val="FootnoteText"/>
        <w:rPr>
          <w:sz w:val="20"/>
        </w:rPr>
      </w:pPr>
      <w:r w:rsidRPr="00F36091">
        <w:rPr>
          <w:rStyle w:val="FootnoteReference"/>
          <w:sz w:val="20"/>
        </w:rPr>
        <w:footnoteRef/>
      </w:r>
      <w:r w:rsidRPr="00F36091">
        <w:rPr>
          <w:sz w:val="20"/>
        </w:rPr>
        <w:t xml:space="preserve"> </w:t>
      </w:r>
      <w:r w:rsidRPr="00F36091">
        <w:rPr>
          <w:i/>
          <w:sz w:val="20"/>
        </w:rPr>
        <w:t>See supra</w:t>
      </w:r>
      <w:r w:rsidRPr="00F36091">
        <w:rPr>
          <w:sz w:val="20"/>
        </w:rPr>
        <w:t xml:space="preserve"> n.</w:t>
      </w:r>
      <w:r w:rsidR="000C7A68">
        <w:rPr>
          <w:sz w:val="20"/>
        </w:rPr>
        <w:t>2</w:t>
      </w:r>
      <w:r w:rsidRPr="00F36091">
        <w:rPr>
          <w:sz w:val="20"/>
        </w:rPr>
        <w:t>.</w:t>
      </w:r>
    </w:p>
  </w:footnote>
  <w:footnote w:id="15">
    <w:p w14:paraId="55596769" w14:textId="77777777" w:rsidR="003B3030" w:rsidRPr="00987CEF" w:rsidRDefault="003B3030" w:rsidP="003B3030">
      <w:pPr>
        <w:pStyle w:val="FootnoteText"/>
        <w:spacing w:after="120"/>
        <w:rPr>
          <w:sz w:val="20"/>
        </w:rPr>
      </w:pPr>
      <w:r w:rsidRPr="00987CEF">
        <w:rPr>
          <w:rStyle w:val="FootnoteReference"/>
          <w:sz w:val="20"/>
        </w:rPr>
        <w:footnoteRef/>
      </w:r>
      <w:r w:rsidRPr="00987CEF">
        <w:rPr>
          <w:sz w:val="20"/>
        </w:rPr>
        <w:t xml:space="preserve"> 36 </w:t>
      </w:r>
      <w:r>
        <w:rPr>
          <w:sz w:val="20"/>
        </w:rPr>
        <w:t>CFR</w:t>
      </w:r>
      <w:r w:rsidRPr="00987CEF">
        <w:rPr>
          <w:sz w:val="20"/>
        </w:rPr>
        <w:t xml:space="preserve"> § 800.14(</w:t>
      </w:r>
      <w:r>
        <w:rPr>
          <w:sz w:val="20"/>
        </w:rPr>
        <w:t>b</w:t>
      </w:r>
      <w:r w:rsidRPr="00987CEF">
        <w:rPr>
          <w:sz w:val="20"/>
        </w:rPr>
        <w:t>)(2)</w:t>
      </w:r>
      <w:r w:rsidR="002F746B">
        <w:rPr>
          <w:sz w:val="20"/>
        </w:rPr>
        <w:t>(ii)</w:t>
      </w:r>
      <w:r w:rsidRPr="00987CEF">
        <w:rPr>
          <w:sz w:val="20"/>
        </w:rPr>
        <w:t>.</w:t>
      </w:r>
    </w:p>
  </w:footnote>
  <w:footnote w:id="16">
    <w:p w14:paraId="61E110A4" w14:textId="77777777" w:rsidR="003B3030" w:rsidRPr="00295E50" w:rsidRDefault="003B3030" w:rsidP="003B3030">
      <w:pPr>
        <w:pStyle w:val="FootnoteText"/>
        <w:rPr>
          <w:sz w:val="20"/>
        </w:rPr>
      </w:pPr>
      <w:r w:rsidRPr="00295E50">
        <w:rPr>
          <w:rStyle w:val="FootnoteReference"/>
          <w:sz w:val="20"/>
        </w:rPr>
        <w:footnoteRef/>
      </w:r>
      <w:r w:rsidRPr="00295E50">
        <w:rPr>
          <w:sz w:val="20"/>
        </w:rPr>
        <w:t xml:space="preserve"> </w:t>
      </w:r>
      <w:r w:rsidRPr="00295E50">
        <w:rPr>
          <w:i/>
          <w:sz w:val="20"/>
        </w:rPr>
        <w:t>Wireless Telecommunications Bureau Seeks Comment on Revising the Historic Preservation Review Process for Small Facility Deployments</w:t>
      </w:r>
      <w:r w:rsidRPr="00295E50">
        <w:rPr>
          <w:sz w:val="20"/>
        </w:rPr>
        <w:t>, Public Notice, 30 FCC Rcd 8160 (WTB 2015) (Scoping Document Public Notice).  The Section 106 Scoping Document</w:t>
      </w:r>
      <w:r w:rsidR="00E61D4B">
        <w:rPr>
          <w:sz w:val="20"/>
        </w:rPr>
        <w:t>, which</w:t>
      </w:r>
      <w:r w:rsidRPr="00295E50">
        <w:rPr>
          <w:sz w:val="20"/>
        </w:rPr>
        <w:t xml:space="preserve"> </w:t>
      </w:r>
      <w:r>
        <w:rPr>
          <w:sz w:val="20"/>
        </w:rPr>
        <w:t>is attached to the Scoping Document Public Notice</w:t>
      </w:r>
      <w:r w:rsidR="00E61D4B">
        <w:rPr>
          <w:sz w:val="20"/>
        </w:rPr>
        <w:t>,</w:t>
      </w:r>
      <w:r>
        <w:rPr>
          <w:sz w:val="20"/>
        </w:rPr>
        <w:t xml:space="preserve"> </w:t>
      </w:r>
      <w:r w:rsidRPr="00295E50">
        <w:rPr>
          <w:sz w:val="20"/>
        </w:rPr>
        <w:t xml:space="preserve">describes options and seeks public input on potentially amending the Collocation Agreement.  </w:t>
      </w:r>
      <w:r w:rsidRPr="00295E50">
        <w:rPr>
          <w:i/>
          <w:sz w:val="20"/>
        </w:rPr>
        <w:t>See id</w:t>
      </w:r>
      <w:r w:rsidRPr="00295E50">
        <w:rPr>
          <w:sz w:val="20"/>
        </w:rPr>
        <w:t xml:space="preserve">., 30 FCC Rcd at 8164-73, </w:t>
      </w:r>
      <w:r w:rsidRPr="00295E50">
        <w:rPr>
          <w:i/>
          <w:sz w:val="20"/>
        </w:rPr>
        <w:t>Program Alternative for Small Wireless Communications Facility Deployments:  Potential Amendment to the Nationwide Programmatic Agreement for the Collocation of Wireless Antennas, Section 106 Scoping Document</w:t>
      </w:r>
      <w:r w:rsidRPr="00295E50">
        <w:rPr>
          <w:sz w:val="20"/>
        </w:rPr>
        <w:t xml:space="preserve"> (Section 106 Scoping Document).</w:t>
      </w:r>
      <w:r>
        <w:rPr>
          <w:sz w:val="20"/>
        </w:rPr>
        <w:t xml:space="preserve">  Comments filed in response to the Scoping Document Public Notice and Section 106 Scoping Document may be found in the Commission’s Electronic Comment Filing System.</w:t>
      </w:r>
      <w:r w:rsidRPr="00295E50">
        <w:rPr>
          <w:sz w:val="20"/>
        </w:rPr>
        <w:t xml:space="preserve">  </w:t>
      </w:r>
    </w:p>
  </w:footnote>
  <w:footnote w:id="17">
    <w:p w14:paraId="12485A31" w14:textId="77777777" w:rsidR="003B3030" w:rsidRPr="004117FC" w:rsidRDefault="003B3030" w:rsidP="003B3030">
      <w:pPr>
        <w:pStyle w:val="FootnoteText"/>
        <w:spacing w:after="120"/>
        <w:rPr>
          <w:sz w:val="20"/>
        </w:rPr>
      </w:pPr>
      <w:r w:rsidRPr="00987CEF">
        <w:rPr>
          <w:rStyle w:val="FootnoteReference"/>
          <w:sz w:val="20"/>
        </w:rPr>
        <w:footnoteRef/>
      </w:r>
      <w:r>
        <w:rPr>
          <w:sz w:val="20"/>
        </w:rPr>
        <w:t xml:space="preserve"> 36 CFR § 800.14(a)(1).</w:t>
      </w:r>
    </w:p>
  </w:footnote>
  <w:footnote w:id="18">
    <w:p w14:paraId="7CB8D1E1" w14:textId="77777777" w:rsidR="003B3030" w:rsidRPr="00987CEF" w:rsidRDefault="003B3030" w:rsidP="003B3030">
      <w:pPr>
        <w:pStyle w:val="FootnoteText"/>
        <w:rPr>
          <w:sz w:val="20"/>
        </w:rPr>
      </w:pPr>
      <w:r w:rsidRPr="00987CEF">
        <w:rPr>
          <w:rStyle w:val="FootnoteReference"/>
          <w:sz w:val="20"/>
        </w:rPr>
        <w:footnoteRef/>
      </w:r>
      <w:r w:rsidRPr="00987CEF">
        <w:rPr>
          <w:sz w:val="20"/>
        </w:rPr>
        <w:t xml:space="preserve"> </w:t>
      </w:r>
      <w:r>
        <w:rPr>
          <w:i/>
          <w:sz w:val="20"/>
        </w:rPr>
        <w:t>See Scoping Document Public Notice</w:t>
      </w:r>
      <w:r>
        <w:rPr>
          <w:sz w:val="20"/>
        </w:rPr>
        <w:t xml:space="preserve">, 30 FCC Rcd at 8162 (proceeding exempt under the Commission’s </w:t>
      </w:r>
      <w:r w:rsidRPr="00176AB8">
        <w:rPr>
          <w:i/>
          <w:sz w:val="20"/>
        </w:rPr>
        <w:t>ex parte</w:t>
      </w:r>
      <w:r>
        <w:rPr>
          <w:sz w:val="20"/>
        </w:rPr>
        <w:t xml:space="preserve"> rules).  </w:t>
      </w:r>
      <w:r w:rsidRPr="00987CEF">
        <w:rPr>
          <w:sz w:val="20"/>
        </w:rPr>
        <w:t xml:space="preserve">47 </w:t>
      </w:r>
      <w:r>
        <w:rPr>
          <w:sz w:val="20"/>
        </w:rPr>
        <w:t>CFR</w:t>
      </w:r>
      <w:r w:rsidRPr="00987CEF">
        <w:rPr>
          <w:sz w:val="20"/>
        </w:rPr>
        <w:t xml:space="preserve"> § 1.1204; </w:t>
      </w:r>
      <w:r w:rsidRPr="00987CEF">
        <w:rPr>
          <w:i/>
          <w:sz w:val="20"/>
        </w:rPr>
        <w:t>see</w:t>
      </w:r>
      <w:r w:rsidRPr="00987CEF">
        <w:rPr>
          <w:sz w:val="20"/>
        </w:rPr>
        <w:t xml:space="preserve"> 47 </w:t>
      </w:r>
      <w:r>
        <w:rPr>
          <w:sz w:val="20"/>
        </w:rPr>
        <w:t>CFR</w:t>
      </w:r>
      <w:r w:rsidRPr="00987CEF">
        <w:rPr>
          <w:sz w:val="20"/>
        </w:rPr>
        <w:t xml:space="preserve"> § 1.1200(a) (“Where the public interest so requires in a particular proceeding, the Commission and its staff retain the discretion to modify the applicable </w:t>
      </w:r>
      <w:r w:rsidRPr="00987CEF">
        <w:rPr>
          <w:i/>
          <w:sz w:val="20"/>
        </w:rPr>
        <w:t>ex parte</w:t>
      </w:r>
      <w:r w:rsidRPr="00987CEF">
        <w:rPr>
          <w:sz w:val="20"/>
        </w:rPr>
        <w:t xml:space="preserve"> rules by order, letter, or public notice.”).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8B85E" w14:textId="77777777" w:rsidR="00A830A8" w:rsidRDefault="00A83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61723" w14:textId="77777777" w:rsidR="00A830A8" w:rsidRDefault="00A83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6CAE4" w14:textId="77777777" w:rsidR="003B3030" w:rsidRDefault="0072370F" w:rsidP="00DF5759">
    <w:pPr>
      <w:pStyle w:val="Header"/>
      <w:tabs>
        <w:tab w:val="clear" w:pos="4320"/>
        <w:tab w:val="clear" w:pos="8640"/>
      </w:tabs>
      <w:spacing w:before="40"/>
      <w:rPr>
        <w:rFonts w:ascii="News Gothic MT" w:hAnsi="News Gothic MT"/>
        <w:b/>
        <w:kern w:val="28"/>
        <w:sz w:val="96"/>
      </w:rPr>
    </w:pPr>
    <w:r>
      <w:rPr>
        <w:noProof/>
      </w:rPr>
      <w:drawing>
        <wp:anchor distT="0" distB="0" distL="114300" distR="114300" simplePos="0" relativeHeight="251661312" behindDoc="1" locked="0" layoutInCell="0" allowOverlap="1" wp14:anchorId="5480C096" wp14:editId="6A690BCA">
          <wp:simplePos x="0" y="0"/>
          <wp:positionH relativeFrom="column">
            <wp:posOffset>-639445</wp:posOffset>
          </wp:positionH>
          <wp:positionV relativeFrom="paragraph">
            <wp:posOffset>106045</wp:posOffset>
          </wp:positionV>
          <wp:extent cx="530225" cy="530225"/>
          <wp:effectExtent l="0" t="0" r="3175" b="3175"/>
          <wp:wrapTight wrapText="bothSides">
            <wp:wrapPolygon edited="0">
              <wp:start x="0" y="0"/>
              <wp:lineTo x="0" y="20953"/>
              <wp:lineTo x="20953" y="20953"/>
              <wp:lineTo x="20953" y="0"/>
              <wp:lineTo x="0" y="0"/>
            </wp:wrapPolygon>
          </wp:wrapTight>
          <wp:docPr id="12"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030">
      <w:rPr>
        <w:rFonts w:ascii="News Gothic MT" w:hAnsi="News Gothic MT"/>
        <w:b/>
        <w:kern w:val="28"/>
        <w:sz w:val="96"/>
      </w:rPr>
      <w:t>PUBLIC NOTICE</w:t>
    </w:r>
  </w:p>
  <w:p w14:paraId="58327234" w14:textId="77777777" w:rsidR="003B3030" w:rsidRDefault="0072370F" w:rsidP="00DF5759">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14:anchorId="5AF6214B" wp14:editId="2F681D14">
              <wp:simplePos x="0" y="0"/>
              <wp:positionH relativeFrom="margin">
                <wp:posOffset>-28575</wp:posOffset>
              </wp:positionH>
              <wp:positionV relativeFrom="paragraph">
                <wp:posOffset>29845</wp:posOffset>
              </wp:positionV>
              <wp:extent cx="3108960" cy="640080"/>
              <wp:effectExtent l="0" t="0" r="0"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B54A1" w14:textId="77777777" w:rsidR="003B3030" w:rsidRDefault="003B3030" w:rsidP="00DF5759">
                          <w:pPr>
                            <w:rPr>
                              <w:rFonts w:ascii="Arial" w:hAnsi="Arial"/>
                              <w:b/>
                            </w:rPr>
                          </w:pPr>
                          <w:r>
                            <w:rPr>
                              <w:rFonts w:ascii="Arial" w:hAnsi="Arial"/>
                              <w:b/>
                            </w:rPr>
                            <w:t>Federal Communications Commission</w:t>
                          </w:r>
                        </w:p>
                        <w:p w14:paraId="7A2A6D9D" w14:textId="77777777" w:rsidR="003B3030" w:rsidRDefault="003B3030" w:rsidP="00DF575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8BC2B07" w14:textId="77777777" w:rsidR="003B3030" w:rsidRDefault="003B3030" w:rsidP="00DF575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F6214B" id="_x0000_t202" coordsize="21600,21600" o:spt="202" path="m,l,21600r21600,l21600,xe">
              <v:stroke joinstyle="miter"/>
              <v:path gradientshapeok="t" o:connecttype="rect"/>
            </v:shapetype>
            <v:shape id="Text Box 2" o:spid="_x0000_s1026" type="#_x0000_t202" style="position:absolute;left:0;text-align:left;margin-left:-2.25pt;margin-top:2.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BmgQ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" o:allowincell="f" stroked="f">
              <v:textbox>
                <w:txbxContent>
                  <w:p w14:paraId="373B54A1" w14:textId="77777777" w:rsidR="003B3030" w:rsidRDefault="003B3030" w:rsidP="00DF5759">
                    <w:pPr>
                      <w:rPr>
                        <w:rFonts w:ascii="Arial" w:hAnsi="Arial"/>
                        <w:b/>
                      </w:rPr>
                    </w:pPr>
                    <w:r>
                      <w:rPr>
                        <w:rFonts w:ascii="Arial" w:hAnsi="Arial"/>
                        <w:b/>
                      </w:rPr>
                      <w:t>Federal Communications Commission</w:t>
                    </w:r>
                  </w:p>
                  <w:p w14:paraId="7A2A6D9D" w14:textId="77777777" w:rsidR="003B3030" w:rsidRDefault="003B3030" w:rsidP="00DF575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8BC2B07" w14:textId="77777777" w:rsidR="003B3030" w:rsidRDefault="003B3030" w:rsidP="00DF5759">
                    <w:pPr>
                      <w:rPr>
                        <w:rFonts w:ascii="Arial" w:hAnsi="Arial"/>
                        <w:sz w:val="24"/>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0" allowOverlap="1" wp14:anchorId="48305225" wp14:editId="00CC3308">
              <wp:simplePos x="0" y="0"/>
              <wp:positionH relativeFrom="column">
                <wp:posOffset>3344545</wp:posOffset>
              </wp:positionH>
              <wp:positionV relativeFrom="paragraph">
                <wp:posOffset>101600</wp:posOffset>
              </wp:positionV>
              <wp:extent cx="2640965" cy="548640"/>
              <wp:effectExtent l="0" t="0" r="6985"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55E6" w14:textId="77777777" w:rsidR="003B3030" w:rsidRDefault="003B3030" w:rsidP="00DF5759">
                          <w:pPr>
                            <w:spacing w:before="40"/>
                            <w:jc w:val="right"/>
                            <w:rPr>
                              <w:rFonts w:ascii="Arial" w:hAnsi="Arial"/>
                              <w:b/>
                              <w:sz w:val="16"/>
                            </w:rPr>
                          </w:pPr>
                          <w:r>
                            <w:rPr>
                              <w:rFonts w:ascii="Arial" w:hAnsi="Arial"/>
                              <w:b/>
                              <w:sz w:val="16"/>
                            </w:rPr>
                            <w:t>News Media Information 202 / 418-0500</w:t>
                          </w:r>
                        </w:p>
                        <w:p w14:paraId="72840C07" w14:textId="77777777" w:rsidR="003B3030" w:rsidRDefault="003B3030" w:rsidP="00DF5759">
                          <w:pPr>
                            <w:jc w:val="right"/>
                            <w:rPr>
                              <w:rFonts w:ascii="Arial" w:hAnsi="Arial"/>
                              <w:b/>
                              <w:sz w:val="16"/>
                            </w:rPr>
                          </w:pPr>
                          <w:r>
                            <w:rPr>
                              <w:rFonts w:ascii="Arial" w:hAnsi="Arial"/>
                              <w:b/>
                              <w:sz w:val="16"/>
                            </w:rPr>
                            <w:t>Internet: http://www.fcc.gov</w:t>
                          </w:r>
                        </w:p>
                        <w:p w14:paraId="4ECE6094" w14:textId="77777777" w:rsidR="003B3030" w:rsidRDefault="003B3030" w:rsidP="00DF5759">
                          <w:pPr>
                            <w:jc w:val="right"/>
                            <w:rPr>
                              <w:rFonts w:ascii="Arial" w:hAnsi="Arial"/>
                              <w:b/>
                              <w:sz w:val="16"/>
                            </w:rPr>
                          </w:pPr>
                          <w:r>
                            <w:rPr>
                              <w:rFonts w:ascii="Arial" w:hAnsi="Arial"/>
                              <w:b/>
                              <w:sz w:val="16"/>
                            </w:rPr>
                            <w:t>TTY: 1-888-835-5322</w:t>
                          </w:r>
                        </w:p>
                        <w:p w14:paraId="5E5BE74E" w14:textId="77777777" w:rsidR="003B3030" w:rsidRDefault="003B3030" w:rsidP="00DF575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305225" id="Text Box 5" o:spid="_x0000_s1027" type="#_x0000_t202" style="position:absolute;left:0;text-align:left;margin-left:263.35pt;margin-top:8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" o:allowincell="f" stroked="f">
              <v:textbox inset=",0,,0">
                <w:txbxContent>
                  <w:p w14:paraId="1B7855E6" w14:textId="77777777" w:rsidR="003B3030" w:rsidRDefault="003B3030" w:rsidP="00DF5759">
                    <w:pPr>
                      <w:spacing w:before="40"/>
                      <w:jc w:val="right"/>
                      <w:rPr>
                        <w:rFonts w:ascii="Arial" w:hAnsi="Arial"/>
                        <w:b/>
                        <w:sz w:val="16"/>
                      </w:rPr>
                    </w:pPr>
                    <w:r>
                      <w:rPr>
                        <w:rFonts w:ascii="Arial" w:hAnsi="Arial"/>
                        <w:b/>
                        <w:sz w:val="16"/>
                      </w:rPr>
                      <w:t>News Media Information 202 / 418-0500</w:t>
                    </w:r>
                  </w:p>
                  <w:p w14:paraId="72840C07" w14:textId="77777777" w:rsidR="003B3030" w:rsidRDefault="003B3030" w:rsidP="00DF5759">
                    <w:pPr>
                      <w:jc w:val="right"/>
                      <w:rPr>
                        <w:rFonts w:ascii="Arial" w:hAnsi="Arial"/>
                        <w:b/>
                        <w:sz w:val="16"/>
                      </w:rPr>
                    </w:pPr>
                    <w:r>
                      <w:rPr>
                        <w:rFonts w:ascii="Arial" w:hAnsi="Arial"/>
                        <w:b/>
                        <w:sz w:val="16"/>
                      </w:rPr>
                      <w:t>Internet: http://www.fcc.gov</w:t>
                    </w:r>
                  </w:p>
                  <w:p w14:paraId="4ECE6094" w14:textId="77777777" w:rsidR="003B3030" w:rsidRDefault="003B3030" w:rsidP="00DF5759">
                    <w:pPr>
                      <w:jc w:val="right"/>
                      <w:rPr>
                        <w:rFonts w:ascii="Arial" w:hAnsi="Arial"/>
                        <w:b/>
                        <w:sz w:val="16"/>
                      </w:rPr>
                    </w:pPr>
                    <w:r>
                      <w:rPr>
                        <w:rFonts w:ascii="Arial" w:hAnsi="Arial"/>
                        <w:b/>
                        <w:sz w:val="16"/>
                      </w:rPr>
                      <w:t>TTY: 1-888-835-5322</w:t>
                    </w:r>
                  </w:p>
                  <w:p w14:paraId="5E5BE74E" w14:textId="77777777" w:rsidR="003B3030" w:rsidRDefault="003B3030" w:rsidP="00DF5759">
                    <w:pPr>
                      <w:jc w:val="right"/>
                    </w:pPr>
                  </w:p>
                </w:txbxContent>
              </v:textbox>
            </v:shape>
          </w:pict>
        </mc:Fallback>
      </mc:AlternateContent>
    </w:r>
    <w:r>
      <w:rPr>
        <w:noProof/>
      </w:rPr>
      <mc:AlternateContent>
        <mc:Choice Requires="wps">
          <w:drawing>
            <wp:anchor distT="4294967295" distB="4294967295" distL="114300" distR="114300" simplePos="0" relativeHeight="251659264" behindDoc="0" locked="0" layoutInCell="0" allowOverlap="1" wp14:anchorId="34CE685D" wp14:editId="6D8682F0">
              <wp:simplePos x="0" y="0"/>
              <wp:positionH relativeFrom="margin">
                <wp:align>right</wp:align>
              </wp:positionH>
              <wp:positionV relativeFrom="paragraph">
                <wp:posOffset>702309</wp:posOffset>
              </wp:positionV>
              <wp:extent cx="5915025" cy="0"/>
              <wp:effectExtent l="0" t="0" r="28575"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CFDC14" id="Line 4"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4.55pt,55.3pt" to="880.3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9n2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" o:allowincell="f">
              <w10:wrap anchorx="margin"/>
            </v:line>
          </w:pict>
        </mc:Fallback>
      </mc:AlternateContent>
    </w:r>
  </w:p>
  <w:p w14:paraId="22542BF4" w14:textId="77777777" w:rsidR="003B3030" w:rsidRDefault="003B30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E7E0E" w14:textId="77777777" w:rsidR="0072370F" w:rsidRDefault="007237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F887" w14:textId="77777777" w:rsidR="00602577" w:rsidRDefault="0072370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14:anchorId="5C5A1DA5" wp14:editId="08302D1E">
          <wp:simplePos x="0" y="0"/>
          <wp:positionH relativeFrom="column">
            <wp:posOffset>443865</wp:posOffset>
          </wp:positionH>
          <wp:positionV relativeFrom="paragraph">
            <wp:posOffset>107950</wp:posOffset>
          </wp:positionV>
          <wp:extent cx="530225" cy="530225"/>
          <wp:effectExtent l="0" t="0" r="3175" b="3175"/>
          <wp:wrapTopAndBottom/>
          <wp:docPr id="8"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4C5B2829" w14:textId="77777777" w:rsidR="00602577" w:rsidRDefault="0072370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14:anchorId="3B3F9A23" wp14:editId="1208FA13">
              <wp:simplePos x="0" y="0"/>
              <wp:positionH relativeFrom="column">
                <wp:posOffset>477520</wp:posOffset>
              </wp:positionH>
              <wp:positionV relativeFrom="paragraph">
                <wp:posOffset>697865</wp:posOffset>
              </wp:positionV>
              <wp:extent cx="5886450" cy="254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4099E3"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hJFgIAACs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eyqaD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bMiYS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7D6E57B5" wp14:editId="0D27AC6C">
              <wp:simplePos x="0" y="0"/>
              <wp:positionH relativeFrom="column">
                <wp:posOffset>381000</wp:posOffset>
              </wp:positionH>
              <wp:positionV relativeFrom="paragraph">
                <wp:posOffset>5080</wp:posOffset>
              </wp:positionV>
              <wp:extent cx="3108960" cy="6400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62D02" w14:textId="77777777" w:rsidR="00602577" w:rsidRDefault="00602577">
                          <w:pPr>
                            <w:rPr>
                              <w:rFonts w:ascii="Arial" w:hAnsi="Arial"/>
                              <w:b/>
                            </w:rPr>
                          </w:pPr>
                          <w:r>
                            <w:rPr>
                              <w:rFonts w:ascii="Arial" w:hAnsi="Arial"/>
                              <w:b/>
                            </w:rPr>
                            <w:t>Federal Communications Commission</w:t>
                          </w:r>
                        </w:p>
                        <w:p w14:paraId="167998D2"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1E863C4"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6E57B5" id="_x0000_t202" coordsize="21600,21600" o:spt="202" path="m,l,21600r21600,l21600,xe">
              <v:stroke joinstyle="miter"/>
              <v:path gradientshapeok="t" o:connecttype="rect"/>
            </v:shapetype>
            <v:shape id="_x0000_s1028"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yUhAIAABY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KLgHJSE&#10;AgAAFgUAAA4AAAAAAAAAAAAAAAAALgIAAGRycy9lMm9Eb2MueG1sUEsBAi0AFAAGAAgAAAAhAGlm&#10;3vTbAAAABwEAAA8AAAAAAAAAAAAAAAAA3gQAAGRycy9kb3ducmV2LnhtbFBLBQYAAAAABAAEAPMA&#10;AADmBQAAAAA=&#10;" o:allowincell="f" stroked="f">
              <v:textbox>
                <w:txbxContent>
                  <w:p w14:paraId="60862D02" w14:textId="77777777" w:rsidR="00602577" w:rsidRDefault="00602577">
                    <w:pPr>
                      <w:rPr>
                        <w:rFonts w:ascii="Arial" w:hAnsi="Arial"/>
                        <w:b/>
                      </w:rPr>
                    </w:pPr>
                    <w:r>
                      <w:rPr>
                        <w:rFonts w:ascii="Arial" w:hAnsi="Arial"/>
                        <w:b/>
                      </w:rPr>
                      <w:t>Federal Communications Commission</w:t>
                    </w:r>
                  </w:p>
                  <w:p w14:paraId="167998D2"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1E863C4"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60E73D7" wp14:editId="337ED952">
              <wp:simplePos x="0" y="0"/>
              <wp:positionH relativeFrom="column">
                <wp:posOffset>3829050</wp:posOffset>
              </wp:positionH>
              <wp:positionV relativeFrom="paragraph">
                <wp:posOffset>130175</wp:posOffset>
              </wp:positionV>
              <wp:extent cx="2640965" cy="548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E95C3" w14:textId="77777777" w:rsidR="00602577" w:rsidRDefault="00602577">
                          <w:pPr>
                            <w:spacing w:before="40"/>
                            <w:jc w:val="right"/>
                            <w:rPr>
                              <w:rFonts w:ascii="Arial" w:hAnsi="Arial"/>
                              <w:b/>
                              <w:sz w:val="16"/>
                            </w:rPr>
                          </w:pPr>
                          <w:r>
                            <w:rPr>
                              <w:rFonts w:ascii="Arial" w:hAnsi="Arial"/>
                              <w:b/>
                              <w:sz w:val="16"/>
                            </w:rPr>
                            <w:t>News Media Information 202 / 418-0500</w:t>
                          </w:r>
                        </w:p>
                        <w:p w14:paraId="68344E6D"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9B19DB7" w14:textId="77777777" w:rsidR="00602577" w:rsidRDefault="00602577">
                          <w:pPr>
                            <w:jc w:val="right"/>
                            <w:rPr>
                              <w:rFonts w:ascii="Arial" w:hAnsi="Arial"/>
                              <w:b/>
                              <w:sz w:val="16"/>
                            </w:rPr>
                          </w:pPr>
                          <w:r>
                            <w:rPr>
                              <w:rFonts w:ascii="Arial" w:hAnsi="Arial"/>
                              <w:b/>
                              <w:sz w:val="16"/>
                            </w:rPr>
                            <w:t>TTY: 1-888-835-5322</w:t>
                          </w:r>
                        </w:p>
                        <w:p w14:paraId="6DFC4175"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0E73D7" id="_x0000_s1029"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g3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cLEY&#10;N4ECAAAOBQAADgAAAAAAAAAAAAAAAAAuAgAAZHJzL2Uyb0RvYy54bWxQSwECLQAUAAYACAAAACEA&#10;NRR2SeAAAAALAQAADwAAAAAAAAAAAAAAAADbBAAAZHJzL2Rvd25yZXYueG1sUEsFBgAAAAAEAAQA&#10;8wAAAOgFAAAAAA==&#10;" o:allowincell="f" stroked="f">
              <v:textbox inset=",0,,0">
                <w:txbxContent>
                  <w:p w14:paraId="7A2E95C3" w14:textId="77777777" w:rsidR="00602577" w:rsidRDefault="00602577">
                    <w:pPr>
                      <w:spacing w:before="40"/>
                      <w:jc w:val="right"/>
                      <w:rPr>
                        <w:rFonts w:ascii="Arial" w:hAnsi="Arial"/>
                        <w:b/>
                        <w:sz w:val="16"/>
                      </w:rPr>
                    </w:pPr>
                    <w:r>
                      <w:rPr>
                        <w:rFonts w:ascii="Arial" w:hAnsi="Arial"/>
                        <w:b/>
                        <w:sz w:val="16"/>
                      </w:rPr>
                      <w:t>News Media Information 202 / 418-0500</w:t>
                    </w:r>
                  </w:p>
                  <w:p w14:paraId="68344E6D" w14:textId="77777777" w:rsidR="00602577" w:rsidRDefault="006025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14:paraId="39B19DB7" w14:textId="77777777" w:rsidR="00602577" w:rsidRDefault="00602577">
                    <w:pPr>
                      <w:jc w:val="right"/>
                      <w:rPr>
                        <w:rFonts w:ascii="Arial" w:hAnsi="Arial"/>
                        <w:b/>
                        <w:sz w:val="16"/>
                      </w:rPr>
                    </w:pPr>
                    <w:r>
                      <w:rPr>
                        <w:rFonts w:ascii="Arial" w:hAnsi="Arial"/>
                        <w:b/>
                        <w:sz w:val="16"/>
                      </w:rPr>
                      <w:t>TTY: 1-888-835-5322</w:t>
                    </w:r>
                  </w:p>
                  <w:p w14:paraId="6DFC4175" w14:textId="77777777" w:rsidR="00602577" w:rsidRDefault="00602577">
                    <w:pPr>
                      <w:jc w:val="right"/>
                    </w:pPr>
                  </w:p>
                </w:txbxContent>
              </v:textbox>
            </v:shape>
          </w:pict>
        </mc:Fallback>
      </mc:AlternateContent>
    </w:r>
  </w:p>
  <w:p w14:paraId="602093EB" w14:textId="77777777" w:rsidR="00602577" w:rsidRPr="00DC02F6" w:rsidRDefault="00602577" w:rsidP="00DC02F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CA077A"/>
    <w:multiLevelType w:val="hybridMultilevel"/>
    <w:tmpl w:val="19A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80FCB"/>
    <w:multiLevelType w:val="hybridMultilevel"/>
    <w:tmpl w:val="540E2A3E"/>
    <w:lvl w:ilvl="0" w:tplc="4842659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90DAE"/>
    <w:multiLevelType w:val="hybridMultilevel"/>
    <w:tmpl w:val="0F5CA84E"/>
    <w:lvl w:ilvl="0" w:tplc="B9CAF55C">
      <w:start w:val="1"/>
      <w:numFmt w:val="decimal"/>
      <w:lvlText w:val="%1."/>
      <w:lvlJc w:val="left"/>
      <w:pPr>
        <w:ind w:left="216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E00763"/>
    <w:multiLevelType w:val="hybridMultilevel"/>
    <w:tmpl w:val="001450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8037AD"/>
    <w:multiLevelType w:val="hybridMultilevel"/>
    <w:tmpl w:val="29E80F82"/>
    <w:lvl w:ilvl="0" w:tplc="241E01E0">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EF52B47"/>
    <w:multiLevelType w:val="hybridMultilevel"/>
    <w:tmpl w:val="713217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E354304"/>
    <w:multiLevelType w:val="hybridMultilevel"/>
    <w:tmpl w:val="0FE6299E"/>
    <w:lvl w:ilvl="0" w:tplc="13E81714">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7A931FD"/>
    <w:multiLevelType w:val="hybridMultilevel"/>
    <w:tmpl w:val="36801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61182925"/>
    <w:multiLevelType w:val="singleLevel"/>
    <w:tmpl w:val="D180CED0"/>
    <w:lvl w:ilvl="0">
      <w:start w:val="1"/>
      <w:numFmt w:val="decimal"/>
      <w:pStyle w:val="ParaNum0"/>
      <w:lvlText w:val="%1."/>
      <w:lvlJc w:val="left"/>
      <w:pPr>
        <w:tabs>
          <w:tab w:val="num" w:pos="1260"/>
        </w:tabs>
        <w:ind w:left="180" w:firstLine="720"/>
      </w:pPr>
    </w:lvl>
  </w:abstractNum>
  <w:abstractNum w:abstractNumId="17">
    <w:nsid w:val="669C46EB"/>
    <w:multiLevelType w:val="hybridMultilevel"/>
    <w:tmpl w:val="AFD4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14989"/>
    <w:multiLevelType w:val="hybridMultilevel"/>
    <w:tmpl w:val="723262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C4CF0B0">
      <w:start w:val="1"/>
      <w:numFmt w:val="decimal"/>
      <w:lvlText w:val="(%3)"/>
      <w:lvlJc w:val="left"/>
      <w:pPr>
        <w:ind w:left="1800" w:hanging="360"/>
      </w:pPr>
      <w:rPr>
        <w:rFonts w:ascii="Times New Roman" w:eastAsia="Times New Roman" w:hAnsi="Times New Roman" w:cs="Times New Roman"/>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F0406EE"/>
    <w:multiLevelType w:val="hybridMultilevel"/>
    <w:tmpl w:val="749E4CE6"/>
    <w:lvl w:ilvl="0" w:tplc="EB60892E">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4"/>
  </w:num>
  <w:num w:numId="2">
    <w:abstractNumId w:val="12"/>
  </w:num>
  <w:num w:numId="3">
    <w:abstractNumId w:val="15"/>
  </w:num>
  <w:num w:numId="4">
    <w:abstractNumId w:val="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1"/>
  </w:num>
  <w:num w:numId="12">
    <w:abstractNumId w:val="9"/>
  </w:num>
  <w:num w:numId="13">
    <w:abstractNumId w:val="16"/>
    <w:lvlOverride w:ilvl="0">
      <w:startOverride w:val="1"/>
    </w:lvlOverride>
  </w:num>
  <w:num w:numId="14">
    <w:abstractNumId w:val="8"/>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18"/>
  </w:num>
  <w:num w:numId="20">
    <w:abstractNumId w:val="7"/>
  </w:num>
  <w:num w:numId="21">
    <w:abstractNumId w:val="4"/>
  </w:num>
  <w:num w:numId="22">
    <w:abstractNumId w:val="10"/>
  </w:num>
  <w:num w:numId="23">
    <w:abstractNumId w:val="0"/>
  </w:num>
  <w:num w:numId="24">
    <w:abstractNumId w:val="1"/>
  </w:num>
  <w:num w:numId="25">
    <w:abstractNumId w:val="13"/>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30"/>
    <w:rsid w:val="0001025C"/>
    <w:rsid w:val="0001321B"/>
    <w:rsid w:val="00013711"/>
    <w:rsid w:val="00013867"/>
    <w:rsid w:val="0002100B"/>
    <w:rsid w:val="00024588"/>
    <w:rsid w:val="000265AE"/>
    <w:rsid w:val="000326B2"/>
    <w:rsid w:val="0003799C"/>
    <w:rsid w:val="0004249D"/>
    <w:rsid w:val="000438D6"/>
    <w:rsid w:val="000455BD"/>
    <w:rsid w:val="0004563D"/>
    <w:rsid w:val="000501AE"/>
    <w:rsid w:val="00054D86"/>
    <w:rsid w:val="00054F98"/>
    <w:rsid w:val="00057EFA"/>
    <w:rsid w:val="000613A6"/>
    <w:rsid w:val="00061843"/>
    <w:rsid w:val="00066B13"/>
    <w:rsid w:val="0006747E"/>
    <w:rsid w:val="000712C6"/>
    <w:rsid w:val="000748D4"/>
    <w:rsid w:val="00074C8A"/>
    <w:rsid w:val="000762A1"/>
    <w:rsid w:val="000776D2"/>
    <w:rsid w:val="00077EDB"/>
    <w:rsid w:val="000812B4"/>
    <w:rsid w:val="00082237"/>
    <w:rsid w:val="0008557E"/>
    <w:rsid w:val="0009073B"/>
    <w:rsid w:val="0009505E"/>
    <w:rsid w:val="00095624"/>
    <w:rsid w:val="00096587"/>
    <w:rsid w:val="000966E8"/>
    <w:rsid w:val="0009753D"/>
    <w:rsid w:val="000A3115"/>
    <w:rsid w:val="000A55A8"/>
    <w:rsid w:val="000A6536"/>
    <w:rsid w:val="000A6CEB"/>
    <w:rsid w:val="000B011A"/>
    <w:rsid w:val="000B1126"/>
    <w:rsid w:val="000B41C4"/>
    <w:rsid w:val="000B632A"/>
    <w:rsid w:val="000B6966"/>
    <w:rsid w:val="000C22FD"/>
    <w:rsid w:val="000C257D"/>
    <w:rsid w:val="000C397B"/>
    <w:rsid w:val="000C4268"/>
    <w:rsid w:val="000C59A1"/>
    <w:rsid w:val="000C6A6F"/>
    <w:rsid w:val="000C7A68"/>
    <w:rsid w:val="000D0E44"/>
    <w:rsid w:val="000E06BE"/>
    <w:rsid w:val="000E0CE9"/>
    <w:rsid w:val="000E7154"/>
    <w:rsid w:val="000F4560"/>
    <w:rsid w:val="000F4A1B"/>
    <w:rsid w:val="000F4B84"/>
    <w:rsid w:val="000F796E"/>
    <w:rsid w:val="00102062"/>
    <w:rsid w:val="001047E1"/>
    <w:rsid w:val="00105017"/>
    <w:rsid w:val="00105A96"/>
    <w:rsid w:val="001068B6"/>
    <w:rsid w:val="001078F8"/>
    <w:rsid w:val="00107AD2"/>
    <w:rsid w:val="001106B7"/>
    <w:rsid w:val="00110C83"/>
    <w:rsid w:val="00110CBD"/>
    <w:rsid w:val="001124A3"/>
    <w:rsid w:val="0011293A"/>
    <w:rsid w:val="00113DCE"/>
    <w:rsid w:val="00115370"/>
    <w:rsid w:val="00121282"/>
    <w:rsid w:val="00121472"/>
    <w:rsid w:val="00124390"/>
    <w:rsid w:val="001259B0"/>
    <w:rsid w:val="00126150"/>
    <w:rsid w:val="0013123E"/>
    <w:rsid w:val="00131E71"/>
    <w:rsid w:val="00134DB5"/>
    <w:rsid w:val="001377EC"/>
    <w:rsid w:val="00140188"/>
    <w:rsid w:val="0014307E"/>
    <w:rsid w:val="00143082"/>
    <w:rsid w:val="00145679"/>
    <w:rsid w:val="00153A1D"/>
    <w:rsid w:val="001541AB"/>
    <w:rsid w:val="0015476B"/>
    <w:rsid w:val="0015531A"/>
    <w:rsid w:val="0015588C"/>
    <w:rsid w:val="001618A9"/>
    <w:rsid w:val="001628C9"/>
    <w:rsid w:val="0016631C"/>
    <w:rsid w:val="00166AC7"/>
    <w:rsid w:val="00167C99"/>
    <w:rsid w:val="001700B8"/>
    <w:rsid w:val="00172D7F"/>
    <w:rsid w:val="00175438"/>
    <w:rsid w:val="00176AB8"/>
    <w:rsid w:val="00181E40"/>
    <w:rsid w:val="001835F9"/>
    <w:rsid w:val="00185817"/>
    <w:rsid w:val="001906D8"/>
    <w:rsid w:val="00192A94"/>
    <w:rsid w:val="00193411"/>
    <w:rsid w:val="00194435"/>
    <w:rsid w:val="00194668"/>
    <w:rsid w:val="001A5E4C"/>
    <w:rsid w:val="001B22A4"/>
    <w:rsid w:val="001B562F"/>
    <w:rsid w:val="001B6DC9"/>
    <w:rsid w:val="001C042E"/>
    <w:rsid w:val="001C1210"/>
    <w:rsid w:val="001C1ECF"/>
    <w:rsid w:val="001C2FC2"/>
    <w:rsid w:val="001C3833"/>
    <w:rsid w:val="001C60A3"/>
    <w:rsid w:val="001C761F"/>
    <w:rsid w:val="001D1A78"/>
    <w:rsid w:val="001D265C"/>
    <w:rsid w:val="001D7307"/>
    <w:rsid w:val="001E057F"/>
    <w:rsid w:val="001E0DA6"/>
    <w:rsid w:val="001E2012"/>
    <w:rsid w:val="001E2AC2"/>
    <w:rsid w:val="001E38C0"/>
    <w:rsid w:val="001E4006"/>
    <w:rsid w:val="001E51C7"/>
    <w:rsid w:val="001E6029"/>
    <w:rsid w:val="001F0AA5"/>
    <w:rsid w:val="001F0B87"/>
    <w:rsid w:val="001F1EA5"/>
    <w:rsid w:val="001F21DF"/>
    <w:rsid w:val="001F6998"/>
    <w:rsid w:val="001F7F9D"/>
    <w:rsid w:val="00203DD7"/>
    <w:rsid w:val="00206C38"/>
    <w:rsid w:val="00212AD6"/>
    <w:rsid w:val="00214851"/>
    <w:rsid w:val="00215AE6"/>
    <w:rsid w:val="00221D30"/>
    <w:rsid w:val="00223C90"/>
    <w:rsid w:val="002245C5"/>
    <w:rsid w:val="0022707A"/>
    <w:rsid w:val="002321C7"/>
    <w:rsid w:val="00232B48"/>
    <w:rsid w:val="0023333A"/>
    <w:rsid w:val="00234C0E"/>
    <w:rsid w:val="002355C6"/>
    <w:rsid w:val="0023575F"/>
    <w:rsid w:val="00241235"/>
    <w:rsid w:val="00242C7A"/>
    <w:rsid w:val="0024390B"/>
    <w:rsid w:val="002446D0"/>
    <w:rsid w:val="002447F0"/>
    <w:rsid w:val="002465E9"/>
    <w:rsid w:val="00250B34"/>
    <w:rsid w:val="00253622"/>
    <w:rsid w:val="00257251"/>
    <w:rsid w:val="0026138A"/>
    <w:rsid w:val="00261B6A"/>
    <w:rsid w:val="002622DC"/>
    <w:rsid w:val="00262B57"/>
    <w:rsid w:val="002713D8"/>
    <w:rsid w:val="00271B0C"/>
    <w:rsid w:val="00271FF4"/>
    <w:rsid w:val="00272CF7"/>
    <w:rsid w:val="00275910"/>
    <w:rsid w:val="00275F26"/>
    <w:rsid w:val="00281C6F"/>
    <w:rsid w:val="00283A85"/>
    <w:rsid w:val="002909F9"/>
    <w:rsid w:val="00292076"/>
    <w:rsid w:val="00296D8E"/>
    <w:rsid w:val="002A116E"/>
    <w:rsid w:val="002A1F51"/>
    <w:rsid w:val="002A1F7E"/>
    <w:rsid w:val="002A4310"/>
    <w:rsid w:val="002A5202"/>
    <w:rsid w:val="002B109D"/>
    <w:rsid w:val="002B2917"/>
    <w:rsid w:val="002B347F"/>
    <w:rsid w:val="002B366F"/>
    <w:rsid w:val="002B4B08"/>
    <w:rsid w:val="002B56A3"/>
    <w:rsid w:val="002B68D4"/>
    <w:rsid w:val="002C006B"/>
    <w:rsid w:val="002C2138"/>
    <w:rsid w:val="002C412A"/>
    <w:rsid w:val="002C56CC"/>
    <w:rsid w:val="002C69A9"/>
    <w:rsid w:val="002D14A6"/>
    <w:rsid w:val="002D466E"/>
    <w:rsid w:val="002D5469"/>
    <w:rsid w:val="002E1BA9"/>
    <w:rsid w:val="002E51CD"/>
    <w:rsid w:val="002E63BA"/>
    <w:rsid w:val="002E794E"/>
    <w:rsid w:val="002F01A6"/>
    <w:rsid w:val="002F11D2"/>
    <w:rsid w:val="002F23FB"/>
    <w:rsid w:val="002F3133"/>
    <w:rsid w:val="002F746B"/>
    <w:rsid w:val="002F7763"/>
    <w:rsid w:val="002F78FD"/>
    <w:rsid w:val="00300ED7"/>
    <w:rsid w:val="00301508"/>
    <w:rsid w:val="003056A8"/>
    <w:rsid w:val="003110CC"/>
    <w:rsid w:val="00311E81"/>
    <w:rsid w:val="0031295E"/>
    <w:rsid w:val="00312D2D"/>
    <w:rsid w:val="003136B4"/>
    <w:rsid w:val="003148AA"/>
    <w:rsid w:val="003151C5"/>
    <w:rsid w:val="00317E0F"/>
    <w:rsid w:val="00320A59"/>
    <w:rsid w:val="0032248A"/>
    <w:rsid w:val="0032288F"/>
    <w:rsid w:val="00322B56"/>
    <w:rsid w:val="00323126"/>
    <w:rsid w:val="003235E2"/>
    <w:rsid w:val="00325730"/>
    <w:rsid w:val="00326550"/>
    <w:rsid w:val="00331647"/>
    <w:rsid w:val="00332814"/>
    <w:rsid w:val="00337A96"/>
    <w:rsid w:val="00341A34"/>
    <w:rsid w:val="0034546E"/>
    <w:rsid w:val="00347DF9"/>
    <w:rsid w:val="003501EA"/>
    <w:rsid w:val="003531B0"/>
    <w:rsid w:val="003545CB"/>
    <w:rsid w:val="00361232"/>
    <w:rsid w:val="00367257"/>
    <w:rsid w:val="003704E8"/>
    <w:rsid w:val="0037273A"/>
    <w:rsid w:val="00374B29"/>
    <w:rsid w:val="003763F3"/>
    <w:rsid w:val="00377F57"/>
    <w:rsid w:val="003803FD"/>
    <w:rsid w:val="00380A8F"/>
    <w:rsid w:val="00384546"/>
    <w:rsid w:val="003878F4"/>
    <w:rsid w:val="003879DD"/>
    <w:rsid w:val="00387C2A"/>
    <w:rsid w:val="00390665"/>
    <w:rsid w:val="0039100B"/>
    <w:rsid w:val="00391276"/>
    <w:rsid w:val="003931C9"/>
    <w:rsid w:val="00394112"/>
    <w:rsid w:val="003A00D1"/>
    <w:rsid w:val="003A2AE9"/>
    <w:rsid w:val="003A52BC"/>
    <w:rsid w:val="003A6353"/>
    <w:rsid w:val="003B3030"/>
    <w:rsid w:val="003B635F"/>
    <w:rsid w:val="003C2B41"/>
    <w:rsid w:val="003C66AB"/>
    <w:rsid w:val="003D3F1F"/>
    <w:rsid w:val="003D521F"/>
    <w:rsid w:val="003D6384"/>
    <w:rsid w:val="003D6DC8"/>
    <w:rsid w:val="003E5944"/>
    <w:rsid w:val="003E7513"/>
    <w:rsid w:val="003F1AF5"/>
    <w:rsid w:val="00400FE1"/>
    <w:rsid w:val="0040404E"/>
    <w:rsid w:val="0040686B"/>
    <w:rsid w:val="00410551"/>
    <w:rsid w:val="004117FC"/>
    <w:rsid w:val="00414600"/>
    <w:rsid w:val="00417648"/>
    <w:rsid w:val="00426DFA"/>
    <w:rsid w:val="004277CD"/>
    <w:rsid w:val="00430E4C"/>
    <w:rsid w:val="004337B3"/>
    <w:rsid w:val="00440A22"/>
    <w:rsid w:val="00440AA2"/>
    <w:rsid w:val="004419CA"/>
    <w:rsid w:val="00444EEE"/>
    <w:rsid w:val="004450F8"/>
    <w:rsid w:val="0044598C"/>
    <w:rsid w:val="004467C9"/>
    <w:rsid w:val="00452FFF"/>
    <w:rsid w:val="00453B38"/>
    <w:rsid w:val="004562FF"/>
    <w:rsid w:val="004577E0"/>
    <w:rsid w:val="00457A68"/>
    <w:rsid w:val="0046357F"/>
    <w:rsid w:val="0046569D"/>
    <w:rsid w:val="004663B7"/>
    <w:rsid w:val="0046706A"/>
    <w:rsid w:val="00467380"/>
    <w:rsid w:val="00467CA9"/>
    <w:rsid w:val="004700C8"/>
    <w:rsid w:val="0047526B"/>
    <w:rsid w:val="004766F7"/>
    <w:rsid w:val="00476F71"/>
    <w:rsid w:val="00480357"/>
    <w:rsid w:val="00480C25"/>
    <w:rsid w:val="00484A19"/>
    <w:rsid w:val="00490BF6"/>
    <w:rsid w:val="004957C7"/>
    <w:rsid w:val="00496569"/>
    <w:rsid w:val="00496B75"/>
    <w:rsid w:val="004978A2"/>
    <w:rsid w:val="004A109E"/>
    <w:rsid w:val="004A7841"/>
    <w:rsid w:val="004B199E"/>
    <w:rsid w:val="004B2A02"/>
    <w:rsid w:val="004B5D7E"/>
    <w:rsid w:val="004B73B3"/>
    <w:rsid w:val="004C5CFC"/>
    <w:rsid w:val="004C7398"/>
    <w:rsid w:val="004D16AD"/>
    <w:rsid w:val="004D1DC9"/>
    <w:rsid w:val="004D3EF9"/>
    <w:rsid w:val="004D3FB9"/>
    <w:rsid w:val="004E0D1C"/>
    <w:rsid w:val="004E2E4B"/>
    <w:rsid w:val="004E31D7"/>
    <w:rsid w:val="004E4CB6"/>
    <w:rsid w:val="004E4D8E"/>
    <w:rsid w:val="004E50C7"/>
    <w:rsid w:val="004E78A3"/>
    <w:rsid w:val="004E7D1B"/>
    <w:rsid w:val="004E7D53"/>
    <w:rsid w:val="004F2066"/>
    <w:rsid w:val="004F5683"/>
    <w:rsid w:val="0050324A"/>
    <w:rsid w:val="0050659F"/>
    <w:rsid w:val="00513676"/>
    <w:rsid w:val="00516F00"/>
    <w:rsid w:val="00517389"/>
    <w:rsid w:val="00521E9F"/>
    <w:rsid w:val="00522A8B"/>
    <w:rsid w:val="00526257"/>
    <w:rsid w:val="00526C27"/>
    <w:rsid w:val="00526C79"/>
    <w:rsid w:val="00530870"/>
    <w:rsid w:val="0053388A"/>
    <w:rsid w:val="00534B35"/>
    <w:rsid w:val="00535310"/>
    <w:rsid w:val="005368E3"/>
    <w:rsid w:val="00536C8A"/>
    <w:rsid w:val="0053726E"/>
    <w:rsid w:val="00541A16"/>
    <w:rsid w:val="00544DC5"/>
    <w:rsid w:val="0054753B"/>
    <w:rsid w:val="00552E6B"/>
    <w:rsid w:val="005553DA"/>
    <w:rsid w:val="00557624"/>
    <w:rsid w:val="00563338"/>
    <w:rsid w:val="005655AA"/>
    <w:rsid w:val="005656F2"/>
    <w:rsid w:val="005658C7"/>
    <w:rsid w:val="0056601D"/>
    <w:rsid w:val="00566EE6"/>
    <w:rsid w:val="00575482"/>
    <w:rsid w:val="005762CD"/>
    <w:rsid w:val="00577EC2"/>
    <w:rsid w:val="00582D8F"/>
    <w:rsid w:val="00583598"/>
    <w:rsid w:val="00583935"/>
    <w:rsid w:val="0058605D"/>
    <w:rsid w:val="00587303"/>
    <w:rsid w:val="005924C1"/>
    <w:rsid w:val="005931FF"/>
    <w:rsid w:val="005938F1"/>
    <w:rsid w:val="00594E8A"/>
    <w:rsid w:val="00595ED1"/>
    <w:rsid w:val="005A0557"/>
    <w:rsid w:val="005A062B"/>
    <w:rsid w:val="005A1CD9"/>
    <w:rsid w:val="005A502D"/>
    <w:rsid w:val="005A6146"/>
    <w:rsid w:val="005A74A7"/>
    <w:rsid w:val="005B00A8"/>
    <w:rsid w:val="005B160D"/>
    <w:rsid w:val="005B4628"/>
    <w:rsid w:val="005B75B6"/>
    <w:rsid w:val="005C1002"/>
    <w:rsid w:val="005C126B"/>
    <w:rsid w:val="005C2EE5"/>
    <w:rsid w:val="005C5D34"/>
    <w:rsid w:val="005D0299"/>
    <w:rsid w:val="005D0EED"/>
    <w:rsid w:val="005D1578"/>
    <w:rsid w:val="005D7039"/>
    <w:rsid w:val="005E29AD"/>
    <w:rsid w:val="005F1B80"/>
    <w:rsid w:val="005F3BF3"/>
    <w:rsid w:val="005F4005"/>
    <w:rsid w:val="005F4026"/>
    <w:rsid w:val="005F6A3C"/>
    <w:rsid w:val="005F6D05"/>
    <w:rsid w:val="005F73A3"/>
    <w:rsid w:val="00602460"/>
    <w:rsid w:val="00602577"/>
    <w:rsid w:val="00607CA4"/>
    <w:rsid w:val="00611236"/>
    <w:rsid w:val="00611514"/>
    <w:rsid w:val="00611EC5"/>
    <w:rsid w:val="0061340B"/>
    <w:rsid w:val="0061740D"/>
    <w:rsid w:val="00620B1E"/>
    <w:rsid w:val="00620C0B"/>
    <w:rsid w:val="0062143D"/>
    <w:rsid w:val="00622D25"/>
    <w:rsid w:val="006252CB"/>
    <w:rsid w:val="00626724"/>
    <w:rsid w:val="00627F9A"/>
    <w:rsid w:val="006327A8"/>
    <w:rsid w:val="00633CA0"/>
    <w:rsid w:val="00635C73"/>
    <w:rsid w:val="00640359"/>
    <w:rsid w:val="006435CC"/>
    <w:rsid w:val="006453DC"/>
    <w:rsid w:val="006543BA"/>
    <w:rsid w:val="00654CC9"/>
    <w:rsid w:val="0065525D"/>
    <w:rsid w:val="006557BE"/>
    <w:rsid w:val="0065710F"/>
    <w:rsid w:val="0066522C"/>
    <w:rsid w:val="00665604"/>
    <w:rsid w:val="006708CD"/>
    <w:rsid w:val="006748E0"/>
    <w:rsid w:val="00675B87"/>
    <w:rsid w:val="00676986"/>
    <w:rsid w:val="00677937"/>
    <w:rsid w:val="00680937"/>
    <w:rsid w:val="00681D37"/>
    <w:rsid w:val="0068376A"/>
    <w:rsid w:val="00683DAF"/>
    <w:rsid w:val="00686660"/>
    <w:rsid w:val="00690AA3"/>
    <w:rsid w:val="006914A7"/>
    <w:rsid w:val="006934FF"/>
    <w:rsid w:val="006A061F"/>
    <w:rsid w:val="006A42AA"/>
    <w:rsid w:val="006A630E"/>
    <w:rsid w:val="006B1042"/>
    <w:rsid w:val="006B3CA0"/>
    <w:rsid w:val="006B5D5D"/>
    <w:rsid w:val="006B6F09"/>
    <w:rsid w:val="006C0873"/>
    <w:rsid w:val="006D0FBB"/>
    <w:rsid w:val="006D2928"/>
    <w:rsid w:val="006D59D4"/>
    <w:rsid w:val="006E1E37"/>
    <w:rsid w:val="006E25AA"/>
    <w:rsid w:val="006E721D"/>
    <w:rsid w:val="006E75E1"/>
    <w:rsid w:val="006E7B6D"/>
    <w:rsid w:val="006F0A12"/>
    <w:rsid w:val="006F2FAD"/>
    <w:rsid w:val="006F3152"/>
    <w:rsid w:val="00700891"/>
    <w:rsid w:val="00706DF8"/>
    <w:rsid w:val="00707066"/>
    <w:rsid w:val="007119DB"/>
    <w:rsid w:val="007125A0"/>
    <w:rsid w:val="007125FE"/>
    <w:rsid w:val="007140BB"/>
    <w:rsid w:val="00716AA9"/>
    <w:rsid w:val="007171D6"/>
    <w:rsid w:val="00717B3C"/>
    <w:rsid w:val="0072370F"/>
    <w:rsid w:val="00723AB6"/>
    <w:rsid w:val="00727172"/>
    <w:rsid w:val="00732C2E"/>
    <w:rsid w:val="00732F66"/>
    <w:rsid w:val="007334A6"/>
    <w:rsid w:val="007339F8"/>
    <w:rsid w:val="0073441C"/>
    <w:rsid w:val="007358C9"/>
    <w:rsid w:val="00740F4A"/>
    <w:rsid w:val="00752AF8"/>
    <w:rsid w:val="00756040"/>
    <w:rsid w:val="0075698E"/>
    <w:rsid w:val="00761E2F"/>
    <w:rsid w:val="0076253F"/>
    <w:rsid w:val="00765B7B"/>
    <w:rsid w:val="0077104D"/>
    <w:rsid w:val="007749B1"/>
    <w:rsid w:val="00776BBA"/>
    <w:rsid w:val="00777B02"/>
    <w:rsid w:val="00783E92"/>
    <w:rsid w:val="007865F8"/>
    <w:rsid w:val="0078689A"/>
    <w:rsid w:val="007868B2"/>
    <w:rsid w:val="0078699E"/>
    <w:rsid w:val="00787003"/>
    <w:rsid w:val="00792897"/>
    <w:rsid w:val="007A04CA"/>
    <w:rsid w:val="007A0EAE"/>
    <w:rsid w:val="007A2365"/>
    <w:rsid w:val="007A2CA0"/>
    <w:rsid w:val="007A2FB1"/>
    <w:rsid w:val="007A7E89"/>
    <w:rsid w:val="007B18BF"/>
    <w:rsid w:val="007B6D77"/>
    <w:rsid w:val="007B7D44"/>
    <w:rsid w:val="007B7EB8"/>
    <w:rsid w:val="007C5245"/>
    <w:rsid w:val="007D28D1"/>
    <w:rsid w:val="007D656D"/>
    <w:rsid w:val="007E4D88"/>
    <w:rsid w:val="007E5B07"/>
    <w:rsid w:val="007F0FD3"/>
    <w:rsid w:val="007F201C"/>
    <w:rsid w:val="007F3954"/>
    <w:rsid w:val="007F5C61"/>
    <w:rsid w:val="007F7886"/>
    <w:rsid w:val="00804DE7"/>
    <w:rsid w:val="00816D44"/>
    <w:rsid w:val="0082237D"/>
    <w:rsid w:val="00826845"/>
    <w:rsid w:val="00830A73"/>
    <w:rsid w:val="008310C5"/>
    <w:rsid w:val="00831F06"/>
    <w:rsid w:val="00832795"/>
    <w:rsid w:val="00836B16"/>
    <w:rsid w:val="0083755C"/>
    <w:rsid w:val="008416FA"/>
    <w:rsid w:val="00843CCC"/>
    <w:rsid w:val="00844913"/>
    <w:rsid w:val="0084562B"/>
    <w:rsid w:val="00847E8E"/>
    <w:rsid w:val="00850968"/>
    <w:rsid w:val="0085387A"/>
    <w:rsid w:val="008568B6"/>
    <w:rsid w:val="00860A6F"/>
    <w:rsid w:val="00861664"/>
    <w:rsid w:val="00861BE1"/>
    <w:rsid w:val="0086436B"/>
    <w:rsid w:val="00864F1A"/>
    <w:rsid w:val="0086662C"/>
    <w:rsid w:val="008704AD"/>
    <w:rsid w:val="00870897"/>
    <w:rsid w:val="00872575"/>
    <w:rsid w:val="00876D7E"/>
    <w:rsid w:val="008801DA"/>
    <w:rsid w:val="008802BE"/>
    <w:rsid w:val="00882904"/>
    <w:rsid w:val="00883252"/>
    <w:rsid w:val="00883E05"/>
    <w:rsid w:val="00885B9E"/>
    <w:rsid w:val="008863B7"/>
    <w:rsid w:val="0088731E"/>
    <w:rsid w:val="00890C9A"/>
    <w:rsid w:val="00893F15"/>
    <w:rsid w:val="00895E78"/>
    <w:rsid w:val="008961D3"/>
    <w:rsid w:val="008A0FC8"/>
    <w:rsid w:val="008A1AAF"/>
    <w:rsid w:val="008A2E34"/>
    <w:rsid w:val="008A3A8B"/>
    <w:rsid w:val="008B1574"/>
    <w:rsid w:val="008B38C3"/>
    <w:rsid w:val="008B4BD9"/>
    <w:rsid w:val="008B4FC8"/>
    <w:rsid w:val="008C044D"/>
    <w:rsid w:val="008C1E69"/>
    <w:rsid w:val="008C3495"/>
    <w:rsid w:val="008C595F"/>
    <w:rsid w:val="008D14C6"/>
    <w:rsid w:val="008D1CCC"/>
    <w:rsid w:val="008D2036"/>
    <w:rsid w:val="008D3B9F"/>
    <w:rsid w:val="008E4EA3"/>
    <w:rsid w:val="008E5417"/>
    <w:rsid w:val="008E5D6B"/>
    <w:rsid w:val="008F08AD"/>
    <w:rsid w:val="008F14C4"/>
    <w:rsid w:val="008F178C"/>
    <w:rsid w:val="008F64C8"/>
    <w:rsid w:val="009027A9"/>
    <w:rsid w:val="0090698A"/>
    <w:rsid w:val="009104B8"/>
    <w:rsid w:val="00912B40"/>
    <w:rsid w:val="00912EB5"/>
    <w:rsid w:val="0091376F"/>
    <w:rsid w:val="00913F7C"/>
    <w:rsid w:val="0091611E"/>
    <w:rsid w:val="009164BF"/>
    <w:rsid w:val="00921028"/>
    <w:rsid w:val="00921684"/>
    <w:rsid w:val="00922B80"/>
    <w:rsid w:val="00926F47"/>
    <w:rsid w:val="00927C87"/>
    <w:rsid w:val="00931A37"/>
    <w:rsid w:val="009328BB"/>
    <w:rsid w:val="00933219"/>
    <w:rsid w:val="0093492F"/>
    <w:rsid w:val="009359E9"/>
    <w:rsid w:val="00935C30"/>
    <w:rsid w:val="009364A4"/>
    <w:rsid w:val="0093693F"/>
    <w:rsid w:val="00937164"/>
    <w:rsid w:val="0094033B"/>
    <w:rsid w:val="009456A3"/>
    <w:rsid w:val="009524F1"/>
    <w:rsid w:val="00956F63"/>
    <w:rsid w:val="00961028"/>
    <w:rsid w:val="00962406"/>
    <w:rsid w:val="00967069"/>
    <w:rsid w:val="00967279"/>
    <w:rsid w:val="0097069E"/>
    <w:rsid w:val="009725AE"/>
    <w:rsid w:val="009769DE"/>
    <w:rsid w:val="009805D3"/>
    <w:rsid w:val="00984F00"/>
    <w:rsid w:val="00985229"/>
    <w:rsid w:val="009869B6"/>
    <w:rsid w:val="0098726C"/>
    <w:rsid w:val="00987CEF"/>
    <w:rsid w:val="00994DC4"/>
    <w:rsid w:val="00995260"/>
    <w:rsid w:val="009979A4"/>
    <w:rsid w:val="009A1180"/>
    <w:rsid w:val="009A4E06"/>
    <w:rsid w:val="009A7154"/>
    <w:rsid w:val="009B333C"/>
    <w:rsid w:val="009B59F5"/>
    <w:rsid w:val="009B5DB5"/>
    <w:rsid w:val="009B628E"/>
    <w:rsid w:val="009C6664"/>
    <w:rsid w:val="009C7493"/>
    <w:rsid w:val="009C7B9B"/>
    <w:rsid w:val="009D0BDB"/>
    <w:rsid w:val="009D33EF"/>
    <w:rsid w:val="009D599C"/>
    <w:rsid w:val="009D5A99"/>
    <w:rsid w:val="009D6198"/>
    <w:rsid w:val="009D6C6C"/>
    <w:rsid w:val="009E193A"/>
    <w:rsid w:val="009E2072"/>
    <w:rsid w:val="009F0B25"/>
    <w:rsid w:val="009F5580"/>
    <w:rsid w:val="00A00010"/>
    <w:rsid w:val="00A02BE2"/>
    <w:rsid w:val="00A04E64"/>
    <w:rsid w:val="00A078B2"/>
    <w:rsid w:val="00A117E8"/>
    <w:rsid w:val="00A11BBC"/>
    <w:rsid w:val="00A132D8"/>
    <w:rsid w:val="00A140F7"/>
    <w:rsid w:val="00A214CF"/>
    <w:rsid w:val="00A222F2"/>
    <w:rsid w:val="00A24EFC"/>
    <w:rsid w:val="00A30837"/>
    <w:rsid w:val="00A33C61"/>
    <w:rsid w:val="00A366B5"/>
    <w:rsid w:val="00A37A25"/>
    <w:rsid w:val="00A37D5B"/>
    <w:rsid w:val="00A40335"/>
    <w:rsid w:val="00A430B3"/>
    <w:rsid w:val="00A475DA"/>
    <w:rsid w:val="00A5329B"/>
    <w:rsid w:val="00A544EF"/>
    <w:rsid w:val="00A565F9"/>
    <w:rsid w:val="00A573D9"/>
    <w:rsid w:val="00A64963"/>
    <w:rsid w:val="00A663F8"/>
    <w:rsid w:val="00A670C0"/>
    <w:rsid w:val="00A75948"/>
    <w:rsid w:val="00A769D5"/>
    <w:rsid w:val="00A830A8"/>
    <w:rsid w:val="00A84D67"/>
    <w:rsid w:val="00A8524C"/>
    <w:rsid w:val="00AA08FE"/>
    <w:rsid w:val="00AA34F6"/>
    <w:rsid w:val="00AA5CE2"/>
    <w:rsid w:val="00AA7297"/>
    <w:rsid w:val="00AA75C2"/>
    <w:rsid w:val="00AB0E32"/>
    <w:rsid w:val="00AB0E5E"/>
    <w:rsid w:val="00AC4FF5"/>
    <w:rsid w:val="00AC6C61"/>
    <w:rsid w:val="00AD1791"/>
    <w:rsid w:val="00AD25F3"/>
    <w:rsid w:val="00AD63EA"/>
    <w:rsid w:val="00AE1660"/>
    <w:rsid w:val="00AE1F14"/>
    <w:rsid w:val="00AE414F"/>
    <w:rsid w:val="00AE53D8"/>
    <w:rsid w:val="00AF4033"/>
    <w:rsid w:val="00AF7AF6"/>
    <w:rsid w:val="00AF7E33"/>
    <w:rsid w:val="00B00D51"/>
    <w:rsid w:val="00B01F2C"/>
    <w:rsid w:val="00B0262B"/>
    <w:rsid w:val="00B02EAF"/>
    <w:rsid w:val="00B049F3"/>
    <w:rsid w:val="00B076EC"/>
    <w:rsid w:val="00B07B47"/>
    <w:rsid w:val="00B130C0"/>
    <w:rsid w:val="00B1427C"/>
    <w:rsid w:val="00B156C6"/>
    <w:rsid w:val="00B17613"/>
    <w:rsid w:val="00B21297"/>
    <w:rsid w:val="00B232B2"/>
    <w:rsid w:val="00B23ABB"/>
    <w:rsid w:val="00B255F3"/>
    <w:rsid w:val="00B277B4"/>
    <w:rsid w:val="00B30533"/>
    <w:rsid w:val="00B309D1"/>
    <w:rsid w:val="00B3378C"/>
    <w:rsid w:val="00B3401C"/>
    <w:rsid w:val="00B35AE8"/>
    <w:rsid w:val="00B362DF"/>
    <w:rsid w:val="00B3683A"/>
    <w:rsid w:val="00B37D3C"/>
    <w:rsid w:val="00B45791"/>
    <w:rsid w:val="00B47A40"/>
    <w:rsid w:val="00B53694"/>
    <w:rsid w:val="00B61F3A"/>
    <w:rsid w:val="00B6297A"/>
    <w:rsid w:val="00B66EC9"/>
    <w:rsid w:val="00B72764"/>
    <w:rsid w:val="00B734C8"/>
    <w:rsid w:val="00B74053"/>
    <w:rsid w:val="00B747AC"/>
    <w:rsid w:val="00B754B0"/>
    <w:rsid w:val="00B75F26"/>
    <w:rsid w:val="00B77651"/>
    <w:rsid w:val="00B8010B"/>
    <w:rsid w:val="00B81A4E"/>
    <w:rsid w:val="00B8281D"/>
    <w:rsid w:val="00B83A9F"/>
    <w:rsid w:val="00B83F53"/>
    <w:rsid w:val="00B84E9F"/>
    <w:rsid w:val="00B85398"/>
    <w:rsid w:val="00B85D3B"/>
    <w:rsid w:val="00B908A8"/>
    <w:rsid w:val="00B912A8"/>
    <w:rsid w:val="00B92D9E"/>
    <w:rsid w:val="00B9327F"/>
    <w:rsid w:val="00BA0E94"/>
    <w:rsid w:val="00BA14FE"/>
    <w:rsid w:val="00BA1ABF"/>
    <w:rsid w:val="00BA62C3"/>
    <w:rsid w:val="00BB788A"/>
    <w:rsid w:val="00BB7C6A"/>
    <w:rsid w:val="00BB7D19"/>
    <w:rsid w:val="00BC1D25"/>
    <w:rsid w:val="00BC5E27"/>
    <w:rsid w:val="00BC6175"/>
    <w:rsid w:val="00BC718F"/>
    <w:rsid w:val="00BD2AD5"/>
    <w:rsid w:val="00BD4DBC"/>
    <w:rsid w:val="00BD5FD6"/>
    <w:rsid w:val="00BD7C3C"/>
    <w:rsid w:val="00BE0311"/>
    <w:rsid w:val="00BE1EF1"/>
    <w:rsid w:val="00BE21EC"/>
    <w:rsid w:val="00BE7AF7"/>
    <w:rsid w:val="00BF1FF1"/>
    <w:rsid w:val="00BF24F5"/>
    <w:rsid w:val="00BF3738"/>
    <w:rsid w:val="00BF4C15"/>
    <w:rsid w:val="00BF5557"/>
    <w:rsid w:val="00BF6BDC"/>
    <w:rsid w:val="00C006F8"/>
    <w:rsid w:val="00C025DC"/>
    <w:rsid w:val="00C03BC7"/>
    <w:rsid w:val="00C0757B"/>
    <w:rsid w:val="00C1151B"/>
    <w:rsid w:val="00C1265C"/>
    <w:rsid w:val="00C158A0"/>
    <w:rsid w:val="00C164CD"/>
    <w:rsid w:val="00C170FD"/>
    <w:rsid w:val="00C17E0A"/>
    <w:rsid w:val="00C30167"/>
    <w:rsid w:val="00C305BF"/>
    <w:rsid w:val="00C3112C"/>
    <w:rsid w:val="00C31BB4"/>
    <w:rsid w:val="00C31D40"/>
    <w:rsid w:val="00C32842"/>
    <w:rsid w:val="00C361B0"/>
    <w:rsid w:val="00C36568"/>
    <w:rsid w:val="00C37B93"/>
    <w:rsid w:val="00C418AC"/>
    <w:rsid w:val="00C4553A"/>
    <w:rsid w:val="00C5111D"/>
    <w:rsid w:val="00C5617E"/>
    <w:rsid w:val="00C57119"/>
    <w:rsid w:val="00C578B0"/>
    <w:rsid w:val="00C652AF"/>
    <w:rsid w:val="00C65E25"/>
    <w:rsid w:val="00C66CBF"/>
    <w:rsid w:val="00C67308"/>
    <w:rsid w:val="00C67DA5"/>
    <w:rsid w:val="00C706B1"/>
    <w:rsid w:val="00C719C9"/>
    <w:rsid w:val="00C72218"/>
    <w:rsid w:val="00C731F9"/>
    <w:rsid w:val="00C765E4"/>
    <w:rsid w:val="00C81F1B"/>
    <w:rsid w:val="00C8528C"/>
    <w:rsid w:val="00C86E9F"/>
    <w:rsid w:val="00C93697"/>
    <w:rsid w:val="00C97A58"/>
    <w:rsid w:val="00CA2736"/>
    <w:rsid w:val="00CA33CC"/>
    <w:rsid w:val="00CA5A65"/>
    <w:rsid w:val="00CB2D7F"/>
    <w:rsid w:val="00CC1370"/>
    <w:rsid w:val="00CC40A8"/>
    <w:rsid w:val="00CD27AA"/>
    <w:rsid w:val="00CD2969"/>
    <w:rsid w:val="00CD2B1D"/>
    <w:rsid w:val="00CD2BB4"/>
    <w:rsid w:val="00CD3AF5"/>
    <w:rsid w:val="00CD7687"/>
    <w:rsid w:val="00CE353D"/>
    <w:rsid w:val="00CE5D56"/>
    <w:rsid w:val="00CE60CB"/>
    <w:rsid w:val="00CF2095"/>
    <w:rsid w:val="00CF2BC2"/>
    <w:rsid w:val="00CF4644"/>
    <w:rsid w:val="00CF71E2"/>
    <w:rsid w:val="00D05A2C"/>
    <w:rsid w:val="00D05FBD"/>
    <w:rsid w:val="00D1010C"/>
    <w:rsid w:val="00D110DB"/>
    <w:rsid w:val="00D1448E"/>
    <w:rsid w:val="00D15DB0"/>
    <w:rsid w:val="00D16D92"/>
    <w:rsid w:val="00D17DC0"/>
    <w:rsid w:val="00D2192D"/>
    <w:rsid w:val="00D228B5"/>
    <w:rsid w:val="00D22DF1"/>
    <w:rsid w:val="00D2300B"/>
    <w:rsid w:val="00D23432"/>
    <w:rsid w:val="00D2537B"/>
    <w:rsid w:val="00D259D0"/>
    <w:rsid w:val="00D27186"/>
    <w:rsid w:val="00D31C34"/>
    <w:rsid w:val="00D33356"/>
    <w:rsid w:val="00D344E5"/>
    <w:rsid w:val="00D363F5"/>
    <w:rsid w:val="00D40638"/>
    <w:rsid w:val="00D411EF"/>
    <w:rsid w:val="00D42390"/>
    <w:rsid w:val="00D43EE5"/>
    <w:rsid w:val="00D447E1"/>
    <w:rsid w:val="00D455F1"/>
    <w:rsid w:val="00D504AF"/>
    <w:rsid w:val="00D50A93"/>
    <w:rsid w:val="00D51611"/>
    <w:rsid w:val="00D52BB5"/>
    <w:rsid w:val="00D53957"/>
    <w:rsid w:val="00D547E5"/>
    <w:rsid w:val="00D54953"/>
    <w:rsid w:val="00D56305"/>
    <w:rsid w:val="00D60EFF"/>
    <w:rsid w:val="00D61E98"/>
    <w:rsid w:val="00D62CAC"/>
    <w:rsid w:val="00D63666"/>
    <w:rsid w:val="00D652E3"/>
    <w:rsid w:val="00D66B18"/>
    <w:rsid w:val="00D7390D"/>
    <w:rsid w:val="00D74100"/>
    <w:rsid w:val="00D746DA"/>
    <w:rsid w:val="00D759E7"/>
    <w:rsid w:val="00D75E52"/>
    <w:rsid w:val="00D764CF"/>
    <w:rsid w:val="00D808BE"/>
    <w:rsid w:val="00D816DE"/>
    <w:rsid w:val="00D82B98"/>
    <w:rsid w:val="00D840E4"/>
    <w:rsid w:val="00D86D29"/>
    <w:rsid w:val="00D87536"/>
    <w:rsid w:val="00D900E6"/>
    <w:rsid w:val="00D91CD0"/>
    <w:rsid w:val="00D94B5C"/>
    <w:rsid w:val="00D95FD1"/>
    <w:rsid w:val="00D96879"/>
    <w:rsid w:val="00D97189"/>
    <w:rsid w:val="00D972D7"/>
    <w:rsid w:val="00D979D8"/>
    <w:rsid w:val="00DA0214"/>
    <w:rsid w:val="00DA1C04"/>
    <w:rsid w:val="00DA2910"/>
    <w:rsid w:val="00DA5036"/>
    <w:rsid w:val="00DA76B9"/>
    <w:rsid w:val="00DB1255"/>
    <w:rsid w:val="00DB3DEE"/>
    <w:rsid w:val="00DC02F6"/>
    <w:rsid w:val="00DC1CCC"/>
    <w:rsid w:val="00DC455F"/>
    <w:rsid w:val="00DC5257"/>
    <w:rsid w:val="00DC5DE0"/>
    <w:rsid w:val="00DD282C"/>
    <w:rsid w:val="00DD3346"/>
    <w:rsid w:val="00DD643D"/>
    <w:rsid w:val="00DE06A2"/>
    <w:rsid w:val="00DE1D37"/>
    <w:rsid w:val="00DE2970"/>
    <w:rsid w:val="00DE3144"/>
    <w:rsid w:val="00DE3B8F"/>
    <w:rsid w:val="00DE49CD"/>
    <w:rsid w:val="00DF0A0F"/>
    <w:rsid w:val="00DF2CD4"/>
    <w:rsid w:val="00DF4EEF"/>
    <w:rsid w:val="00DF5759"/>
    <w:rsid w:val="00E01260"/>
    <w:rsid w:val="00E02737"/>
    <w:rsid w:val="00E0388A"/>
    <w:rsid w:val="00E038EA"/>
    <w:rsid w:val="00E051C5"/>
    <w:rsid w:val="00E0563C"/>
    <w:rsid w:val="00E1006A"/>
    <w:rsid w:val="00E13017"/>
    <w:rsid w:val="00E15F40"/>
    <w:rsid w:val="00E2350B"/>
    <w:rsid w:val="00E24421"/>
    <w:rsid w:val="00E246DB"/>
    <w:rsid w:val="00E2599A"/>
    <w:rsid w:val="00E25BA0"/>
    <w:rsid w:val="00E26D1A"/>
    <w:rsid w:val="00E31668"/>
    <w:rsid w:val="00E31CA6"/>
    <w:rsid w:val="00E33763"/>
    <w:rsid w:val="00E33E0B"/>
    <w:rsid w:val="00E348AD"/>
    <w:rsid w:val="00E3632B"/>
    <w:rsid w:val="00E4161F"/>
    <w:rsid w:val="00E41776"/>
    <w:rsid w:val="00E43375"/>
    <w:rsid w:val="00E433E6"/>
    <w:rsid w:val="00E433E8"/>
    <w:rsid w:val="00E45271"/>
    <w:rsid w:val="00E45A30"/>
    <w:rsid w:val="00E45EF5"/>
    <w:rsid w:val="00E51583"/>
    <w:rsid w:val="00E53FE2"/>
    <w:rsid w:val="00E54265"/>
    <w:rsid w:val="00E56020"/>
    <w:rsid w:val="00E611CD"/>
    <w:rsid w:val="00E616A5"/>
    <w:rsid w:val="00E61831"/>
    <w:rsid w:val="00E61D4B"/>
    <w:rsid w:val="00E63186"/>
    <w:rsid w:val="00E6494D"/>
    <w:rsid w:val="00E64A68"/>
    <w:rsid w:val="00E71A41"/>
    <w:rsid w:val="00E71A7F"/>
    <w:rsid w:val="00E75E48"/>
    <w:rsid w:val="00E82F41"/>
    <w:rsid w:val="00E844CE"/>
    <w:rsid w:val="00E903A0"/>
    <w:rsid w:val="00E949A1"/>
    <w:rsid w:val="00E96336"/>
    <w:rsid w:val="00EA018B"/>
    <w:rsid w:val="00EA499D"/>
    <w:rsid w:val="00EA52F5"/>
    <w:rsid w:val="00EA6175"/>
    <w:rsid w:val="00EA6A6E"/>
    <w:rsid w:val="00EA6AB4"/>
    <w:rsid w:val="00EB0023"/>
    <w:rsid w:val="00EB634B"/>
    <w:rsid w:val="00EB6D8C"/>
    <w:rsid w:val="00EC3094"/>
    <w:rsid w:val="00EC618A"/>
    <w:rsid w:val="00EE0209"/>
    <w:rsid w:val="00EE286A"/>
    <w:rsid w:val="00EE5C44"/>
    <w:rsid w:val="00EE6786"/>
    <w:rsid w:val="00EF04EB"/>
    <w:rsid w:val="00EF08A3"/>
    <w:rsid w:val="00EF5B63"/>
    <w:rsid w:val="00EF6716"/>
    <w:rsid w:val="00F008BF"/>
    <w:rsid w:val="00F00E02"/>
    <w:rsid w:val="00F020A0"/>
    <w:rsid w:val="00F05D42"/>
    <w:rsid w:val="00F06FCB"/>
    <w:rsid w:val="00F13DCD"/>
    <w:rsid w:val="00F14F1F"/>
    <w:rsid w:val="00F25472"/>
    <w:rsid w:val="00F25D41"/>
    <w:rsid w:val="00F2653E"/>
    <w:rsid w:val="00F30D85"/>
    <w:rsid w:val="00F34E31"/>
    <w:rsid w:val="00F36091"/>
    <w:rsid w:val="00F41BC7"/>
    <w:rsid w:val="00F421F4"/>
    <w:rsid w:val="00F436D4"/>
    <w:rsid w:val="00F47D64"/>
    <w:rsid w:val="00F516E2"/>
    <w:rsid w:val="00F57965"/>
    <w:rsid w:val="00F60885"/>
    <w:rsid w:val="00F60FE1"/>
    <w:rsid w:val="00F63120"/>
    <w:rsid w:val="00F704C6"/>
    <w:rsid w:val="00F76D95"/>
    <w:rsid w:val="00F779C6"/>
    <w:rsid w:val="00F840CC"/>
    <w:rsid w:val="00F87754"/>
    <w:rsid w:val="00F9072C"/>
    <w:rsid w:val="00F90D78"/>
    <w:rsid w:val="00F934CB"/>
    <w:rsid w:val="00F94227"/>
    <w:rsid w:val="00F94FFC"/>
    <w:rsid w:val="00F97E14"/>
    <w:rsid w:val="00FA1CDD"/>
    <w:rsid w:val="00FA44C1"/>
    <w:rsid w:val="00FA4D72"/>
    <w:rsid w:val="00FA4F5A"/>
    <w:rsid w:val="00FA5AA7"/>
    <w:rsid w:val="00FA7CEB"/>
    <w:rsid w:val="00FB380F"/>
    <w:rsid w:val="00FB623C"/>
    <w:rsid w:val="00FB75F5"/>
    <w:rsid w:val="00FB7782"/>
    <w:rsid w:val="00FC028D"/>
    <w:rsid w:val="00FC3718"/>
    <w:rsid w:val="00FD2CE3"/>
    <w:rsid w:val="00FD35CE"/>
    <w:rsid w:val="00FD37ED"/>
    <w:rsid w:val="00FD4DFD"/>
    <w:rsid w:val="00FD5E26"/>
    <w:rsid w:val="00FE1CDC"/>
    <w:rsid w:val="00FE255A"/>
    <w:rsid w:val="00FE59E6"/>
    <w:rsid w:val="00FE6C01"/>
    <w:rsid w:val="00FF0118"/>
    <w:rsid w:val="00FF11DE"/>
    <w:rsid w:val="00FF2031"/>
    <w:rsid w:val="00FF3AFC"/>
    <w:rsid w:val="00FF59DC"/>
    <w:rsid w:val="00FF6029"/>
    <w:rsid w:val="00FF6D8A"/>
    <w:rsid w:val="00FF7575"/>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62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0"/>
    <w:rPr>
      <w:sz w:val="22"/>
    </w:rPr>
  </w:style>
  <w:style w:type="paragraph" w:styleId="Heading1">
    <w:name w:val="heading 1"/>
    <w:basedOn w:val="Normal"/>
    <w:next w:val="Normal"/>
    <w:qFormat/>
    <w:rsid w:val="0072370F"/>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72370F"/>
    <w:pPr>
      <w:keepNext/>
      <w:widowControl w:val="0"/>
      <w:numPr>
        <w:ilvl w:val="1"/>
        <w:numId w:val="2"/>
      </w:numPr>
      <w:spacing w:after="220"/>
      <w:jc w:val="both"/>
      <w:outlineLvl w:val="1"/>
    </w:pPr>
    <w:rPr>
      <w:b/>
    </w:rPr>
  </w:style>
  <w:style w:type="paragraph" w:styleId="Heading3">
    <w:name w:val="heading 3"/>
    <w:basedOn w:val="Normal"/>
    <w:next w:val="Normal"/>
    <w:qFormat/>
    <w:rsid w:val="0072370F"/>
    <w:pPr>
      <w:keepNext/>
      <w:widowControl w:val="0"/>
      <w:numPr>
        <w:ilvl w:val="2"/>
        <w:numId w:val="2"/>
      </w:numPr>
      <w:spacing w:after="220"/>
      <w:jc w:val="both"/>
      <w:outlineLvl w:val="2"/>
    </w:pPr>
    <w:rPr>
      <w:b/>
    </w:rPr>
  </w:style>
  <w:style w:type="paragraph" w:styleId="Heading4">
    <w:name w:val="heading 4"/>
    <w:basedOn w:val="Normal"/>
    <w:next w:val="Normal"/>
    <w:qFormat/>
    <w:rsid w:val="0072370F"/>
    <w:pPr>
      <w:keepNext/>
      <w:widowControl w:val="0"/>
      <w:numPr>
        <w:ilvl w:val="3"/>
        <w:numId w:val="2"/>
      </w:numPr>
      <w:spacing w:after="220"/>
      <w:jc w:val="both"/>
      <w:outlineLvl w:val="3"/>
    </w:pPr>
    <w:rPr>
      <w:b/>
    </w:rPr>
  </w:style>
  <w:style w:type="paragraph" w:styleId="Heading5">
    <w:name w:val="heading 5"/>
    <w:basedOn w:val="Normal"/>
    <w:next w:val="Normal"/>
    <w:qFormat/>
    <w:rsid w:val="0072370F"/>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72370F"/>
    <w:pPr>
      <w:widowControl w:val="0"/>
      <w:numPr>
        <w:ilvl w:val="5"/>
        <w:numId w:val="2"/>
      </w:numPr>
      <w:spacing w:after="220"/>
      <w:jc w:val="both"/>
      <w:outlineLvl w:val="5"/>
    </w:pPr>
    <w:rPr>
      <w:b/>
    </w:rPr>
  </w:style>
  <w:style w:type="paragraph" w:styleId="Heading7">
    <w:name w:val="heading 7"/>
    <w:basedOn w:val="Normal"/>
    <w:next w:val="Normal"/>
    <w:qFormat/>
    <w:rsid w:val="0072370F"/>
    <w:pPr>
      <w:widowControl w:val="0"/>
      <w:numPr>
        <w:ilvl w:val="7"/>
        <w:numId w:val="2"/>
      </w:numPr>
      <w:spacing w:after="220"/>
      <w:jc w:val="both"/>
      <w:outlineLvl w:val="6"/>
    </w:pPr>
    <w:rPr>
      <w:b/>
    </w:rPr>
  </w:style>
  <w:style w:type="paragraph" w:styleId="Heading8">
    <w:name w:val="heading 8"/>
    <w:basedOn w:val="Normal"/>
    <w:next w:val="Normal"/>
    <w:qFormat/>
    <w:rsid w:val="0072370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72370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370F"/>
    <w:pPr>
      <w:tabs>
        <w:tab w:val="center" w:pos="4320"/>
        <w:tab w:val="right" w:pos="8640"/>
      </w:tabs>
    </w:pPr>
  </w:style>
  <w:style w:type="paragraph" w:styleId="Footer">
    <w:name w:val="footer"/>
    <w:basedOn w:val="Normal"/>
    <w:link w:val="FooterChar"/>
    <w:uiPriority w:val="99"/>
    <w:rsid w:val="0072370F"/>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rsid w:val="0072370F"/>
    <w:pPr>
      <w:widowControl w:val="0"/>
      <w:spacing w:after="220"/>
      <w:ind w:left="1440" w:right="1440"/>
      <w:jc w:val="both"/>
    </w:pPr>
  </w:style>
  <w:style w:type="paragraph" w:customStyle="1" w:styleId="Bullet">
    <w:name w:val="Bullet"/>
    <w:basedOn w:val="Normal"/>
    <w:rsid w:val="0072370F"/>
    <w:pPr>
      <w:widowControl w:val="0"/>
      <w:numPr>
        <w:numId w:val="1"/>
      </w:numPr>
      <w:tabs>
        <w:tab w:val="clear" w:pos="2520"/>
      </w:tabs>
      <w:spacing w:after="220"/>
      <w:ind w:left="2160" w:hanging="720"/>
      <w:jc w:val="both"/>
    </w:pPr>
  </w:style>
  <w:style w:type="paragraph" w:styleId="Caption">
    <w:name w:val="caption"/>
    <w:basedOn w:val="Normal"/>
    <w:next w:val="Normal"/>
    <w:qFormat/>
    <w:rsid w:val="0072370F"/>
    <w:pPr>
      <w:spacing w:before="120" w:after="120"/>
    </w:pPr>
    <w:rPr>
      <w:b/>
    </w:rPr>
  </w:style>
  <w:style w:type="character" w:styleId="FootnoteReference">
    <w:name w:val="footnote reference"/>
    <w:aliases w:val="Appel note de bas de p,Style 12,(NECG) Footnote Reference,Style 124,o,fr,Style 3,Style 17,FR,Style 13,Style 6,Footnote Reference/,Style 4,Style 7"/>
    <w:rPr>
      <w:vertAlign w:val="superscript"/>
    </w:rPr>
  </w:style>
  <w:style w:type="paragraph" w:styleId="FootnoteText">
    <w:name w:val="footnote text"/>
    <w:aliases w:val="Footnote Text Char1,Footnote Text Char Char,Foo... + Italic"/>
    <w:basedOn w:val="Normal"/>
    <w:link w:val="FootnoteTextChar"/>
    <w:pPr>
      <w:tabs>
        <w:tab w:val="left" w:pos="720"/>
      </w:tabs>
      <w:spacing w:after="200"/>
    </w:pPr>
  </w:style>
  <w:style w:type="paragraph" w:customStyle="1" w:styleId="NumberedList">
    <w:name w:val="Numbered List"/>
    <w:basedOn w:val="Normal"/>
    <w:rsid w:val="0072370F"/>
    <w:pPr>
      <w:numPr>
        <w:numId w:val="11"/>
      </w:numPr>
      <w:tabs>
        <w:tab w:val="clear" w:pos="1080"/>
      </w:tabs>
      <w:spacing w:after="220"/>
      <w:ind w:firstLine="0"/>
    </w:pPr>
  </w:style>
  <w:style w:type="paragraph" w:customStyle="1" w:styleId="Paranum">
    <w:name w:val="Paranum"/>
    <w:basedOn w:val="Normal"/>
    <w:rsid w:val="0072370F"/>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ParaNumChar">
    <w:name w:val="ParaNum Char"/>
    <w:link w:val="ParaNum0"/>
    <w:uiPriority w:val="99"/>
    <w:locked/>
    <w:rsid w:val="003B3030"/>
    <w:rPr>
      <w:kern w:val="28"/>
      <w:lang w:val="x-none" w:eastAsia="x-none"/>
    </w:rPr>
  </w:style>
  <w:style w:type="paragraph" w:customStyle="1" w:styleId="ParaNum0">
    <w:name w:val="ParaNum"/>
    <w:basedOn w:val="Normal"/>
    <w:link w:val="ParaNumChar"/>
    <w:uiPriority w:val="99"/>
    <w:rsid w:val="0072370F"/>
    <w:pPr>
      <w:widowControl w:val="0"/>
      <w:numPr>
        <w:numId w:val="13"/>
      </w:numPr>
      <w:snapToGrid w:val="0"/>
      <w:spacing w:after="120"/>
    </w:pPr>
    <w:rPr>
      <w:kern w:val="28"/>
      <w:sz w:val="20"/>
      <w:lang w:val="x-none" w:eastAsia="x-none"/>
    </w:rPr>
  </w:style>
  <w:style w:type="character" w:customStyle="1" w:styleId="FooterChar">
    <w:name w:val="Footer Char"/>
    <w:link w:val="Footer"/>
    <w:uiPriority w:val="99"/>
    <w:rsid w:val="003B3030"/>
    <w:rPr>
      <w:sz w:val="22"/>
    </w:rPr>
  </w:style>
  <w:style w:type="character" w:styleId="PageNumber">
    <w:name w:val="page number"/>
    <w:rsid w:val="003B3030"/>
  </w:style>
  <w:style w:type="character" w:customStyle="1" w:styleId="FootnoteTextChar">
    <w:name w:val="Footnote Text Char"/>
    <w:aliases w:val="Footnote Text Char1 Char,Footnote Text Char Char Char,Foo... + Italic Char"/>
    <w:link w:val="FootnoteText"/>
    <w:rsid w:val="003B3030"/>
    <w:rPr>
      <w:sz w:val="22"/>
    </w:rPr>
  </w:style>
  <w:style w:type="paragraph" w:styleId="NoSpacing">
    <w:name w:val="No Spacing"/>
    <w:uiPriority w:val="1"/>
    <w:qFormat/>
    <w:rsid w:val="003B3030"/>
    <w:rPr>
      <w:sz w:val="22"/>
    </w:rPr>
  </w:style>
  <w:style w:type="paragraph" w:styleId="BalloonText">
    <w:name w:val="Balloon Text"/>
    <w:basedOn w:val="Normal"/>
    <w:link w:val="BalloonTextChar"/>
    <w:uiPriority w:val="99"/>
    <w:semiHidden/>
    <w:unhideWhenUsed/>
    <w:rsid w:val="00864F1A"/>
    <w:rPr>
      <w:rFonts w:ascii="Segoe UI" w:hAnsi="Segoe UI" w:cs="Segoe UI"/>
      <w:sz w:val="18"/>
      <w:szCs w:val="18"/>
    </w:rPr>
  </w:style>
  <w:style w:type="character" w:customStyle="1" w:styleId="BalloonTextChar">
    <w:name w:val="Balloon Text Char"/>
    <w:link w:val="BalloonText"/>
    <w:uiPriority w:val="99"/>
    <w:semiHidden/>
    <w:rsid w:val="003B3030"/>
    <w:rPr>
      <w:rFonts w:ascii="Segoe UI" w:hAnsi="Segoe UI" w:cs="Segoe UI"/>
      <w:sz w:val="18"/>
      <w:szCs w:val="18"/>
    </w:rPr>
  </w:style>
  <w:style w:type="paragraph" w:styleId="Revision">
    <w:name w:val="Revision"/>
    <w:hidden/>
    <w:uiPriority w:val="99"/>
    <w:semiHidden/>
    <w:rsid w:val="000E06BE"/>
    <w:rPr>
      <w:sz w:val="22"/>
    </w:rPr>
  </w:style>
  <w:style w:type="character" w:styleId="CommentReference">
    <w:name w:val="annotation reference"/>
    <w:uiPriority w:val="99"/>
    <w:semiHidden/>
    <w:unhideWhenUsed/>
    <w:rsid w:val="008863B7"/>
    <w:rPr>
      <w:sz w:val="16"/>
      <w:szCs w:val="16"/>
    </w:rPr>
  </w:style>
  <w:style w:type="paragraph" w:styleId="CommentText">
    <w:name w:val="annotation text"/>
    <w:basedOn w:val="Normal"/>
    <w:link w:val="CommentTextChar"/>
    <w:uiPriority w:val="99"/>
    <w:semiHidden/>
    <w:unhideWhenUsed/>
    <w:rsid w:val="008863B7"/>
    <w:rPr>
      <w:sz w:val="20"/>
    </w:rPr>
  </w:style>
  <w:style w:type="character" w:customStyle="1" w:styleId="CommentTextChar">
    <w:name w:val="Comment Text Char"/>
    <w:basedOn w:val="DefaultParagraphFont"/>
    <w:link w:val="CommentText"/>
    <w:uiPriority w:val="99"/>
    <w:semiHidden/>
    <w:rsid w:val="008863B7"/>
  </w:style>
  <w:style w:type="paragraph" w:styleId="CommentSubject">
    <w:name w:val="annotation subject"/>
    <w:basedOn w:val="CommentText"/>
    <w:next w:val="CommentText"/>
    <w:link w:val="CommentSubjectChar"/>
    <w:uiPriority w:val="99"/>
    <w:semiHidden/>
    <w:unhideWhenUsed/>
    <w:rsid w:val="008863B7"/>
    <w:rPr>
      <w:b/>
      <w:bCs/>
    </w:rPr>
  </w:style>
  <w:style w:type="character" w:customStyle="1" w:styleId="CommentSubjectChar">
    <w:name w:val="Comment Subject Char"/>
    <w:link w:val="CommentSubject"/>
    <w:uiPriority w:val="99"/>
    <w:semiHidden/>
    <w:rsid w:val="008863B7"/>
    <w:rPr>
      <w:b/>
      <w:bCs/>
    </w:rPr>
  </w:style>
  <w:style w:type="character" w:customStyle="1" w:styleId="apple-converted-space">
    <w:name w:val="apple-converted-space"/>
    <w:basedOn w:val="DefaultParagraphFont"/>
    <w:rsid w:val="0072370F"/>
  </w:style>
  <w:style w:type="character" w:customStyle="1" w:styleId="searchterm">
    <w:name w:val="searchterm"/>
    <w:basedOn w:val="DefaultParagraphFont"/>
    <w:rsid w:val="0072370F"/>
  </w:style>
  <w:style w:type="paragraph" w:styleId="ListParagraph">
    <w:name w:val="List Paragraph"/>
    <w:basedOn w:val="Normal"/>
    <w:uiPriority w:val="34"/>
    <w:qFormat/>
    <w:rsid w:val="00723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0"/>
    <w:rPr>
      <w:sz w:val="22"/>
    </w:rPr>
  </w:style>
  <w:style w:type="paragraph" w:styleId="Heading1">
    <w:name w:val="heading 1"/>
    <w:basedOn w:val="Normal"/>
    <w:next w:val="Normal"/>
    <w:qFormat/>
    <w:rsid w:val="0072370F"/>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72370F"/>
    <w:pPr>
      <w:keepNext/>
      <w:widowControl w:val="0"/>
      <w:numPr>
        <w:ilvl w:val="1"/>
        <w:numId w:val="2"/>
      </w:numPr>
      <w:spacing w:after="220"/>
      <w:jc w:val="both"/>
      <w:outlineLvl w:val="1"/>
    </w:pPr>
    <w:rPr>
      <w:b/>
    </w:rPr>
  </w:style>
  <w:style w:type="paragraph" w:styleId="Heading3">
    <w:name w:val="heading 3"/>
    <w:basedOn w:val="Normal"/>
    <w:next w:val="Normal"/>
    <w:qFormat/>
    <w:rsid w:val="0072370F"/>
    <w:pPr>
      <w:keepNext/>
      <w:widowControl w:val="0"/>
      <w:numPr>
        <w:ilvl w:val="2"/>
        <w:numId w:val="2"/>
      </w:numPr>
      <w:spacing w:after="220"/>
      <w:jc w:val="both"/>
      <w:outlineLvl w:val="2"/>
    </w:pPr>
    <w:rPr>
      <w:b/>
    </w:rPr>
  </w:style>
  <w:style w:type="paragraph" w:styleId="Heading4">
    <w:name w:val="heading 4"/>
    <w:basedOn w:val="Normal"/>
    <w:next w:val="Normal"/>
    <w:qFormat/>
    <w:rsid w:val="0072370F"/>
    <w:pPr>
      <w:keepNext/>
      <w:widowControl w:val="0"/>
      <w:numPr>
        <w:ilvl w:val="3"/>
        <w:numId w:val="2"/>
      </w:numPr>
      <w:spacing w:after="220"/>
      <w:jc w:val="both"/>
      <w:outlineLvl w:val="3"/>
    </w:pPr>
    <w:rPr>
      <w:b/>
    </w:rPr>
  </w:style>
  <w:style w:type="paragraph" w:styleId="Heading5">
    <w:name w:val="heading 5"/>
    <w:basedOn w:val="Normal"/>
    <w:next w:val="Normal"/>
    <w:qFormat/>
    <w:rsid w:val="0072370F"/>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72370F"/>
    <w:pPr>
      <w:widowControl w:val="0"/>
      <w:numPr>
        <w:ilvl w:val="5"/>
        <w:numId w:val="2"/>
      </w:numPr>
      <w:spacing w:after="220"/>
      <w:jc w:val="both"/>
      <w:outlineLvl w:val="5"/>
    </w:pPr>
    <w:rPr>
      <w:b/>
    </w:rPr>
  </w:style>
  <w:style w:type="paragraph" w:styleId="Heading7">
    <w:name w:val="heading 7"/>
    <w:basedOn w:val="Normal"/>
    <w:next w:val="Normal"/>
    <w:qFormat/>
    <w:rsid w:val="0072370F"/>
    <w:pPr>
      <w:widowControl w:val="0"/>
      <w:numPr>
        <w:ilvl w:val="7"/>
        <w:numId w:val="2"/>
      </w:numPr>
      <w:spacing w:after="220"/>
      <w:jc w:val="both"/>
      <w:outlineLvl w:val="6"/>
    </w:pPr>
    <w:rPr>
      <w:b/>
    </w:rPr>
  </w:style>
  <w:style w:type="paragraph" w:styleId="Heading8">
    <w:name w:val="heading 8"/>
    <w:basedOn w:val="Normal"/>
    <w:next w:val="Normal"/>
    <w:qFormat/>
    <w:rsid w:val="0072370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72370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370F"/>
    <w:pPr>
      <w:tabs>
        <w:tab w:val="center" w:pos="4320"/>
        <w:tab w:val="right" w:pos="8640"/>
      </w:tabs>
    </w:pPr>
  </w:style>
  <w:style w:type="paragraph" w:styleId="Footer">
    <w:name w:val="footer"/>
    <w:basedOn w:val="Normal"/>
    <w:link w:val="FooterChar"/>
    <w:uiPriority w:val="99"/>
    <w:rsid w:val="0072370F"/>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rsid w:val="0072370F"/>
    <w:pPr>
      <w:widowControl w:val="0"/>
      <w:spacing w:after="220"/>
      <w:ind w:left="1440" w:right="1440"/>
      <w:jc w:val="both"/>
    </w:pPr>
  </w:style>
  <w:style w:type="paragraph" w:customStyle="1" w:styleId="Bullet">
    <w:name w:val="Bullet"/>
    <w:basedOn w:val="Normal"/>
    <w:rsid w:val="0072370F"/>
    <w:pPr>
      <w:widowControl w:val="0"/>
      <w:numPr>
        <w:numId w:val="1"/>
      </w:numPr>
      <w:tabs>
        <w:tab w:val="clear" w:pos="2520"/>
      </w:tabs>
      <w:spacing w:after="220"/>
      <w:ind w:left="2160" w:hanging="720"/>
      <w:jc w:val="both"/>
    </w:pPr>
  </w:style>
  <w:style w:type="paragraph" w:styleId="Caption">
    <w:name w:val="caption"/>
    <w:basedOn w:val="Normal"/>
    <w:next w:val="Normal"/>
    <w:qFormat/>
    <w:rsid w:val="0072370F"/>
    <w:pPr>
      <w:spacing w:before="120" w:after="120"/>
    </w:pPr>
    <w:rPr>
      <w:b/>
    </w:rPr>
  </w:style>
  <w:style w:type="character" w:styleId="FootnoteReference">
    <w:name w:val="footnote reference"/>
    <w:aliases w:val="Appel note de bas de p,Style 12,(NECG) Footnote Reference,Style 124,o,fr,Style 3,Style 17,FR,Style 13,Style 6,Footnote Reference/,Style 4,Style 7"/>
    <w:rPr>
      <w:vertAlign w:val="superscript"/>
    </w:rPr>
  </w:style>
  <w:style w:type="paragraph" w:styleId="FootnoteText">
    <w:name w:val="footnote text"/>
    <w:aliases w:val="Footnote Text Char1,Footnote Text Char Char,Foo... + Italic"/>
    <w:basedOn w:val="Normal"/>
    <w:link w:val="FootnoteTextChar"/>
    <w:pPr>
      <w:tabs>
        <w:tab w:val="left" w:pos="720"/>
      </w:tabs>
      <w:spacing w:after="200"/>
    </w:pPr>
  </w:style>
  <w:style w:type="paragraph" w:customStyle="1" w:styleId="NumberedList">
    <w:name w:val="Numbered List"/>
    <w:basedOn w:val="Normal"/>
    <w:rsid w:val="0072370F"/>
    <w:pPr>
      <w:numPr>
        <w:numId w:val="11"/>
      </w:numPr>
      <w:tabs>
        <w:tab w:val="clear" w:pos="1080"/>
      </w:tabs>
      <w:spacing w:after="220"/>
      <w:ind w:firstLine="0"/>
    </w:pPr>
  </w:style>
  <w:style w:type="paragraph" w:customStyle="1" w:styleId="Paranum">
    <w:name w:val="Paranum"/>
    <w:basedOn w:val="Normal"/>
    <w:rsid w:val="0072370F"/>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ParaNumChar">
    <w:name w:val="ParaNum Char"/>
    <w:link w:val="ParaNum0"/>
    <w:uiPriority w:val="99"/>
    <w:locked/>
    <w:rsid w:val="003B3030"/>
    <w:rPr>
      <w:kern w:val="28"/>
      <w:lang w:val="x-none" w:eastAsia="x-none"/>
    </w:rPr>
  </w:style>
  <w:style w:type="paragraph" w:customStyle="1" w:styleId="ParaNum0">
    <w:name w:val="ParaNum"/>
    <w:basedOn w:val="Normal"/>
    <w:link w:val="ParaNumChar"/>
    <w:uiPriority w:val="99"/>
    <w:rsid w:val="0072370F"/>
    <w:pPr>
      <w:widowControl w:val="0"/>
      <w:numPr>
        <w:numId w:val="13"/>
      </w:numPr>
      <w:snapToGrid w:val="0"/>
      <w:spacing w:after="120"/>
    </w:pPr>
    <w:rPr>
      <w:kern w:val="28"/>
      <w:sz w:val="20"/>
      <w:lang w:val="x-none" w:eastAsia="x-none"/>
    </w:rPr>
  </w:style>
  <w:style w:type="character" w:customStyle="1" w:styleId="FooterChar">
    <w:name w:val="Footer Char"/>
    <w:link w:val="Footer"/>
    <w:uiPriority w:val="99"/>
    <w:rsid w:val="003B3030"/>
    <w:rPr>
      <w:sz w:val="22"/>
    </w:rPr>
  </w:style>
  <w:style w:type="character" w:styleId="PageNumber">
    <w:name w:val="page number"/>
    <w:rsid w:val="003B3030"/>
  </w:style>
  <w:style w:type="character" w:customStyle="1" w:styleId="FootnoteTextChar">
    <w:name w:val="Footnote Text Char"/>
    <w:aliases w:val="Footnote Text Char1 Char,Footnote Text Char Char Char,Foo... + Italic Char"/>
    <w:link w:val="FootnoteText"/>
    <w:rsid w:val="003B3030"/>
    <w:rPr>
      <w:sz w:val="22"/>
    </w:rPr>
  </w:style>
  <w:style w:type="paragraph" w:styleId="NoSpacing">
    <w:name w:val="No Spacing"/>
    <w:uiPriority w:val="1"/>
    <w:qFormat/>
    <w:rsid w:val="003B3030"/>
    <w:rPr>
      <w:sz w:val="22"/>
    </w:rPr>
  </w:style>
  <w:style w:type="paragraph" w:styleId="BalloonText">
    <w:name w:val="Balloon Text"/>
    <w:basedOn w:val="Normal"/>
    <w:link w:val="BalloonTextChar"/>
    <w:uiPriority w:val="99"/>
    <w:semiHidden/>
    <w:unhideWhenUsed/>
    <w:rsid w:val="00864F1A"/>
    <w:rPr>
      <w:rFonts w:ascii="Segoe UI" w:hAnsi="Segoe UI" w:cs="Segoe UI"/>
      <w:sz w:val="18"/>
      <w:szCs w:val="18"/>
    </w:rPr>
  </w:style>
  <w:style w:type="character" w:customStyle="1" w:styleId="BalloonTextChar">
    <w:name w:val="Balloon Text Char"/>
    <w:link w:val="BalloonText"/>
    <w:uiPriority w:val="99"/>
    <w:semiHidden/>
    <w:rsid w:val="003B3030"/>
    <w:rPr>
      <w:rFonts w:ascii="Segoe UI" w:hAnsi="Segoe UI" w:cs="Segoe UI"/>
      <w:sz w:val="18"/>
      <w:szCs w:val="18"/>
    </w:rPr>
  </w:style>
  <w:style w:type="paragraph" w:styleId="Revision">
    <w:name w:val="Revision"/>
    <w:hidden/>
    <w:uiPriority w:val="99"/>
    <w:semiHidden/>
    <w:rsid w:val="000E06BE"/>
    <w:rPr>
      <w:sz w:val="22"/>
    </w:rPr>
  </w:style>
  <w:style w:type="character" w:styleId="CommentReference">
    <w:name w:val="annotation reference"/>
    <w:uiPriority w:val="99"/>
    <w:semiHidden/>
    <w:unhideWhenUsed/>
    <w:rsid w:val="008863B7"/>
    <w:rPr>
      <w:sz w:val="16"/>
      <w:szCs w:val="16"/>
    </w:rPr>
  </w:style>
  <w:style w:type="paragraph" w:styleId="CommentText">
    <w:name w:val="annotation text"/>
    <w:basedOn w:val="Normal"/>
    <w:link w:val="CommentTextChar"/>
    <w:uiPriority w:val="99"/>
    <w:semiHidden/>
    <w:unhideWhenUsed/>
    <w:rsid w:val="008863B7"/>
    <w:rPr>
      <w:sz w:val="20"/>
    </w:rPr>
  </w:style>
  <w:style w:type="character" w:customStyle="1" w:styleId="CommentTextChar">
    <w:name w:val="Comment Text Char"/>
    <w:basedOn w:val="DefaultParagraphFont"/>
    <w:link w:val="CommentText"/>
    <w:uiPriority w:val="99"/>
    <w:semiHidden/>
    <w:rsid w:val="008863B7"/>
  </w:style>
  <w:style w:type="paragraph" w:styleId="CommentSubject">
    <w:name w:val="annotation subject"/>
    <w:basedOn w:val="CommentText"/>
    <w:next w:val="CommentText"/>
    <w:link w:val="CommentSubjectChar"/>
    <w:uiPriority w:val="99"/>
    <w:semiHidden/>
    <w:unhideWhenUsed/>
    <w:rsid w:val="008863B7"/>
    <w:rPr>
      <w:b/>
      <w:bCs/>
    </w:rPr>
  </w:style>
  <w:style w:type="character" w:customStyle="1" w:styleId="CommentSubjectChar">
    <w:name w:val="Comment Subject Char"/>
    <w:link w:val="CommentSubject"/>
    <w:uiPriority w:val="99"/>
    <w:semiHidden/>
    <w:rsid w:val="008863B7"/>
    <w:rPr>
      <w:b/>
      <w:bCs/>
    </w:rPr>
  </w:style>
  <w:style w:type="character" w:customStyle="1" w:styleId="apple-converted-space">
    <w:name w:val="apple-converted-space"/>
    <w:basedOn w:val="DefaultParagraphFont"/>
    <w:rsid w:val="0072370F"/>
  </w:style>
  <w:style w:type="character" w:customStyle="1" w:styleId="searchterm">
    <w:name w:val="searchterm"/>
    <w:basedOn w:val="DefaultParagraphFont"/>
    <w:rsid w:val="0072370F"/>
  </w:style>
  <w:style w:type="paragraph" w:styleId="ListParagraph">
    <w:name w:val="List Paragraph"/>
    <w:basedOn w:val="Normal"/>
    <w:uiPriority w:val="34"/>
    <w:qFormat/>
    <w:rsid w:val="00723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1871">
      <w:bodyDiv w:val="1"/>
      <w:marLeft w:val="0"/>
      <w:marRight w:val="0"/>
      <w:marTop w:val="0"/>
      <w:marBottom w:val="0"/>
      <w:divBdr>
        <w:top w:val="none" w:sz="0" w:space="0" w:color="auto"/>
        <w:left w:val="none" w:sz="0" w:space="0" w:color="auto"/>
        <w:bottom w:val="none" w:sz="0" w:space="0" w:color="auto"/>
        <w:right w:val="none" w:sz="0" w:space="0" w:color="auto"/>
      </w:divBdr>
    </w:div>
    <w:div w:id="671107646">
      <w:bodyDiv w:val="1"/>
      <w:marLeft w:val="0"/>
      <w:marRight w:val="0"/>
      <w:marTop w:val="0"/>
      <w:marBottom w:val="0"/>
      <w:divBdr>
        <w:top w:val="none" w:sz="0" w:space="0" w:color="auto"/>
        <w:left w:val="none" w:sz="0" w:space="0" w:color="auto"/>
        <w:bottom w:val="none" w:sz="0" w:space="0" w:color="auto"/>
        <w:right w:val="none" w:sz="0" w:space="0" w:color="auto"/>
      </w:divBdr>
    </w:div>
    <w:div w:id="8453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file/3813/download" TargetMode="External"/><Relationship Id="rId13" Type="http://schemas.openxmlformats.org/officeDocument/2006/relationships/hyperlink" Target="mailto:stephen.delsordo@fcc.gov" TargetMode="External"/><Relationship Id="rId18" Type="http://schemas.openxmlformats.org/officeDocument/2006/relationships/footer" Target="foot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fcc.gov/"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fjallfoss.fcc.gov/ecfs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yperlink" Target="mailto:paul.dari@fcc.gov" TargetMode="Externa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2719</Words>
  <Characters>15571</Characters>
  <Application>Microsoft Office Word</Application>
  <DocSecurity>0</DocSecurity>
  <Lines>233</Lines>
  <Paragraphs>35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18348</CharactersWithSpaces>
  <SharedDoc>false</SharedDoc>
  <HyperlinkBase> </HyperlinkBase>
  <HLinks>
    <vt:vector size="36" baseType="variant">
      <vt:variant>
        <vt:i4>5570611</vt:i4>
      </vt:variant>
      <vt:variant>
        <vt:i4>15</vt:i4>
      </vt:variant>
      <vt:variant>
        <vt:i4>0</vt:i4>
      </vt:variant>
      <vt:variant>
        <vt:i4>5</vt:i4>
      </vt:variant>
      <vt:variant>
        <vt:lpwstr>mailto:paul.dari@fcc.gov</vt:lpwstr>
      </vt:variant>
      <vt:variant>
        <vt:lpwstr/>
      </vt:variant>
      <vt:variant>
        <vt:i4>1245292</vt:i4>
      </vt:variant>
      <vt:variant>
        <vt:i4>12</vt:i4>
      </vt:variant>
      <vt:variant>
        <vt:i4>0</vt:i4>
      </vt:variant>
      <vt:variant>
        <vt:i4>5</vt:i4>
      </vt:variant>
      <vt:variant>
        <vt:lpwstr>mailto:stephen.delsordo@fcc.gov</vt:lpwstr>
      </vt:variant>
      <vt:variant>
        <vt:lpwstr/>
      </vt:variant>
      <vt:variant>
        <vt:i4>4128882</vt:i4>
      </vt:variant>
      <vt:variant>
        <vt:i4>9</vt:i4>
      </vt:variant>
      <vt:variant>
        <vt:i4>0</vt:i4>
      </vt:variant>
      <vt:variant>
        <vt:i4>5</vt:i4>
      </vt:variant>
      <vt:variant>
        <vt:lpwstr>http://www.fcc.gov/</vt:lpwstr>
      </vt:variant>
      <vt:variant>
        <vt:lpwstr/>
      </vt:variant>
      <vt:variant>
        <vt:i4>3473482</vt:i4>
      </vt:variant>
      <vt:variant>
        <vt:i4>6</vt:i4>
      </vt:variant>
      <vt:variant>
        <vt:i4>0</vt:i4>
      </vt:variant>
      <vt:variant>
        <vt:i4>5</vt:i4>
      </vt:variant>
      <vt:variant>
        <vt:lpwstr>mailto:fcc504@fcc.gov</vt:lpwstr>
      </vt:variant>
      <vt:variant>
        <vt:lpwstr/>
      </vt:variant>
      <vt:variant>
        <vt:i4>7929897</vt:i4>
      </vt:variant>
      <vt:variant>
        <vt:i4>3</vt:i4>
      </vt:variant>
      <vt:variant>
        <vt:i4>0</vt:i4>
      </vt:variant>
      <vt:variant>
        <vt:i4>5</vt:i4>
      </vt:variant>
      <vt:variant>
        <vt:lpwstr>http://fjallfoss.fcc.gov/ecfs2/</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2016-05-12T17:37:00Z</cp:lastPrinted>
  <dcterms:created xsi:type="dcterms:W3CDTF">2016-05-12T18:23:00Z</dcterms:created>
  <dcterms:modified xsi:type="dcterms:W3CDTF">2016-05-12T18:23:00Z</dcterms:modified>
  <cp:category> </cp:category>
  <cp:contentStatus> </cp:contentStatus>
</cp:coreProperties>
</file>