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63E16" w14:textId="77777777" w:rsidR="000A1DDD" w:rsidRPr="00680B2A" w:rsidRDefault="000A1DDD">
      <w:pPr>
        <w:pStyle w:val="Title"/>
        <w:outlineLvl w:val="0"/>
        <w:rPr>
          <w:b/>
          <w:sz w:val="22"/>
          <w:szCs w:val="22"/>
        </w:rPr>
      </w:pPr>
      <w:bookmarkStart w:id="0" w:name="_GoBack"/>
      <w:bookmarkEnd w:id="0"/>
      <w:r w:rsidRPr="00680B2A">
        <w:rPr>
          <w:b/>
          <w:sz w:val="22"/>
          <w:szCs w:val="22"/>
        </w:rPr>
        <w:t>Before the</w:t>
      </w:r>
    </w:p>
    <w:p w14:paraId="7348C1B5" w14:textId="77777777" w:rsidR="000A1DDD" w:rsidRPr="00680B2A" w:rsidRDefault="000A1DDD">
      <w:pPr>
        <w:pStyle w:val="Title"/>
        <w:outlineLvl w:val="0"/>
        <w:rPr>
          <w:b/>
          <w:sz w:val="22"/>
          <w:szCs w:val="22"/>
        </w:rPr>
      </w:pPr>
      <w:r w:rsidRPr="00680B2A">
        <w:rPr>
          <w:b/>
          <w:sz w:val="22"/>
          <w:szCs w:val="22"/>
        </w:rPr>
        <w:t>Federal Communications Commission</w:t>
      </w:r>
    </w:p>
    <w:p w14:paraId="493C365D" w14:textId="77777777" w:rsidR="000A1DDD" w:rsidRPr="00680B2A" w:rsidRDefault="000A1DDD">
      <w:pPr>
        <w:pStyle w:val="Title"/>
        <w:outlineLvl w:val="0"/>
        <w:rPr>
          <w:b/>
          <w:sz w:val="22"/>
          <w:szCs w:val="22"/>
        </w:rPr>
      </w:pPr>
      <w:r w:rsidRPr="00680B2A">
        <w:rPr>
          <w:b/>
          <w:sz w:val="22"/>
          <w:szCs w:val="22"/>
        </w:rPr>
        <w:t>Washington, D.C. 20554</w:t>
      </w:r>
    </w:p>
    <w:p w14:paraId="25FE6022" w14:textId="77777777" w:rsidR="000A1DDD" w:rsidRPr="00680B2A" w:rsidRDefault="000A1DDD">
      <w:pPr>
        <w:pStyle w:val="Title"/>
        <w:outlineLvl w:val="0"/>
        <w:rPr>
          <w:b/>
          <w:sz w:val="22"/>
          <w:szCs w:val="22"/>
        </w:rPr>
      </w:pPr>
    </w:p>
    <w:p w14:paraId="2ABAC3BB" w14:textId="77777777" w:rsidR="000A1DDD" w:rsidRPr="00680B2A" w:rsidRDefault="000A1DDD">
      <w:pPr>
        <w:tabs>
          <w:tab w:val="left" w:pos="-720"/>
        </w:tabs>
        <w:suppressAutoHyphens/>
        <w:spacing w:line="227" w:lineRule="auto"/>
        <w:jc w:val="both"/>
        <w:rPr>
          <w:spacing w:val="-2"/>
          <w:szCs w:val="22"/>
        </w:rPr>
      </w:pPr>
    </w:p>
    <w:tbl>
      <w:tblPr>
        <w:tblW w:w="0" w:type="auto"/>
        <w:tblLayout w:type="fixed"/>
        <w:tblLook w:val="0000" w:firstRow="0" w:lastRow="0" w:firstColumn="0" w:lastColumn="0" w:noHBand="0" w:noVBand="0"/>
      </w:tblPr>
      <w:tblGrid>
        <w:gridCol w:w="4698"/>
        <w:gridCol w:w="630"/>
        <w:gridCol w:w="4248"/>
      </w:tblGrid>
      <w:tr w:rsidR="000A1DDD" w:rsidRPr="00680B2A" w14:paraId="2AFA0A80" w14:textId="77777777">
        <w:tc>
          <w:tcPr>
            <w:tcW w:w="4698" w:type="dxa"/>
          </w:tcPr>
          <w:p w14:paraId="59F3AC6E" w14:textId="77777777" w:rsidR="000A1DDD" w:rsidRPr="00680B2A" w:rsidRDefault="000A1DDD" w:rsidP="005138EC">
            <w:pPr>
              <w:tabs>
                <w:tab w:val="center" w:pos="4680"/>
              </w:tabs>
              <w:suppressAutoHyphens/>
              <w:ind w:left="-108"/>
              <w:rPr>
                <w:kern w:val="22"/>
                <w:szCs w:val="22"/>
              </w:rPr>
            </w:pPr>
            <w:r w:rsidRPr="00680B2A">
              <w:rPr>
                <w:kern w:val="22"/>
                <w:szCs w:val="22"/>
              </w:rPr>
              <w:t xml:space="preserve">In the </w:t>
            </w:r>
            <w:r w:rsidR="00C4249D">
              <w:rPr>
                <w:kern w:val="22"/>
                <w:szCs w:val="22"/>
              </w:rPr>
              <w:t>M</w:t>
            </w:r>
            <w:r w:rsidRPr="00680B2A">
              <w:rPr>
                <w:kern w:val="22"/>
                <w:szCs w:val="22"/>
              </w:rPr>
              <w:t>atter of</w:t>
            </w:r>
          </w:p>
          <w:p w14:paraId="742AED72" w14:textId="77777777" w:rsidR="000A1DDD" w:rsidRDefault="000A1DDD">
            <w:pPr>
              <w:tabs>
                <w:tab w:val="center" w:pos="4680"/>
              </w:tabs>
              <w:suppressAutoHyphens/>
              <w:rPr>
                <w:kern w:val="22"/>
                <w:szCs w:val="22"/>
              </w:rPr>
            </w:pPr>
          </w:p>
          <w:p w14:paraId="13B10547" w14:textId="00C17C66" w:rsidR="008D728E" w:rsidRDefault="004D53C5" w:rsidP="005138EC">
            <w:pPr>
              <w:ind w:left="-108"/>
              <w:rPr>
                <w:szCs w:val="22"/>
              </w:rPr>
            </w:pPr>
            <w:r>
              <w:rPr>
                <w:szCs w:val="22"/>
              </w:rPr>
              <w:t xml:space="preserve">ACT </w:t>
            </w:r>
            <w:r w:rsidR="00A024E0">
              <w:rPr>
                <w:szCs w:val="22"/>
              </w:rPr>
              <w:t>Telecommunications, Inc.</w:t>
            </w:r>
            <w:r w:rsidR="00C4249D">
              <w:rPr>
                <w:szCs w:val="22"/>
              </w:rPr>
              <w:t xml:space="preserve"> </w:t>
            </w:r>
          </w:p>
          <w:p w14:paraId="57E4F74B" w14:textId="2E0904CE" w:rsidR="000A1DDD" w:rsidRPr="00680B2A" w:rsidRDefault="00C4249D" w:rsidP="008B3EDA">
            <w:pPr>
              <w:ind w:left="-108"/>
              <w:rPr>
                <w:kern w:val="22"/>
                <w:szCs w:val="22"/>
              </w:rPr>
            </w:pPr>
            <w:r>
              <w:rPr>
                <w:szCs w:val="22"/>
              </w:rPr>
              <w:t>Termination of</w:t>
            </w:r>
            <w:r w:rsidR="008D728E">
              <w:rPr>
                <w:szCs w:val="22"/>
              </w:rPr>
              <w:t xml:space="preserve"> </w:t>
            </w:r>
            <w:r>
              <w:rPr>
                <w:kern w:val="22"/>
                <w:szCs w:val="22"/>
              </w:rPr>
              <w:t>International Section 214 Authorization</w:t>
            </w:r>
          </w:p>
          <w:p w14:paraId="601B7C78" w14:textId="77777777" w:rsidR="000A1DDD" w:rsidRPr="00680B2A" w:rsidRDefault="000A1DDD">
            <w:pPr>
              <w:rPr>
                <w:kern w:val="22"/>
                <w:szCs w:val="22"/>
              </w:rPr>
            </w:pPr>
          </w:p>
        </w:tc>
        <w:tc>
          <w:tcPr>
            <w:tcW w:w="630" w:type="dxa"/>
          </w:tcPr>
          <w:p w14:paraId="1982E5A2" w14:textId="77777777" w:rsidR="000A1DDD" w:rsidRPr="00680B2A" w:rsidRDefault="000A1DDD">
            <w:pPr>
              <w:tabs>
                <w:tab w:val="center" w:pos="4680"/>
              </w:tabs>
              <w:suppressAutoHyphens/>
              <w:rPr>
                <w:kern w:val="22"/>
                <w:szCs w:val="22"/>
              </w:rPr>
            </w:pPr>
            <w:r w:rsidRPr="00680B2A">
              <w:rPr>
                <w:kern w:val="22"/>
                <w:szCs w:val="22"/>
              </w:rPr>
              <w:t>)</w:t>
            </w:r>
          </w:p>
          <w:p w14:paraId="4DB029C1" w14:textId="77777777" w:rsidR="000A1DDD" w:rsidRPr="00680B2A" w:rsidRDefault="000A1DDD">
            <w:pPr>
              <w:tabs>
                <w:tab w:val="center" w:pos="4680"/>
              </w:tabs>
              <w:suppressAutoHyphens/>
              <w:rPr>
                <w:kern w:val="22"/>
                <w:szCs w:val="22"/>
              </w:rPr>
            </w:pPr>
            <w:r w:rsidRPr="00680B2A">
              <w:rPr>
                <w:kern w:val="22"/>
                <w:szCs w:val="22"/>
              </w:rPr>
              <w:t>)</w:t>
            </w:r>
          </w:p>
          <w:p w14:paraId="7A3EA9E6" w14:textId="77777777" w:rsidR="000A1DDD" w:rsidRPr="00680B2A" w:rsidRDefault="000A1DDD">
            <w:pPr>
              <w:tabs>
                <w:tab w:val="center" w:pos="4680"/>
              </w:tabs>
              <w:suppressAutoHyphens/>
              <w:rPr>
                <w:kern w:val="22"/>
                <w:szCs w:val="22"/>
              </w:rPr>
            </w:pPr>
            <w:r w:rsidRPr="00680B2A">
              <w:rPr>
                <w:kern w:val="22"/>
                <w:szCs w:val="22"/>
              </w:rPr>
              <w:t>)</w:t>
            </w:r>
          </w:p>
          <w:p w14:paraId="5108E61F" w14:textId="77777777" w:rsidR="000A1DDD" w:rsidRPr="00680B2A" w:rsidRDefault="000A1DDD">
            <w:pPr>
              <w:tabs>
                <w:tab w:val="center" w:pos="4680"/>
              </w:tabs>
              <w:suppressAutoHyphens/>
              <w:rPr>
                <w:kern w:val="22"/>
                <w:szCs w:val="22"/>
              </w:rPr>
            </w:pPr>
            <w:r w:rsidRPr="00680B2A">
              <w:rPr>
                <w:kern w:val="22"/>
                <w:szCs w:val="22"/>
              </w:rPr>
              <w:t>)</w:t>
            </w:r>
          </w:p>
          <w:p w14:paraId="5D711FFB" w14:textId="77777777" w:rsidR="000A1DDD" w:rsidRPr="00680B2A" w:rsidRDefault="000A1DDD">
            <w:pPr>
              <w:tabs>
                <w:tab w:val="center" w:pos="4680"/>
              </w:tabs>
              <w:suppressAutoHyphens/>
              <w:rPr>
                <w:kern w:val="22"/>
                <w:szCs w:val="22"/>
              </w:rPr>
            </w:pPr>
            <w:r w:rsidRPr="00680B2A">
              <w:rPr>
                <w:kern w:val="22"/>
                <w:szCs w:val="22"/>
              </w:rPr>
              <w:t>)</w:t>
            </w:r>
          </w:p>
          <w:p w14:paraId="57E4CF87" w14:textId="19CDFD98" w:rsidR="000A1DDD" w:rsidRPr="00680B2A" w:rsidRDefault="000A1DDD" w:rsidP="00C4249D">
            <w:pPr>
              <w:pStyle w:val="Header"/>
              <w:suppressAutoHyphens/>
              <w:rPr>
                <w:kern w:val="22"/>
                <w:szCs w:val="22"/>
              </w:rPr>
            </w:pPr>
          </w:p>
        </w:tc>
        <w:tc>
          <w:tcPr>
            <w:tcW w:w="4248" w:type="dxa"/>
          </w:tcPr>
          <w:p w14:paraId="7FFA44BB" w14:textId="77777777" w:rsidR="000A1DDD" w:rsidRDefault="000A1DDD">
            <w:pPr>
              <w:tabs>
                <w:tab w:val="center" w:pos="4680"/>
              </w:tabs>
              <w:suppressAutoHyphens/>
              <w:rPr>
                <w:kern w:val="22"/>
                <w:szCs w:val="22"/>
              </w:rPr>
            </w:pPr>
          </w:p>
          <w:p w14:paraId="3F2BC035" w14:textId="77777777" w:rsidR="00F611D3" w:rsidRPr="00680B2A" w:rsidRDefault="00F611D3">
            <w:pPr>
              <w:tabs>
                <w:tab w:val="center" w:pos="4680"/>
              </w:tabs>
              <w:suppressAutoHyphens/>
              <w:rPr>
                <w:kern w:val="22"/>
                <w:szCs w:val="22"/>
              </w:rPr>
            </w:pPr>
          </w:p>
          <w:p w14:paraId="029E470D" w14:textId="77777777" w:rsidR="000A1DDD" w:rsidRDefault="00C4249D" w:rsidP="009F08E1">
            <w:pPr>
              <w:tabs>
                <w:tab w:val="center" w:pos="4680"/>
              </w:tabs>
              <w:suppressAutoHyphens/>
              <w:spacing w:after="120"/>
              <w:rPr>
                <w:szCs w:val="22"/>
              </w:rPr>
            </w:pPr>
            <w:r w:rsidRPr="00B81454">
              <w:rPr>
                <w:szCs w:val="22"/>
              </w:rPr>
              <w:t>ITC-214-20081201-00519</w:t>
            </w:r>
          </w:p>
          <w:p w14:paraId="0C7977EA" w14:textId="77777777" w:rsidR="0022669C" w:rsidRPr="00680B2A" w:rsidRDefault="0022669C" w:rsidP="009F08E1">
            <w:pPr>
              <w:tabs>
                <w:tab w:val="center" w:pos="4680"/>
              </w:tabs>
              <w:suppressAutoHyphens/>
              <w:spacing w:after="120"/>
              <w:rPr>
                <w:kern w:val="22"/>
                <w:szCs w:val="22"/>
              </w:rPr>
            </w:pPr>
          </w:p>
        </w:tc>
      </w:tr>
    </w:tbl>
    <w:p w14:paraId="557196B5" w14:textId="77777777" w:rsidR="00317490" w:rsidRPr="00680B2A" w:rsidRDefault="00181119" w:rsidP="00317490">
      <w:pPr>
        <w:jc w:val="center"/>
        <w:rPr>
          <w:b/>
          <w:bCs/>
          <w:kern w:val="22"/>
          <w:szCs w:val="22"/>
        </w:rPr>
      </w:pPr>
      <w:r>
        <w:rPr>
          <w:b/>
          <w:bCs/>
          <w:kern w:val="22"/>
          <w:szCs w:val="22"/>
        </w:rPr>
        <w:t xml:space="preserve">ORDER </w:t>
      </w:r>
    </w:p>
    <w:p w14:paraId="01AF7F2A" w14:textId="77777777" w:rsidR="000A1DDD" w:rsidRPr="00680B2A" w:rsidRDefault="000A1DDD">
      <w:pPr>
        <w:rPr>
          <w:kern w:val="22"/>
          <w:szCs w:val="22"/>
        </w:rPr>
      </w:pPr>
    </w:p>
    <w:p w14:paraId="44AE26D4" w14:textId="0F47F58A" w:rsidR="000A1DDD" w:rsidRPr="008B3EDA" w:rsidRDefault="000A1DDD">
      <w:pPr>
        <w:rPr>
          <w:b/>
          <w:kern w:val="22"/>
          <w:szCs w:val="22"/>
        </w:rPr>
      </w:pPr>
      <w:r w:rsidRPr="008B3EDA">
        <w:rPr>
          <w:b/>
          <w:kern w:val="22"/>
          <w:szCs w:val="22"/>
        </w:rPr>
        <w:t xml:space="preserve">Adopted: </w:t>
      </w:r>
      <w:r w:rsidR="008C5966">
        <w:rPr>
          <w:b/>
          <w:kern w:val="22"/>
          <w:szCs w:val="22"/>
        </w:rPr>
        <w:t xml:space="preserve"> January</w:t>
      </w:r>
      <w:r w:rsidR="001332D1" w:rsidRPr="008B3EDA">
        <w:rPr>
          <w:b/>
          <w:kern w:val="22"/>
          <w:szCs w:val="22"/>
        </w:rPr>
        <w:t xml:space="preserve"> </w:t>
      </w:r>
      <w:r w:rsidR="00C36A20">
        <w:rPr>
          <w:b/>
          <w:kern w:val="22"/>
          <w:szCs w:val="22"/>
        </w:rPr>
        <w:t>1</w:t>
      </w:r>
      <w:r w:rsidR="005A3420">
        <w:rPr>
          <w:b/>
          <w:kern w:val="22"/>
          <w:szCs w:val="22"/>
        </w:rPr>
        <w:t>4</w:t>
      </w:r>
      <w:r w:rsidR="001332D1" w:rsidRPr="008B3EDA">
        <w:rPr>
          <w:b/>
          <w:kern w:val="22"/>
          <w:szCs w:val="22"/>
        </w:rPr>
        <w:t xml:space="preserve">, </w:t>
      </w:r>
      <w:r w:rsidR="0055659E" w:rsidRPr="008B3EDA">
        <w:rPr>
          <w:b/>
          <w:kern w:val="22"/>
          <w:szCs w:val="22"/>
        </w:rPr>
        <w:t>201</w:t>
      </w:r>
      <w:r w:rsidR="000E6974">
        <w:rPr>
          <w:b/>
          <w:kern w:val="22"/>
          <w:szCs w:val="22"/>
        </w:rPr>
        <w:t>6</w:t>
      </w:r>
      <w:r w:rsidRPr="008B3EDA">
        <w:rPr>
          <w:b/>
          <w:kern w:val="22"/>
          <w:szCs w:val="22"/>
        </w:rPr>
        <w:t xml:space="preserve"> </w:t>
      </w:r>
      <w:r w:rsidRPr="008B3EDA">
        <w:rPr>
          <w:b/>
          <w:kern w:val="22"/>
          <w:szCs w:val="22"/>
        </w:rPr>
        <w:tab/>
      </w:r>
      <w:r w:rsidRPr="008B3EDA">
        <w:rPr>
          <w:b/>
          <w:kern w:val="22"/>
          <w:szCs w:val="22"/>
        </w:rPr>
        <w:tab/>
      </w:r>
      <w:r w:rsidRPr="008B3EDA">
        <w:rPr>
          <w:b/>
          <w:kern w:val="22"/>
          <w:szCs w:val="22"/>
        </w:rPr>
        <w:tab/>
      </w:r>
      <w:r w:rsidRPr="008B3EDA">
        <w:rPr>
          <w:b/>
          <w:kern w:val="22"/>
          <w:szCs w:val="22"/>
        </w:rPr>
        <w:tab/>
      </w:r>
      <w:r w:rsidRPr="008B3EDA">
        <w:rPr>
          <w:b/>
          <w:kern w:val="22"/>
          <w:szCs w:val="22"/>
        </w:rPr>
        <w:tab/>
        <w:t xml:space="preserve">Released:  </w:t>
      </w:r>
      <w:r w:rsidR="008C5966">
        <w:rPr>
          <w:b/>
          <w:kern w:val="22"/>
          <w:szCs w:val="22"/>
        </w:rPr>
        <w:t>January</w:t>
      </w:r>
      <w:r w:rsidR="0055659E" w:rsidRPr="008B3EDA">
        <w:rPr>
          <w:b/>
          <w:kern w:val="22"/>
          <w:szCs w:val="22"/>
        </w:rPr>
        <w:t xml:space="preserve"> </w:t>
      </w:r>
      <w:r w:rsidR="00C36A20">
        <w:rPr>
          <w:b/>
          <w:kern w:val="22"/>
          <w:szCs w:val="22"/>
        </w:rPr>
        <w:t>1</w:t>
      </w:r>
      <w:r w:rsidR="005A3420">
        <w:rPr>
          <w:b/>
          <w:kern w:val="22"/>
          <w:szCs w:val="22"/>
        </w:rPr>
        <w:t>4</w:t>
      </w:r>
      <w:r w:rsidR="0055659E" w:rsidRPr="008B3EDA">
        <w:rPr>
          <w:b/>
          <w:kern w:val="22"/>
          <w:szCs w:val="22"/>
        </w:rPr>
        <w:t>, 201</w:t>
      </w:r>
      <w:r w:rsidR="000E6974">
        <w:rPr>
          <w:b/>
          <w:kern w:val="22"/>
          <w:szCs w:val="22"/>
        </w:rPr>
        <w:t>6</w:t>
      </w:r>
    </w:p>
    <w:p w14:paraId="6814722D" w14:textId="77777777" w:rsidR="000A1DDD" w:rsidRPr="00680B2A" w:rsidRDefault="000A1DDD">
      <w:pPr>
        <w:rPr>
          <w:kern w:val="22"/>
          <w:szCs w:val="22"/>
        </w:rPr>
      </w:pPr>
    </w:p>
    <w:p w14:paraId="736D0D0C" w14:textId="3A72279F" w:rsidR="000A1DDD" w:rsidRDefault="000A1DDD">
      <w:pPr>
        <w:rPr>
          <w:kern w:val="22"/>
          <w:szCs w:val="22"/>
        </w:rPr>
      </w:pPr>
      <w:r w:rsidRPr="00680B2A">
        <w:rPr>
          <w:kern w:val="22"/>
          <w:szCs w:val="22"/>
        </w:rPr>
        <w:t xml:space="preserve">By the Chief, </w:t>
      </w:r>
      <w:r w:rsidR="00B1282B">
        <w:rPr>
          <w:kern w:val="22"/>
          <w:szCs w:val="22"/>
        </w:rPr>
        <w:t xml:space="preserve">Telecommunications and Analysis </w:t>
      </w:r>
      <w:r w:rsidR="00AA42FE">
        <w:rPr>
          <w:kern w:val="22"/>
          <w:szCs w:val="22"/>
        </w:rPr>
        <w:t xml:space="preserve">Division, </w:t>
      </w:r>
      <w:r w:rsidR="0047168D" w:rsidRPr="00680B2A">
        <w:rPr>
          <w:kern w:val="22"/>
          <w:szCs w:val="22"/>
        </w:rPr>
        <w:t>International</w:t>
      </w:r>
      <w:r w:rsidRPr="00680B2A">
        <w:rPr>
          <w:kern w:val="22"/>
          <w:szCs w:val="22"/>
        </w:rPr>
        <w:t xml:space="preserve"> Bureau:</w:t>
      </w:r>
    </w:p>
    <w:p w14:paraId="399A8A5C" w14:textId="77777777" w:rsidR="00C4249D" w:rsidRPr="00680B2A" w:rsidRDefault="00C4249D">
      <w:pPr>
        <w:rPr>
          <w:kern w:val="22"/>
          <w:szCs w:val="22"/>
        </w:rPr>
      </w:pPr>
    </w:p>
    <w:p w14:paraId="78BAAEC7" w14:textId="77777777" w:rsidR="000A1DDD" w:rsidRPr="00445EA1" w:rsidRDefault="00C4249D" w:rsidP="00DF25B7">
      <w:pPr>
        <w:pStyle w:val="Heading1"/>
      </w:pPr>
      <w:r>
        <w:t>Introduction</w:t>
      </w:r>
    </w:p>
    <w:p w14:paraId="2CD013D0" w14:textId="11706074" w:rsidR="001B7B75" w:rsidRDefault="00C4249D" w:rsidP="00DC7CAC">
      <w:pPr>
        <w:pStyle w:val="ParaNum"/>
      </w:pPr>
      <w:r>
        <w:t>By</w:t>
      </w:r>
      <w:r w:rsidR="000A1DDD" w:rsidRPr="00680B2A">
        <w:t xml:space="preserve"> this</w:t>
      </w:r>
      <w:r w:rsidR="00A024E0">
        <w:t xml:space="preserve"> Order</w:t>
      </w:r>
      <w:r w:rsidR="000A1DDD" w:rsidRPr="00680B2A">
        <w:t xml:space="preserve">, we </w:t>
      </w:r>
      <w:r w:rsidR="0055659E">
        <w:t>declare</w:t>
      </w:r>
      <w:r w:rsidR="00181119">
        <w:t xml:space="preserve"> </w:t>
      </w:r>
      <w:r>
        <w:t xml:space="preserve">the international section 214 authorization </w:t>
      </w:r>
      <w:r w:rsidR="001E51BD">
        <w:t xml:space="preserve">granted to </w:t>
      </w:r>
      <w:r w:rsidR="00E3642C">
        <w:t>ACT Telecommunications, Inc.</w:t>
      </w:r>
      <w:r w:rsidR="00980939" w:rsidRPr="00680B2A">
        <w:t xml:space="preserve"> (</w:t>
      </w:r>
      <w:r w:rsidR="00E3642C">
        <w:t>ACT)</w:t>
      </w:r>
      <w:r w:rsidR="00A024E0">
        <w:t xml:space="preserve"> </w:t>
      </w:r>
      <w:r w:rsidR="0055659E">
        <w:t xml:space="preserve">terminated given ACT’s inability </w:t>
      </w:r>
      <w:r w:rsidR="003652AE" w:rsidRPr="00680B2A">
        <w:t xml:space="preserve">to comply with </w:t>
      </w:r>
      <w:r w:rsidR="00C270BD">
        <w:t xml:space="preserve">the </w:t>
      </w:r>
      <w:r w:rsidR="0050530E">
        <w:t xml:space="preserve">express </w:t>
      </w:r>
      <w:r w:rsidR="003652AE" w:rsidRPr="00680B2A">
        <w:t>condition</w:t>
      </w:r>
      <w:r w:rsidR="0055659E">
        <w:t xml:space="preserve"> for holding the</w:t>
      </w:r>
      <w:r w:rsidR="003652AE" w:rsidRPr="00680B2A">
        <w:t xml:space="preserve"> authorization</w:t>
      </w:r>
      <w:r w:rsidR="001E51BD">
        <w:t>.</w:t>
      </w:r>
      <w:r w:rsidR="005138EC" w:rsidRPr="00680B2A">
        <w:rPr>
          <w:rStyle w:val="FootnoteReference"/>
          <w:sz w:val="22"/>
          <w:szCs w:val="22"/>
        </w:rPr>
        <w:footnoteReference w:id="1"/>
      </w:r>
      <w:r w:rsidR="005138EC" w:rsidRPr="00680B2A">
        <w:t xml:space="preserve"> </w:t>
      </w:r>
      <w:r w:rsidR="001E51BD">
        <w:t xml:space="preserve"> We also conclude that A</w:t>
      </w:r>
      <w:r w:rsidR="005138EC">
        <w:t>CT</w:t>
      </w:r>
      <w:r w:rsidR="0055659E">
        <w:t xml:space="preserve"> fail</w:t>
      </w:r>
      <w:r w:rsidR="001E51BD">
        <w:t>ed</w:t>
      </w:r>
      <w:r w:rsidR="0055659E">
        <w:t xml:space="preserve"> to comply with those requirements of the Communications Act </w:t>
      </w:r>
      <w:r w:rsidR="001E51BD">
        <w:t xml:space="preserve">of 1934, </w:t>
      </w:r>
      <w:r w:rsidR="00B1282B">
        <w:t xml:space="preserve">as </w:t>
      </w:r>
      <w:r w:rsidR="001E51BD">
        <w:t>amended</w:t>
      </w:r>
      <w:r w:rsidR="00524644">
        <w:t xml:space="preserve"> (the Act)</w:t>
      </w:r>
      <w:r w:rsidR="001E51BD">
        <w:t xml:space="preserve"> </w:t>
      </w:r>
      <w:r w:rsidR="0055659E">
        <w:t>and the Commission’s rules that ensure that the Commission can contact and communicate with the authorization holder</w:t>
      </w:r>
      <w:r w:rsidR="001E51BD">
        <w:t>, which failures have prevented any way of addressing A</w:t>
      </w:r>
      <w:r w:rsidR="00C06D65">
        <w:t>CT</w:t>
      </w:r>
      <w:r w:rsidR="001E51BD">
        <w:t>’s inability to comply with the condition of its authorization</w:t>
      </w:r>
      <w:r w:rsidR="000A1DDD" w:rsidRPr="00680B2A">
        <w:t>.</w:t>
      </w:r>
      <w:r w:rsidR="00980939" w:rsidRPr="00680B2A">
        <w:t xml:space="preserve"> </w:t>
      </w:r>
    </w:p>
    <w:p w14:paraId="4594CE6E" w14:textId="77777777" w:rsidR="002C1828" w:rsidRPr="00445EA1" w:rsidRDefault="002C1828" w:rsidP="00DF25B7">
      <w:pPr>
        <w:pStyle w:val="Heading1"/>
        <w:rPr>
          <w:szCs w:val="22"/>
        </w:rPr>
      </w:pPr>
      <w:r w:rsidRPr="00C4249D">
        <w:t>BACKGROUND</w:t>
      </w:r>
    </w:p>
    <w:p w14:paraId="78C030D1" w14:textId="08F99FC4" w:rsidR="00762D03" w:rsidRDefault="00A36623" w:rsidP="000A4453">
      <w:pPr>
        <w:pStyle w:val="ParaNum"/>
      </w:pPr>
      <w:r w:rsidRPr="0013167C">
        <w:t xml:space="preserve">Section 214(a) of the </w:t>
      </w:r>
      <w:r w:rsidR="00935CDA">
        <w:t>Act</w:t>
      </w:r>
      <w:r w:rsidRPr="0013167C">
        <w:t xml:space="preserve"> prohibits any carrier from constructing, extending, acquiring, or operating any line, and from engaging in transmission through any such line, without first obtaining a certificate of authorization from the Commission.</w:t>
      </w:r>
      <w:r w:rsidR="00BD743C">
        <w:rPr>
          <w:rStyle w:val="FootnoteReference"/>
        </w:rPr>
        <w:footnoteReference w:id="2"/>
      </w:r>
      <w:r w:rsidR="00DE76FD">
        <w:t xml:space="preserve"> </w:t>
      </w:r>
      <w:r w:rsidR="00D44481">
        <w:t xml:space="preserve"> </w:t>
      </w:r>
      <w:r w:rsidR="0055659E">
        <w:t>Under section 214(c) of the Act, the Commission “may attach to the issuance of the certificate such terms and conditions as in its judgment the public convenience and necessity may require.”</w:t>
      </w:r>
      <w:r w:rsidR="0055659E">
        <w:rPr>
          <w:rStyle w:val="FootnoteReference"/>
        </w:rPr>
        <w:footnoteReference w:id="3"/>
      </w:r>
      <w:r w:rsidR="0055659E">
        <w:t xml:space="preserve"> </w:t>
      </w:r>
      <w:r w:rsidR="001E51BD">
        <w:t xml:space="preserve"> </w:t>
      </w:r>
      <w:r w:rsidR="007507EC" w:rsidRPr="00DE76FD">
        <w:t>On October 2</w:t>
      </w:r>
      <w:r w:rsidR="00847E92">
        <w:t>7</w:t>
      </w:r>
      <w:r w:rsidR="007507EC" w:rsidRPr="00DE76FD">
        <w:t>, 2009</w:t>
      </w:r>
      <w:r w:rsidR="00DE76FD">
        <w:t>,</w:t>
      </w:r>
      <w:r w:rsidR="007507EC" w:rsidRPr="00DE76FD">
        <w:t xml:space="preserve"> the </w:t>
      </w:r>
      <w:r w:rsidR="0011300B">
        <w:t xml:space="preserve">International Bureau </w:t>
      </w:r>
      <w:r w:rsidR="007507EC" w:rsidRPr="00DE76FD">
        <w:t>granted ACT</w:t>
      </w:r>
      <w:r w:rsidR="00762D03">
        <w:t xml:space="preserve"> an </w:t>
      </w:r>
      <w:r w:rsidR="007507EC" w:rsidRPr="00DE76FD">
        <w:t xml:space="preserve">international </w:t>
      </w:r>
      <w:r w:rsidR="00DE76FD">
        <w:t xml:space="preserve">section </w:t>
      </w:r>
      <w:r w:rsidR="007507EC" w:rsidRPr="00DE76FD">
        <w:t xml:space="preserve">214 authorization </w:t>
      </w:r>
      <w:r w:rsidR="00DE76FD">
        <w:t xml:space="preserve">to </w:t>
      </w:r>
      <w:r w:rsidR="007507EC" w:rsidRPr="00DE76FD">
        <w:t xml:space="preserve">provide global or limited </w:t>
      </w:r>
      <w:r w:rsidR="000D1385">
        <w:t xml:space="preserve">global </w:t>
      </w:r>
      <w:r w:rsidR="007507EC" w:rsidRPr="00DE76FD">
        <w:t xml:space="preserve">facility-based service and global or limited global resale service in accordance with </w:t>
      </w:r>
      <w:r w:rsidR="00762D03">
        <w:t xml:space="preserve">section </w:t>
      </w:r>
      <w:r w:rsidR="00847E92" w:rsidRPr="0013167C">
        <w:t>63.18(e)(1) and 63.18(e)(2</w:t>
      </w:r>
      <w:r w:rsidR="00847E92">
        <w:t xml:space="preserve">) </w:t>
      </w:r>
      <w:r w:rsidR="00762D03">
        <w:t xml:space="preserve">of the </w:t>
      </w:r>
      <w:r w:rsidR="007507EC" w:rsidRPr="00DE76FD">
        <w:t>Commission’s rules</w:t>
      </w:r>
      <w:r w:rsidR="007B41F2">
        <w:t>.</w:t>
      </w:r>
      <w:r w:rsidR="007507EC">
        <w:rPr>
          <w:rStyle w:val="FootnoteReference"/>
          <w:szCs w:val="22"/>
        </w:rPr>
        <w:footnoteReference w:id="4"/>
      </w:r>
      <w:r w:rsidR="007507EC" w:rsidRPr="00DE76FD">
        <w:t xml:space="preserve"> </w:t>
      </w:r>
      <w:r w:rsidR="003F06D7">
        <w:t xml:space="preserve"> </w:t>
      </w:r>
      <w:r w:rsidR="007507EC" w:rsidRPr="00DE76FD">
        <w:t xml:space="preserve">The </w:t>
      </w:r>
      <w:r w:rsidR="00762D03">
        <w:t xml:space="preserve">International Bureau </w:t>
      </w:r>
      <w:r w:rsidR="007507EC" w:rsidRPr="00DE76FD">
        <w:t>granted the application on the express condition</w:t>
      </w:r>
      <w:r w:rsidR="00847E92">
        <w:t xml:space="preserve"> </w:t>
      </w:r>
      <w:r w:rsidR="007507EC" w:rsidRPr="00DE76FD">
        <w:t xml:space="preserve">that ACT abide by the commitments and undertakings contained in </w:t>
      </w:r>
      <w:r w:rsidR="0055659E">
        <w:t xml:space="preserve">its </w:t>
      </w:r>
      <w:r w:rsidR="00DE76FD">
        <w:t>Letter of Assurance</w:t>
      </w:r>
      <w:r w:rsidR="007507EC" w:rsidRPr="00DE76FD">
        <w:t xml:space="preserve"> </w:t>
      </w:r>
      <w:r w:rsidR="00DE76FD">
        <w:t>(</w:t>
      </w:r>
      <w:r w:rsidR="007507EC" w:rsidRPr="00DE76FD">
        <w:t>LOA</w:t>
      </w:r>
      <w:r w:rsidR="00DE76FD">
        <w:t>)</w:t>
      </w:r>
      <w:r w:rsidR="0055659E">
        <w:t xml:space="preserve"> </w:t>
      </w:r>
      <w:r w:rsidR="00F94261">
        <w:t>to the Department of Justice</w:t>
      </w:r>
      <w:r w:rsidR="00D36E6B">
        <w:t xml:space="preserve"> </w:t>
      </w:r>
      <w:r w:rsidR="00CF00BE">
        <w:t xml:space="preserve">(DOJ) </w:t>
      </w:r>
      <w:r w:rsidR="00D36E6B">
        <w:t xml:space="preserve">and the </w:t>
      </w:r>
      <w:r w:rsidR="00F94261">
        <w:t xml:space="preserve">Department of Homeland Security </w:t>
      </w:r>
      <w:r w:rsidR="00CF00BE">
        <w:t xml:space="preserve">(DHS, </w:t>
      </w:r>
      <w:r w:rsidR="004D53C5">
        <w:t>and with DOJ</w:t>
      </w:r>
      <w:r w:rsidR="00F94261">
        <w:t xml:space="preserve">, the </w:t>
      </w:r>
      <w:r w:rsidR="00140456">
        <w:lastRenderedPageBreak/>
        <w:t xml:space="preserve">Executive Branch </w:t>
      </w:r>
      <w:r w:rsidR="00F94261">
        <w:t>Agencies)</w:t>
      </w:r>
      <w:r w:rsidR="00847E92">
        <w:t xml:space="preserve"> </w:t>
      </w:r>
      <w:r w:rsidR="00935CDA">
        <w:t>dated</w:t>
      </w:r>
      <w:r w:rsidR="00847E92">
        <w:t xml:space="preserve"> October 20, 2009</w:t>
      </w:r>
      <w:r w:rsidR="007507EC" w:rsidRPr="00DE76FD">
        <w:t>.</w:t>
      </w:r>
      <w:r w:rsidR="0050530E">
        <w:rPr>
          <w:rStyle w:val="FootnoteReference"/>
          <w:szCs w:val="22"/>
        </w:rPr>
        <w:footnoteReference w:id="5"/>
      </w:r>
      <w:r w:rsidR="0050530E" w:rsidRPr="00DE76FD">
        <w:t xml:space="preserve"> </w:t>
      </w:r>
      <w:r w:rsidR="008F4378">
        <w:t xml:space="preserve"> </w:t>
      </w:r>
      <w:r w:rsidR="002B043B">
        <w:t>Relevant to this Order, i</w:t>
      </w:r>
      <w:r w:rsidR="00A8123A">
        <w:t xml:space="preserve">n the LOA, </w:t>
      </w:r>
      <w:r w:rsidR="004121FC">
        <w:t xml:space="preserve">ACT agreed to submit a yearly certification </w:t>
      </w:r>
      <w:r w:rsidR="00733F54">
        <w:t xml:space="preserve">due </w:t>
      </w:r>
      <w:r w:rsidR="004121FC">
        <w:t>by October 20</w:t>
      </w:r>
      <w:r w:rsidR="004121FC" w:rsidRPr="00A8123A">
        <w:rPr>
          <w:vertAlign w:val="superscript"/>
        </w:rPr>
        <w:t>th</w:t>
      </w:r>
      <w:r w:rsidR="004121FC">
        <w:t xml:space="preserve"> of each year</w:t>
      </w:r>
      <w:r w:rsidR="00733F54">
        <w:t xml:space="preserve"> </w:t>
      </w:r>
      <w:r w:rsidR="000A4453" w:rsidRPr="000A4453">
        <w:t xml:space="preserve">reaffirming </w:t>
      </w:r>
      <w:r w:rsidR="00F32A34">
        <w:t>its</w:t>
      </w:r>
      <w:r w:rsidR="000A4453" w:rsidRPr="000A4453">
        <w:t xml:space="preserve"> commitments, describing any violations of such commitments, and describing its technical capabilities for complying with Communications Assistance for Law Enforcement Act</w:t>
      </w:r>
      <w:r w:rsidR="000D1385">
        <w:t xml:space="preserve"> (CALEA)</w:t>
      </w:r>
      <w:r w:rsidR="004121FC" w:rsidRPr="00CF00BE">
        <w:t>.</w:t>
      </w:r>
      <w:r w:rsidR="004121FC">
        <w:rPr>
          <w:rStyle w:val="FootnoteReference"/>
        </w:rPr>
        <w:footnoteReference w:id="6"/>
      </w:r>
      <w:r w:rsidR="004121FC">
        <w:t xml:space="preserve">  </w:t>
      </w:r>
      <w:r w:rsidR="00171998" w:rsidRPr="00DE76FD">
        <w:t xml:space="preserve">ACT </w:t>
      </w:r>
      <w:r w:rsidR="004121FC">
        <w:t xml:space="preserve">also </w:t>
      </w:r>
      <w:r w:rsidR="001D101B">
        <w:t xml:space="preserve">agreed </w:t>
      </w:r>
      <w:r w:rsidR="00E9629A">
        <w:t xml:space="preserve">to </w:t>
      </w:r>
      <w:r w:rsidR="002F63FB" w:rsidRPr="00DE76FD">
        <w:t>establish and maintain one or more points of contact</w:t>
      </w:r>
      <w:r w:rsidR="002F63FB">
        <w:t>s</w:t>
      </w:r>
      <w:r w:rsidR="002F63FB" w:rsidRPr="00DE76FD">
        <w:t xml:space="preserve"> (POC) with</w:t>
      </w:r>
      <w:r w:rsidR="002F63FB">
        <w:t>in</w:t>
      </w:r>
      <w:r w:rsidR="002F63FB" w:rsidRPr="00DE76FD">
        <w:t xml:space="preserve"> the United States</w:t>
      </w:r>
      <w:r w:rsidR="002F63FB">
        <w:t xml:space="preserve"> </w:t>
      </w:r>
      <w:r w:rsidR="00294C1A">
        <w:t>and</w:t>
      </w:r>
      <w:r w:rsidR="002F63FB">
        <w:t xml:space="preserve"> </w:t>
      </w:r>
      <w:r w:rsidR="00CF00BE">
        <w:t>“</w:t>
      </w:r>
      <w:r w:rsidR="00CF00BE" w:rsidRPr="00A8123A">
        <w:rPr>
          <w:szCs w:val="22"/>
        </w:rPr>
        <w:t>keep such information current by notifying DOJ and DHS in writing of any change to such information within ten days of such change</w:t>
      </w:r>
      <w:r w:rsidR="002F63FB">
        <w:t>.</w:t>
      </w:r>
      <w:r w:rsidR="00CF00BE">
        <w:t>”</w:t>
      </w:r>
      <w:r w:rsidR="00747C17">
        <w:rPr>
          <w:rStyle w:val="FootnoteReference"/>
          <w:szCs w:val="22"/>
        </w:rPr>
        <w:footnoteReference w:id="7"/>
      </w:r>
      <w:r w:rsidR="002F63FB">
        <w:t xml:space="preserve"> </w:t>
      </w:r>
      <w:r w:rsidR="00762D03">
        <w:t xml:space="preserve"> </w:t>
      </w:r>
    </w:p>
    <w:p w14:paraId="001DC07C" w14:textId="2D7C5DCD" w:rsidR="002F63FB" w:rsidRPr="001B7759" w:rsidRDefault="00445EA1" w:rsidP="00AE2062">
      <w:pPr>
        <w:pStyle w:val="ParaNum"/>
      </w:pPr>
      <w:r w:rsidRPr="00762D03">
        <w:t xml:space="preserve">On May 9, 2014, the </w:t>
      </w:r>
      <w:r w:rsidR="000279B9">
        <w:t xml:space="preserve">Executive Branch </w:t>
      </w:r>
      <w:r w:rsidRPr="00762D03">
        <w:t xml:space="preserve">Agencies </w:t>
      </w:r>
      <w:r w:rsidR="007707D4">
        <w:t xml:space="preserve">notified </w:t>
      </w:r>
      <w:r w:rsidRPr="00762D03">
        <w:t xml:space="preserve">the Commission </w:t>
      </w:r>
      <w:r w:rsidR="007707D4">
        <w:t xml:space="preserve">of ACT’s non-compliance </w:t>
      </w:r>
      <w:r w:rsidR="00F32A34">
        <w:t>with the conditions of its authorization</w:t>
      </w:r>
      <w:r w:rsidR="007707D4">
        <w:t xml:space="preserve"> and </w:t>
      </w:r>
      <w:r w:rsidRPr="00762D03">
        <w:t>request</w:t>
      </w:r>
      <w:r w:rsidR="00813FC4">
        <w:t>ed</w:t>
      </w:r>
      <w:r w:rsidRPr="00762D03">
        <w:t xml:space="preserve"> </w:t>
      </w:r>
      <w:r w:rsidR="0050530E">
        <w:t xml:space="preserve">that </w:t>
      </w:r>
      <w:r w:rsidRPr="00762D03">
        <w:t xml:space="preserve">the Commission </w:t>
      </w:r>
      <w:r w:rsidR="00992C0F" w:rsidRPr="00536F15">
        <w:rPr>
          <w:rFonts w:eastAsiaTheme="minorHAnsi"/>
          <w:snapToGrid/>
        </w:rPr>
        <w:t>terminate, and declare null and void and no longer in effect, the international section 214 authorization issued to ACT.</w:t>
      </w:r>
      <w:r>
        <w:rPr>
          <w:rStyle w:val="FootnoteReference"/>
          <w:szCs w:val="22"/>
        </w:rPr>
        <w:footnoteReference w:id="8"/>
      </w:r>
      <w:r w:rsidR="00762D03" w:rsidRPr="00762D03">
        <w:t xml:space="preserve"> </w:t>
      </w:r>
      <w:r w:rsidR="008F4378">
        <w:t xml:space="preserve"> </w:t>
      </w:r>
      <w:r w:rsidR="00D54D8E">
        <w:t xml:space="preserve">The Executive Branch Agencies indicate that </w:t>
      </w:r>
      <w:r w:rsidR="001D101B">
        <w:t xml:space="preserve">ACT </w:t>
      </w:r>
      <w:r w:rsidR="008D728E">
        <w:t xml:space="preserve">did not </w:t>
      </w:r>
      <w:r w:rsidR="001F7328">
        <w:t xml:space="preserve">submit either its 2012 or 2013 </w:t>
      </w:r>
      <w:r w:rsidR="002B043B">
        <w:t xml:space="preserve">yearly </w:t>
      </w:r>
      <w:r w:rsidR="002F63FB">
        <w:t>certification</w:t>
      </w:r>
      <w:r w:rsidR="001F7328">
        <w:t xml:space="preserve">, and </w:t>
      </w:r>
      <w:r w:rsidR="00813FC4">
        <w:t xml:space="preserve">has </w:t>
      </w:r>
      <w:r w:rsidR="001F7328">
        <w:t>“failed to respond to all attempts by the Agencies (telephone and electronic mail (e-mail)) to inquire as to the status of those certifications.”</w:t>
      </w:r>
      <w:r w:rsidR="003308C2">
        <w:rPr>
          <w:rStyle w:val="FootnoteReference"/>
        </w:rPr>
        <w:footnoteReference w:id="9"/>
      </w:r>
      <w:r w:rsidR="00911AF7">
        <w:t xml:space="preserve">  Additionally, the Executive Br</w:t>
      </w:r>
      <w:r w:rsidR="00813FC4">
        <w:t xml:space="preserve">anch Agencies stated that ACT’s previously designated POC and one-time legal counsel, </w:t>
      </w:r>
      <w:r w:rsidR="00911AF7">
        <w:t>Mr. Eric Fishman</w:t>
      </w:r>
      <w:r w:rsidR="00813FC4">
        <w:t xml:space="preserve">, </w:t>
      </w:r>
      <w:r w:rsidR="00536F15">
        <w:t xml:space="preserve">in a </w:t>
      </w:r>
      <w:r w:rsidR="00536F15" w:rsidRPr="00536F15">
        <w:t>September 23, 2013, e-mail message</w:t>
      </w:r>
      <w:r w:rsidR="00536F15">
        <w:t>, indicated, “in September 2013 he had attempted, and failed, to communicate with ACT.”</w:t>
      </w:r>
      <w:r w:rsidR="00140456">
        <w:rPr>
          <w:rStyle w:val="FootnoteReference"/>
        </w:rPr>
        <w:footnoteReference w:id="10"/>
      </w:r>
      <w:r w:rsidR="00211C75">
        <w:t xml:space="preserve">  </w:t>
      </w:r>
      <w:r w:rsidR="00B15EEE">
        <w:t xml:space="preserve">According to the Executive Branch Agencies, </w:t>
      </w:r>
      <w:r w:rsidR="00211C75">
        <w:t>Mr. Fishman</w:t>
      </w:r>
      <w:r w:rsidR="00813FC4">
        <w:t xml:space="preserve"> </w:t>
      </w:r>
      <w:r w:rsidR="00536F15">
        <w:t xml:space="preserve">also </w:t>
      </w:r>
      <w:r w:rsidR="00B15EEE">
        <w:t xml:space="preserve">indicated he </w:t>
      </w:r>
      <w:r w:rsidR="00813FC4">
        <w:t xml:space="preserve">moved to another law firm, but </w:t>
      </w:r>
      <w:r w:rsidR="00526F44">
        <w:t>had not been re-engaged as ACT’s attorney</w:t>
      </w:r>
      <w:r w:rsidR="007707D4">
        <w:t>.</w:t>
      </w:r>
      <w:r w:rsidR="00911AF7">
        <w:rPr>
          <w:rStyle w:val="FootnoteReference"/>
        </w:rPr>
        <w:footnoteReference w:id="11"/>
      </w:r>
      <w:r w:rsidR="007707D4">
        <w:t xml:space="preserve">  Mr. Fishman</w:t>
      </w:r>
      <w:r w:rsidR="000279B9">
        <w:t xml:space="preserve"> recommended that </w:t>
      </w:r>
      <w:r w:rsidR="007707D4">
        <w:t>the Executive Branch Agencies “</w:t>
      </w:r>
      <w:r w:rsidR="00526F44">
        <w:t>communicate with ACT directly</w:t>
      </w:r>
      <w:r w:rsidR="00813FC4">
        <w:t xml:space="preserve">, thus implying that </w:t>
      </w:r>
      <w:r w:rsidR="00526F44">
        <w:t>his legal relationship with ACT was over and that he no longer could serve as ACT’s designated POC for purposes of the LOA.</w:t>
      </w:r>
      <w:r w:rsidR="007707D4">
        <w:t>”</w:t>
      </w:r>
      <w:r w:rsidR="003F5D72">
        <w:rPr>
          <w:rStyle w:val="FootnoteReference"/>
        </w:rPr>
        <w:footnoteReference w:id="12"/>
      </w:r>
      <w:r w:rsidR="0079541F">
        <w:t xml:space="preserve">  </w:t>
      </w:r>
      <w:r w:rsidR="0006031F">
        <w:t xml:space="preserve">As a result, the Executive Branch Agencies stated that ACT has “failed to comply with the LOA in the following material ways:  (1) ACT failed to submit its yearly certification in 2012; (2) </w:t>
      </w:r>
      <w:r w:rsidR="004D53C5">
        <w:t>ACT</w:t>
      </w:r>
      <w:r w:rsidR="004C67FC">
        <w:t xml:space="preserve"> </w:t>
      </w:r>
      <w:r w:rsidR="0006031F">
        <w:t xml:space="preserve">failed to submit its yearly certification in 2013; (3) ACT failed to maintain a current designated </w:t>
      </w:r>
      <w:r w:rsidR="0006031F">
        <w:lastRenderedPageBreak/>
        <w:t>POC; and (4) ACT failed to provide timely notice of a change in ACT’s POC status.”</w:t>
      </w:r>
      <w:r w:rsidR="0006031F">
        <w:rPr>
          <w:rStyle w:val="FootnoteReference"/>
        </w:rPr>
        <w:footnoteReference w:id="13"/>
      </w:r>
      <w:r w:rsidR="0006031F">
        <w:t xml:space="preserve">  </w:t>
      </w:r>
    </w:p>
    <w:p w14:paraId="106E0095" w14:textId="57C4AD4C" w:rsidR="00EC34DF" w:rsidRDefault="00FC6BA7" w:rsidP="008A4EDB">
      <w:pPr>
        <w:pStyle w:val="ParaNum"/>
        <w:rPr>
          <w:kern w:val="22"/>
        </w:rPr>
      </w:pPr>
      <w:r>
        <w:t xml:space="preserve">The Commission has made significant efforts to </w:t>
      </w:r>
      <w:r w:rsidR="008F4378">
        <w:t xml:space="preserve">communicate with </w:t>
      </w:r>
      <w:r>
        <w:t>ACT</w:t>
      </w:r>
      <w:r w:rsidR="007707D4">
        <w:t>, but has also been unable to do so.</w:t>
      </w:r>
      <w:r>
        <w:t xml:space="preserve"> </w:t>
      </w:r>
      <w:r w:rsidR="008F4378">
        <w:t xml:space="preserve"> </w:t>
      </w:r>
      <w:r w:rsidR="001B7759" w:rsidRPr="00762D03">
        <w:t>On</w:t>
      </w:r>
      <w:r w:rsidR="00445EA1" w:rsidRPr="00762D03">
        <w:t xml:space="preserve"> May 14</w:t>
      </w:r>
      <w:r w:rsidR="001B7759" w:rsidRPr="00762D03">
        <w:t xml:space="preserve">, 2014, the </w:t>
      </w:r>
      <w:r w:rsidR="00D06F66" w:rsidRPr="00762D03">
        <w:t>International Bureau</w:t>
      </w:r>
      <w:r w:rsidR="00402992" w:rsidRPr="00762D03">
        <w:t xml:space="preserve"> </w:t>
      </w:r>
      <w:r w:rsidR="00D06F66" w:rsidRPr="00762D03">
        <w:t xml:space="preserve">sent ACT a </w:t>
      </w:r>
      <w:r w:rsidR="00515181" w:rsidRPr="00762D03">
        <w:t>letter</w:t>
      </w:r>
      <w:r w:rsidR="001B7759" w:rsidRPr="00762D03">
        <w:t xml:space="preserve"> </w:t>
      </w:r>
      <w:r w:rsidR="001B7B75" w:rsidRPr="00762D03">
        <w:t>to</w:t>
      </w:r>
      <w:r w:rsidR="00515181" w:rsidRPr="00762D03">
        <w:t xml:space="preserve"> the last address of </w:t>
      </w:r>
      <w:r w:rsidR="001332D1" w:rsidRPr="00762D03">
        <w:t>record requesting</w:t>
      </w:r>
      <w:r w:rsidR="00E46159" w:rsidRPr="00762D03">
        <w:t xml:space="preserve"> that ACT respond to the </w:t>
      </w:r>
      <w:r w:rsidR="00D45E2E">
        <w:rPr>
          <w:i/>
        </w:rPr>
        <w:t xml:space="preserve">May 9, 2014 Executive Branch Letter </w:t>
      </w:r>
      <w:r w:rsidR="00E46159" w:rsidRPr="00762D03">
        <w:t xml:space="preserve">within 30 days of the letter, </w:t>
      </w:r>
      <w:r w:rsidR="00C87D0D">
        <w:t xml:space="preserve">by </w:t>
      </w:r>
      <w:r w:rsidR="00E46159" w:rsidRPr="00762D03">
        <w:t xml:space="preserve">June </w:t>
      </w:r>
      <w:r w:rsidR="00C251DF">
        <w:t>13</w:t>
      </w:r>
      <w:r w:rsidR="00E46159" w:rsidRPr="00762D03">
        <w:t>, 2014.</w:t>
      </w:r>
      <w:r w:rsidR="00E46159">
        <w:rPr>
          <w:rStyle w:val="FootnoteReference"/>
          <w:szCs w:val="22"/>
        </w:rPr>
        <w:footnoteReference w:id="14"/>
      </w:r>
      <w:r w:rsidR="008809EA" w:rsidRPr="00762D03">
        <w:t xml:space="preserve"> </w:t>
      </w:r>
      <w:r w:rsidR="00C87D0D">
        <w:t xml:space="preserve"> </w:t>
      </w:r>
      <w:r w:rsidR="000C6478">
        <w:t>ACT did not respond.  Since that time, the International Bureau has provided ACT with additional opportunities to respond to the</w:t>
      </w:r>
      <w:r w:rsidR="00723FF9">
        <w:t>se</w:t>
      </w:r>
      <w:r w:rsidR="000C6478">
        <w:t xml:space="preserve"> allegations.</w:t>
      </w:r>
      <w:r w:rsidR="000C6478">
        <w:rPr>
          <w:rStyle w:val="FootnoteReference"/>
        </w:rPr>
        <w:footnoteReference w:id="15"/>
      </w:r>
      <w:r w:rsidR="000C6478">
        <w:t xml:space="preserve">  </w:t>
      </w:r>
      <w:r w:rsidR="002C4419" w:rsidRPr="002C4419">
        <w:t xml:space="preserve">The International Bureau stated that failure to respond would result in termination of </w:t>
      </w:r>
      <w:r w:rsidR="002C4419">
        <w:t>ACT</w:t>
      </w:r>
      <w:r w:rsidR="002C4419" w:rsidRPr="002C4419">
        <w:t>’s international section 214 authorization for failure to comply with conditions of its authorization.</w:t>
      </w:r>
      <w:r w:rsidR="002C4419" w:rsidRPr="002C4419">
        <w:rPr>
          <w:sz w:val="20"/>
          <w:vertAlign w:val="superscript"/>
        </w:rPr>
        <w:footnoteReference w:id="16"/>
      </w:r>
      <w:r w:rsidR="002C4419" w:rsidRPr="002C4419">
        <w:t xml:space="preserve"> </w:t>
      </w:r>
      <w:r w:rsidR="002C4419">
        <w:t xml:space="preserve"> </w:t>
      </w:r>
      <w:r w:rsidR="008A4EDB">
        <w:t xml:space="preserve">On November </w:t>
      </w:r>
      <w:r w:rsidR="00944F96">
        <w:t>18</w:t>
      </w:r>
      <w:r w:rsidR="008A4EDB">
        <w:t>, 2015, the International Bureau sent copies of the foregoing Commission notices to ACT at the St. John</w:t>
      </w:r>
      <w:r w:rsidR="004D53C5">
        <w:t>’</w:t>
      </w:r>
      <w:r w:rsidR="008A4EDB">
        <w:t xml:space="preserve">s, </w:t>
      </w:r>
      <w:r w:rsidR="008A4EDB" w:rsidRPr="008A4EDB">
        <w:rPr>
          <w:szCs w:val="22"/>
        </w:rPr>
        <w:t>Antigua and Barbuda</w:t>
      </w:r>
      <w:r w:rsidR="008A4EDB">
        <w:rPr>
          <w:szCs w:val="22"/>
        </w:rPr>
        <w:t xml:space="preserve"> address </w:t>
      </w:r>
      <w:r w:rsidR="008A4EDB">
        <w:t>listed in its 200</w:t>
      </w:r>
      <w:r w:rsidR="00BD3ED9">
        <w:t>8</w:t>
      </w:r>
      <w:r w:rsidR="008A4EDB">
        <w:t xml:space="preserve"> application, </w:t>
      </w:r>
      <w:r w:rsidR="00944F96">
        <w:t xml:space="preserve">through UPS, </w:t>
      </w:r>
      <w:r w:rsidR="008A4EDB">
        <w:t>return recei</w:t>
      </w:r>
      <w:r w:rsidR="00211C75">
        <w:t xml:space="preserve">pt, which was </w:t>
      </w:r>
      <w:r w:rsidR="00324810">
        <w:t xml:space="preserve">successfully </w:t>
      </w:r>
      <w:r w:rsidR="008A4EDB">
        <w:t>delivered</w:t>
      </w:r>
      <w:r w:rsidR="00944F96">
        <w:t xml:space="preserve"> on November 20, 2015</w:t>
      </w:r>
      <w:r w:rsidR="008A4EDB">
        <w:t>.</w:t>
      </w:r>
      <w:r w:rsidR="008A4EDB">
        <w:rPr>
          <w:rStyle w:val="FootnoteReference"/>
          <w:szCs w:val="22"/>
        </w:rPr>
        <w:footnoteReference w:id="17"/>
      </w:r>
      <w:r w:rsidR="008A4EDB">
        <w:t xml:space="preserve">  </w:t>
      </w:r>
      <w:r w:rsidR="00E4561D">
        <w:t xml:space="preserve">In </w:t>
      </w:r>
      <w:r w:rsidR="000C0725" w:rsidRPr="008A4EDB">
        <w:rPr>
          <w:kern w:val="22"/>
        </w:rPr>
        <w:t>ACT’s 200</w:t>
      </w:r>
      <w:r w:rsidR="00BD3ED9">
        <w:rPr>
          <w:kern w:val="22"/>
        </w:rPr>
        <w:t>8</w:t>
      </w:r>
      <w:r w:rsidR="000C0725" w:rsidRPr="008A4EDB">
        <w:rPr>
          <w:kern w:val="22"/>
        </w:rPr>
        <w:t xml:space="preserve"> application, </w:t>
      </w:r>
      <w:r w:rsidR="00E4561D">
        <w:rPr>
          <w:kern w:val="22"/>
        </w:rPr>
        <w:t xml:space="preserve">ACT </w:t>
      </w:r>
      <w:r w:rsidR="000C0725" w:rsidRPr="008A4EDB">
        <w:rPr>
          <w:kern w:val="22"/>
        </w:rPr>
        <w:t>stated it was in</w:t>
      </w:r>
      <w:r w:rsidR="001C2507" w:rsidRPr="008A4EDB">
        <w:rPr>
          <w:kern w:val="22"/>
        </w:rPr>
        <w:t>c</w:t>
      </w:r>
      <w:r w:rsidR="000C0725" w:rsidRPr="008A4EDB">
        <w:rPr>
          <w:kern w:val="22"/>
        </w:rPr>
        <w:t>orporated in Delaware</w:t>
      </w:r>
      <w:r w:rsidR="00E4561D">
        <w:rPr>
          <w:kern w:val="22"/>
        </w:rPr>
        <w:t>, and according to the Delaware Secretary of State, ACT is no longer in “good standing.”</w:t>
      </w:r>
      <w:r w:rsidR="00CA311E">
        <w:rPr>
          <w:rStyle w:val="FootnoteReference"/>
          <w:kern w:val="22"/>
          <w:szCs w:val="22"/>
        </w:rPr>
        <w:footnoteReference w:id="18"/>
      </w:r>
      <w:r w:rsidR="002C7FC2">
        <w:rPr>
          <w:kern w:val="22"/>
        </w:rPr>
        <w:t xml:space="preserve">  </w:t>
      </w:r>
      <w:r w:rsidR="002C7FC2">
        <w:t xml:space="preserve">To date, </w:t>
      </w:r>
      <w:r w:rsidR="002C7FC2" w:rsidRPr="002F63FB">
        <w:rPr>
          <w:kern w:val="22"/>
        </w:rPr>
        <w:t xml:space="preserve">ACT has not responded </w:t>
      </w:r>
      <w:r w:rsidR="002C7FC2">
        <w:rPr>
          <w:kern w:val="22"/>
        </w:rPr>
        <w:t xml:space="preserve">to any of </w:t>
      </w:r>
      <w:r w:rsidR="002C7FC2" w:rsidRPr="002F63FB">
        <w:rPr>
          <w:kern w:val="22"/>
        </w:rPr>
        <w:t xml:space="preserve">the </w:t>
      </w:r>
      <w:r w:rsidR="002C7FC2">
        <w:rPr>
          <w:kern w:val="22"/>
        </w:rPr>
        <w:t xml:space="preserve">International Bureau </w:t>
      </w:r>
      <w:r w:rsidR="002C7FC2" w:rsidRPr="002F63FB">
        <w:rPr>
          <w:kern w:val="22"/>
        </w:rPr>
        <w:t xml:space="preserve">or the </w:t>
      </w:r>
      <w:r w:rsidR="002C7FC2">
        <w:rPr>
          <w:kern w:val="22"/>
        </w:rPr>
        <w:t xml:space="preserve">Executive Branch </w:t>
      </w:r>
      <w:r w:rsidR="002C7FC2" w:rsidRPr="002F63FB">
        <w:rPr>
          <w:kern w:val="22"/>
        </w:rPr>
        <w:t>Agencies</w:t>
      </w:r>
      <w:r w:rsidR="002C7FC2">
        <w:rPr>
          <w:kern w:val="22"/>
        </w:rPr>
        <w:t>’</w:t>
      </w:r>
      <w:r w:rsidR="002C7FC2" w:rsidRPr="002F63FB">
        <w:rPr>
          <w:kern w:val="22"/>
        </w:rPr>
        <w:t xml:space="preserve"> </w:t>
      </w:r>
      <w:r w:rsidR="002C7FC2">
        <w:rPr>
          <w:kern w:val="22"/>
        </w:rPr>
        <w:t xml:space="preserve">multiple requests to resolve this matter.  </w:t>
      </w:r>
    </w:p>
    <w:p w14:paraId="2F3922D0" w14:textId="77777777" w:rsidR="00EC34DF" w:rsidRDefault="00EC34DF">
      <w:pPr>
        <w:widowControl/>
        <w:rPr>
          <w:kern w:val="22"/>
        </w:rPr>
      </w:pPr>
      <w:r>
        <w:rPr>
          <w:kern w:val="22"/>
        </w:rPr>
        <w:br w:type="page"/>
      </w:r>
    </w:p>
    <w:p w14:paraId="67191C0F" w14:textId="77777777" w:rsidR="007C60DB" w:rsidRPr="00445EA1" w:rsidRDefault="007C60DB" w:rsidP="00DF25B7">
      <w:pPr>
        <w:pStyle w:val="Heading1"/>
        <w:rPr>
          <w:kern w:val="22"/>
          <w:szCs w:val="22"/>
        </w:rPr>
      </w:pPr>
      <w:r w:rsidRPr="00DF25B7">
        <w:t>DISCUSSION</w:t>
      </w:r>
    </w:p>
    <w:p w14:paraId="2120F5C6" w14:textId="0DA4A002" w:rsidR="008B1E5E" w:rsidRDefault="00C87D0D" w:rsidP="00B249C0">
      <w:pPr>
        <w:pStyle w:val="ParaNum"/>
      </w:pPr>
      <w:r>
        <w:rPr>
          <w:kern w:val="22"/>
          <w:szCs w:val="22"/>
        </w:rPr>
        <w:t xml:space="preserve">We </w:t>
      </w:r>
      <w:r w:rsidR="00CA311E">
        <w:rPr>
          <w:kern w:val="22"/>
          <w:szCs w:val="22"/>
        </w:rPr>
        <w:t xml:space="preserve">determine that </w:t>
      </w:r>
      <w:r w:rsidR="00B3288B">
        <w:t xml:space="preserve">ACT’s international section 214 authorization to provide international services </w:t>
      </w:r>
      <w:r>
        <w:t xml:space="preserve">issued under File No. </w:t>
      </w:r>
      <w:r w:rsidR="00537A4A">
        <w:t xml:space="preserve">ITC-214-20081201-00519 </w:t>
      </w:r>
      <w:r w:rsidR="00CA311E">
        <w:t xml:space="preserve">has terminated </w:t>
      </w:r>
      <w:r>
        <w:t xml:space="preserve">for </w:t>
      </w:r>
      <w:r w:rsidR="00CA311E">
        <w:t>inability</w:t>
      </w:r>
      <w:r>
        <w:t xml:space="preserve"> to comply with </w:t>
      </w:r>
      <w:r w:rsidR="002E7AAD">
        <w:t xml:space="preserve">the LOA, </w:t>
      </w:r>
      <w:r w:rsidR="00CA311E">
        <w:t xml:space="preserve">an </w:t>
      </w:r>
      <w:r w:rsidR="00B3288B">
        <w:t>express condition</w:t>
      </w:r>
      <w:r w:rsidR="00CA311E">
        <w:t xml:space="preserve"> for holding </w:t>
      </w:r>
      <w:r>
        <w:t xml:space="preserve">the section </w:t>
      </w:r>
      <w:r w:rsidR="00DC5FF4">
        <w:t>214 international authorization</w:t>
      </w:r>
      <w:r w:rsidR="00B3288B">
        <w:t>.</w:t>
      </w:r>
      <w:r w:rsidR="00DE76FD">
        <w:t xml:space="preserve"> </w:t>
      </w:r>
      <w:r w:rsidR="00DC5FF4">
        <w:t xml:space="preserve"> </w:t>
      </w:r>
      <w:r w:rsidR="00B3288B">
        <w:t xml:space="preserve">The </w:t>
      </w:r>
      <w:r w:rsidR="00DC5FF4">
        <w:t xml:space="preserve">International </w:t>
      </w:r>
      <w:r w:rsidR="00B3288B">
        <w:t xml:space="preserve">Bureau has provided ACT </w:t>
      </w:r>
      <w:r w:rsidR="00DC5FF4">
        <w:t xml:space="preserve">with </w:t>
      </w:r>
      <w:r w:rsidR="00B3288B">
        <w:t>notice and opportunity to respond</w:t>
      </w:r>
      <w:r w:rsidR="00DE76FD">
        <w:t xml:space="preserve"> </w:t>
      </w:r>
      <w:r w:rsidR="00B3288B">
        <w:t xml:space="preserve">to the </w:t>
      </w:r>
      <w:r w:rsidR="00DC5FF4">
        <w:t xml:space="preserve">allegations in the </w:t>
      </w:r>
      <w:r w:rsidR="00DC5FF4" w:rsidRPr="00DF25B7">
        <w:rPr>
          <w:i/>
        </w:rPr>
        <w:t xml:space="preserve">May 9, 2014 </w:t>
      </w:r>
      <w:r w:rsidR="00264F1D" w:rsidRPr="00DF25B7">
        <w:rPr>
          <w:i/>
        </w:rPr>
        <w:t xml:space="preserve">Executive Branch </w:t>
      </w:r>
      <w:r w:rsidR="00DC5FF4" w:rsidRPr="00DF25B7">
        <w:rPr>
          <w:i/>
        </w:rPr>
        <w:t>Letter</w:t>
      </w:r>
      <w:r w:rsidR="00DC5FF4">
        <w:t xml:space="preserve"> concerning ACT’s non-c</w:t>
      </w:r>
      <w:r w:rsidR="00747C17">
        <w:t xml:space="preserve">ompliance </w:t>
      </w:r>
      <w:r w:rsidR="00B3288B">
        <w:t xml:space="preserve">with the </w:t>
      </w:r>
      <w:r w:rsidR="00DC5FF4" w:rsidRPr="00DF25B7">
        <w:rPr>
          <w:kern w:val="22"/>
          <w:szCs w:val="22"/>
        </w:rPr>
        <w:t>condition</w:t>
      </w:r>
      <w:r w:rsidR="00DC5FF4">
        <w:t xml:space="preserve"> of the grant.  </w:t>
      </w:r>
      <w:r w:rsidR="00B3288B">
        <w:t xml:space="preserve">ACT has not responded to </w:t>
      </w:r>
      <w:r w:rsidR="00DC5FF4">
        <w:t xml:space="preserve">any of our multiple requests or requests from the </w:t>
      </w:r>
      <w:r w:rsidR="0012118E">
        <w:t xml:space="preserve">Executive Branch </w:t>
      </w:r>
      <w:r w:rsidR="00DC5FF4">
        <w:t>Agencies.</w:t>
      </w:r>
      <w:r w:rsidR="00B3288B">
        <w:t xml:space="preserve"> </w:t>
      </w:r>
      <w:r w:rsidR="00B249C0">
        <w:t xml:space="preserve"> </w:t>
      </w:r>
      <w:r w:rsidR="00A951D0">
        <w:t>We find that ACT’s failure to respond to our multiple requests</w:t>
      </w:r>
      <w:r w:rsidR="00DC5FF4">
        <w:t xml:space="preserve"> </w:t>
      </w:r>
      <w:r w:rsidR="00A951D0">
        <w:t xml:space="preserve">demonstrates that it is unable to satisfy the LOA conditions concerning </w:t>
      </w:r>
      <w:r w:rsidR="00B249C0" w:rsidRPr="00B249C0">
        <w:t xml:space="preserve">its </w:t>
      </w:r>
      <w:r w:rsidR="00B249C0">
        <w:t xml:space="preserve">2012 </w:t>
      </w:r>
      <w:r w:rsidR="008B1E5E">
        <w:t xml:space="preserve">and 2013 </w:t>
      </w:r>
      <w:r w:rsidR="00B249C0" w:rsidRPr="00B249C0">
        <w:t>certification</w:t>
      </w:r>
      <w:r w:rsidR="008B1E5E">
        <w:t>s</w:t>
      </w:r>
      <w:r w:rsidR="00407058">
        <w:t>,</w:t>
      </w:r>
      <w:r w:rsidR="00B249C0" w:rsidRPr="00B249C0">
        <w:t xml:space="preserve"> maintain</w:t>
      </w:r>
      <w:r w:rsidR="008B1E5E">
        <w:t>ing</w:t>
      </w:r>
      <w:r w:rsidR="00B249C0" w:rsidRPr="00B249C0">
        <w:t xml:space="preserve"> a current designated POC</w:t>
      </w:r>
      <w:r w:rsidR="00407058">
        <w:t>,</w:t>
      </w:r>
      <w:r w:rsidR="00B249C0" w:rsidRPr="00B249C0">
        <w:t xml:space="preserve"> and provid</w:t>
      </w:r>
      <w:r w:rsidR="008B1E5E">
        <w:t>ing</w:t>
      </w:r>
      <w:r w:rsidR="00B249C0" w:rsidRPr="00B249C0">
        <w:t xml:space="preserve"> timely notice of a change in ACT’s POC status</w:t>
      </w:r>
      <w:r w:rsidR="00A951D0">
        <w:t xml:space="preserve">, upon which the </w:t>
      </w:r>
      <w:r w:rsidR="00D54D8E">
        <w:t xml:space="preserve">Executive Branch </w:t>
      </w:r>
      <w:r w:rsidR="00A951D0">
        <w:t xml:space="preserve">Agencies gave their non-objection to the grant of the authorization to ACT, and </w:t>
      </w:r>
      <w:r w:rsidR="004D53C5">
        <w:t xml:space="preserve">which </w:t>
      </w:r>
      <w:r w:rsidR="002E7AAD">
        <w:t xml:space="preserve">is a </w:t>
      </w:r>
      <w:r w:rsidR="00A951D0">
        <w:t xml:space="preserve">condition of </w:t>
      </w:r>
      <w:r w:rsidR="004D53C5">
        <w:t xml:space="preserve">the grant of </w:t>
      </w:r>
      <w:r w:rsidR="00A951D0">
        <w:t xml:space="preserve">its section 214 authorization. </w:t>
      </w:r>
      <w:r w:rsidR="008B1E5E">
        <w:t xml:space="preserve"> </w:t>
      </w:r>
    </w:p>
    <w:p w14:paraId="4956620B" w14:textId="56A37963" w:rsidR="00EC34DF" w:rsidRDefault="001332D1" w:rsidP="00B249C0">
      <w:pPr>
        <w:pStyle w:val="ParaNum"/>
      </w:pPr>
      <w:r>
        <w:t xml:space="preserve">Furthermore, </w:t>
      </w:r>
      <w:r w:rsidR="008B1E5E" w:rsidRPr="008B1E5E">
        <w:rPr>
          <w:rFonts w:eastAsiaTheme="minorHAnsi"/>
          <w:snapToGrid/>
        </w:rPr>
        <w:t>after having received an international 214 authorization, a carrier “is responsible for the continuing accuracy of the certifications made in its application” and must promptly correct information no longer accurate, “and</w:t>
      </w:r>
      <w:r w:rsidR="005A3420">
        <w:rPr>
          <w:rFonts w:eastAsiaTheme="minorHAnsi"/>
          <w:snapToGrid/>
        </w:rPr>
        <w:t>,</w:t>
      </w:r>
      <w:r w:rsidR="008B1E5E" w:rsidRPr="008B1E5E">
        <w:rPr>
          <w:rFonts w:eastAsiaTheme="minorHAnsi"/>
          <w:snapToGrid/>
        </w:rPr>
        <w:t xml:space="preserve"> in any event, within thirty (30) days.”</w:t>
      </w:r>
      <w:r w:rsidR="008B1E5E" w:rsidRPr="008B1E5E">
        <w:rPr>
          <w:rFonts w:eastAsiaTheme="minorHAnsi"/>
          <w:snapToGrid/>
          <w:sz w:val="20"/>
          <w:vertAlign w:val="superscript"/>
        </w:rPr>
        <w:footnoteReference w:id="19"/>
      </w:r>
      <w:r w:rsidR="008B1E5E" w:rsidRPr="008B1E5E">
        <w:rPr>
          <w:rFonts w:eastAsiaTheme="minorHAnsi"/>
          <w:snapToGrid/>
        </w:rPr>
        <w:t xml:space="preserve">  </w:t>
      </w:r>
      <w:r w:rsidRPr="000C72A2">
        <w:rPr>
          <w:kern w:val="22"/>
          <w:szCs w:val="22"/>
        </w:rPr>
        <w:t xml:space="preserve">ACT has </w:t>
      </w:r>
      <w:r>
        <w:rPr>
          <w:kern w:val="22"/>
          <w:szCs w:val="22"/>
        </w:rPr>
        <w:t>failed to inf</w:t>
      </w:r>
      <w:r w:rsidRPr="000C72A2">
        <w:rPr>
          <w:kern w:val="22"/>
          <w:szCs w:val="22"/>
        </w:rPr>
        <w:t>orm</w:t>
      </w:r>
      <w:r>
        <w:rPr>
          <w:kern w:val="22"/>
          <w:szCs w:val="22"/>
        </w:rPr>
        <w:t xml:space="preserve"> </w:t>
      </w:r>
      <w:r w:rsidRPr="000C72A2">
        <w:rPr>
          <w:kern w:val="22"/>
          <w:szCs w:val="22"/>
        </w:rPr>
        <w:t xml:space="preserve">the Commission of any changes in </w:t>
      </w:r>
      <w:r>
        <w:rPr>
          <w:kern w:val="22"/>
          <w:szCs w:val="22"/>
        </w:rPr>
        <w:t xml:space="preserve">its </w:t>
      </w:r>
      <w:r w:rsidR="008B1E5E">
        <w:rPr>
          <w:kern w:val="22"/>
          <w:szCs w:val="22"/>
        </w:rPr>
        <w:t xml:space="preserve">business </w:t>
      </w:r>
      <w:r w:rsidRPr="000C72A2">
        <w:rPr>
          <w:kern w:val="22"/>
          <w:szCs w:val="22"/>
        </w:rPr>
        <w:t>status of providing international telecommunications services</w:t>
      </w:r>
      <w:r>
        <w:rPr>
          <w:kern w:val="22"/>
          <w:szCs w:val="22"/>
        </w:rPr>
        <w:t>, as required by the rules</w:t>
      </w:r>
      <w:r w:rsidR="008B1E5E">
        <w:rPr>
          <w:kern w:val="22"/>
          <w:szCs w:val="22"/>
        </w:rPr>
        <w:t>.</w:t>
      </w:r>
      <w:r>
        <w:rPr>
          <w:rStyle w:val="FootnoteReference"/>
          <w:kern w:val="22"/>
          <w:szCs w:val="22"/>
        </w:rPr>
        <w:footnoteReference w:id="20"/>
      </w:r>
      <w:r w:rsidR="008B1E5E">
        <w:rPr>
          <w:rStyle w:val="FootnoteReference"/>
        </w:rPr>
        <w:t xml:space="preserve"> </w:t>
      </w:r>
      <w:r>
        <w:rPr>
          <w:rStyle w:val="FootnoteReference"/>
        </w:rPr>
        <w:t xml:space="preserve"> </w:t>
      </w:r>
      <w:r w:rsidR="0098793B">
        <w:rPr>
          <w:rStyle w:val="FootnoteReference"/>
        </w:rPr>
        <w:t xml:space="preserve"> </w:t>
      </w:r>
      <w:r>
        <w:t xml:space="preserve">Nor is there any record of ACT having complied with </w:t>
      </w:r>
      <w:r w:rsidR="009766D1">
        <w:t>section 413</w:t>
      </w:r>
      <w:r>
        <w:t xml:space="preserve"> of the Communications Act and the Commission’s rules requiring it to designate an agent for service</w:t>
      </w:r>
      <w:r w:rsidR="009766D1">
        <w:t xml:space="preserve"> after receiving its authorization on October 27, 2009</w:t>
      </w:r>
      <w:r>
        <w:t>.</w:t>
      </w:r>
      <w:r>
        <w:rPr>
          <w:rStyle w:val="FootnoteReference"/>
        </w:rPr>
        <w:footnoteReference w:id="21"/>
      </w:r>
      <w:r w:rsidR="00DC7CAC">
        <w:t xml:space="preserve"> </w:t>
      </w:r>
      <w:r w:rsidR="004B4DC7">
        <w:t xml:space="preserve"> </w:t>
      </w:r>
      <w:r w:rsidR="004B4DC7" w:rsidRPr="004B4DC7">
        <w:rPr>
          <w:rFonts w:eastAsiaTheme="minorHAnsi"/>
          <w:snapToGrid/>
        </w:rPr>
        <w:t>Finally,</w:t>
      </w:r>
      <w:r w:rsidR="004B4DC7">
        <w:rPr>
          <w:rFonts w:eastAsiaTheme="minorHAnsi"/>
          <w:snapToGrid/>
        </w:rPr>
        <w:t xml:space="preserve"> as part of its authorization, ACT</w:t>
      </w:r>
      <w:r w:rsidR="004B4DC7" w:rsidRPr="004B4DC7">
        <w:rPr>
          <w:rFonts w:eastAsiaTheme="minorHAnsi"/>
          <w:snapToGrid/>
        </w:rPr>
        <w:t xml:space="preserve"> “must file annual international telecommunications traffic and revenue as required by § 43.62.”</w:t>
      </w:r>
      <w:r w:rsidR="004B4DC7" w:rsidRPr="004B4DC7">
        <w:rPr>
          <w:rFonts w:eastAsiaTheme="minorHAnsi"/>
          <w:snapToGrid/>
          <w:sz w:val="20"/>
          <w:vertAlign w:val="superscript"/>
        </w:rPr>
        <w:footnoteReference w:id="22"/>
      </w:r>
      <w:r w:rsidR="004B4DC7" w:rsidRPr="004B4DC7">
        <w:rPr>
          <w:rFonts w:eastAsiaTheme="minorHAnsi"/>
          <w:snapToGrid/>
        </w:rPr>
        <w:t xml:space="preserve">  Sect</w:t>
      </w:r>
      <w:r w:rsidR="004B4DC7" w:rsidRPr="004B4DC7">
        <w:t xml:space="preserve">ion 43.62(b) states that “[n]ot later than July 31 of each year, each person or entity that holds an authorization pursuant to section 214 to provide international telecommunications service shall report </w:t>
      </w:r>
      <w:r w:rsidR="004B4DC7" w:rsidRPr="004B4DC7">
        <w:rPr>
          <w:i/>
        </w:rPr>
        <w:t>whether</w:t>
      </w:r>
      <w:r w:rsidR="004B4DC7" w:rsidRPr="004B4DC7">
        <w:t xml:space="preserve"> it provided international telecommunications services during the preceding calendar year.”</w:t>
      </w:r>
      <w:r w:rsidR="004B4DC7" w:rsidRPr="004B4DC7">
        <w:rPr>
          <w:sz w:val="20"/>
          <w:vertAlign w:val="superscript"/>
        </w:rPr>
        <w:footnoteReference w:id="23"/>
      </w:r>
      <w:r w:rsidR="004B4DC7" w:rsidRPr="004B4DC7">
        <w:t xml:space="preserve">  Our records indicate that </w:t>
      </w:r>
      <w:r w:rsidR="004B4DC7">
        <w:t>ACT</w:t>
      </w:r>
      <w:r w:rsidR="004B4DC7" w:rsidRPr="004B4DC7">
        <w:t xml:space="preserve"> failed to file an annual international telecommunications traffic and revenue report indicating whether or not </w:t>
      </w:r>
      <w:r w:rsidR="008B739A">
        <w:t xml:space="preserve">ACT </w:t>
      </w:r>
      <w:r w:rsidR="004B4DC7" w:rsidRPr="004B4DC7">
        <w:t>provided services in 2014, as required by section 43.62(b) of the Commission’s rules.</w:t>
      </w:r>
      <w:r w:rsidR="000B77C2">
        <w:rPr>
          <w:rStyle w:val="FootnoteReference"/>
        </w:rPr>
        <w:footnoteReference w:id="24"/>
      </w:r>
      <w:r w:rsidR="004B4DC7" w:rsidRPr="004B4DC7">
        <w:t xml:space="preserve">  </w:t>
      </w:r>
      <w:r w:rsidR="00DC7CAC">
        <w:t>In these circumstances, and in light of ACT’s failure to respond to the Commission’s rules designed to ensure its ability to communicate with the holder of the authorization also warrants</w:t>
      </w:r>
      <w:r w:rsidR="00B50A08">
        <w:t xml:space="preserve"> termination wholly apart from demonstrating ACT’s inability to satisfy the LOA conditions of its authorization.</w:t>
      </w:r>
      <w:r w:rsidR="004B4DC7">
        <w:t xml:space="preserve">  </w:t>
      </w:r>
    </w:p>
    <w:p w14:paraId="3B82B778" w14:textId="77777777" w:rsidR="00EC34DF" w:rsidRDefault="00EC34DF">
      <w:pPr>
        <w:widowControl/>
      </w:pPr>
      <w:r>
        <w:br w:type="page"/>
      </w:r>
    </w:p>
    <w:p w14:paraId="11FC0FF3" w14:textId="77777777" w:rsidR="000A1DDD" w:rsidRPr="00680B2A" w:rsidRDefault="000A1DDD" w:rsidP="00DF25B7">
      <w:pPr>
        <w:pStyle w:val="Heading1"/>
      </w:pPr>
      <w:r w:rsidRPr="00DF25B7">
        <w:t>ORDERING</w:t>
      </w:r>
      <w:r w:rsidRPr="00680B2A">
        <w:t xml:space="preserve"> CLAUSES</w:t>
      </w:r>
    </w:p>
    <w:p w14:paraId="061E2CD3" w14:textId="7405E535" w:rsidR="004B4DC7" w:rsidRPr="004B4DC7" w:rsidRDefault="004B4DC7" w:rsidP="005138EC">
      <w:pPr>
        <w:pStyle w:val="ParaNum"/>
        <w:rPr>
          <w:rFonts w:eastAsiaTheme="minorHAnsi"/>
          <w:snapToGrid/>
        </w:rPr>
      </w:pPr>
      <w:r w:rsidRPr="004B4DC7">
        <w:rPr>
          <w:rFonts w:eastAsiaTheme="minorHAnsi"/>
          <w:snapToGrid/>
        </w:rPr>
        <w:t>Accordingly, IT IS ORDERED, pursuant to sections 4(i), 214, and 413 of the Communications Act of 1934, as amended, 47 U.S.C. §§ 154(i), 214, 413,  and sections 1.47(h), 43.62, 63.18, 63.21, 63.22(h), 63.23(e), and 64.1195 of the Commission’s rules, 47 CFR §§ 1.47(h), 43.62, 63.18, 63.21, 63.22(h), 63.23(e), 64.1195, that the international 214 authorization issued under File No. ITC-214-200</w:t>
      </w:r>
      <w:r w:rsidR="006170A9">
        <w:rPr>
          <w:rFonts w:eastAsiaTheme="minorHAnsi"/>
          <w:snapToGrid/>
        </w:rPr>
        <w:t>81201</w:t>
      </w:r>
      <w:r w:rsidRPr="004B4DC7">
        <w:rPr>
          <w:rFonts w:eastAsiaTheme="minorHAnsi"/>
          <w:snapToGrid/>
        </w:rPr>
        <w:t>-00</w:t>
      </w:r>
      <w:r w:rsidR="006170A9">
        <w:rPr>
          <w:rFonts w:eastAsiaTheme="minorHAnsi"/>
          <w:snapToGrid/>
        </w:rPr>
        <w:t>519</w:t>
      </w:r>
      <w:r w:rsidRPr="004B4DC7">
        <w:rPr>
          <w:rFonts w:eastAsiaTheme="minorHAnsi"/>
          <w:snapToGrid/>
        </w:rPr>
        <w:t xml:space="preserve"> IS HEREBY TERMINATED AND DECLARED NULL AND VOID.</w:t>
      </w:r>
    </w:p>
    <w:p w14:paraId="4692063F" w14:textId="21288127" w:rsidR="00B50A08" w:rsidRPr="00982F02" w:rsidRDefault="00B50A08" w:rsidP="00B1282B">
      <w:pPr>
        <w:pStyle w:val="ParaNum"/>
        <w:rPr>
          <w:szCs w:val="22"/>
        </w:rPr>
      </w:pPr>
      <w:r>
        <w:rPr>
          <w:szCs w:val="22"/>
        </w:rPr>
        <w:t xml:space="preserve">IT IS </w:t>
      </w:r>
      <w:r w:rsidRPr="004B4DC7">
        <w:t>FURTHER</w:t>
      </w:r>
      <w:r>
        <w:rPr>
          <w:szCs w:val="22"/>
        </w:rPr>
        <w:t xml:space="preserve"> ORDERED that the request of the U.S. Department of Justice, concurred </w:t>
      </w:r>
      <w:r w:rsidR="00C04FC0">
        <w:rPr>
          <w:szCs w:val="22"/>
        </w:rPr>
        <w:t xml:space="preserve">in </w:t>
      </w:r>
      <w:r>
        <w:rPr>
          <w:szCs w:val="22"/>
        </w:rPr>
        <w:t>by the U.S. Department of Homeland Security</w:t>
      </w:r>
      <w:r w:rsidR="00827F87">
        <w:rPr>
          <w:szCs w:val="22"/>
        </w:rPr>
        <w:t>, IS HEREBY GRANTED, to the extent set forth in this Order.</w:t>
      </w:r>
    </w:p>
    <w:p w14:paraId="2C333A55" w14:textId="53D32CCC" w:rsidR="00982F02" w:rsidRDefault="00982F02" w:rsidP="00B1282B">
      <w:pPr>
        <w:pStyle w:val="ParaNum"/>
        <w:rPr>
          <w:kern w:val="22"/>
          <w:szCs w:val="22"/>
        </w:rPr>
      </w:pPr>
      <w:r w:rsidRPr="0013167C">
        <w:rPr>
          <w:kern w:val="22"/>
          <w:szCs w:val="22"/>
        </w:rPr>
        <w:t xml:space="preserve">IT IS FURTHER ORDERED that a copy of this Order shall be sent by </w:t>
      </w:r>
      <w:r w:rsidR="00827F87">
        <w:rPr>
          <w:kern w:val="22"/>
          <w:szCs w:val="22"/>
        </w:rPr>
        <w:t>r</w:t>
      </w:r>
      <w:r w:rsidR="004D4F5B">
        <w:rPr>
          <w:kern w:val="22"/>
          <w:szCs w:val="22"/>
        </w:rPr>
        <w:t>eturn receipt</w:t>
      </w:r>
      <w:r w:rsidR="00827F87">
        <w:rPr>
          <w:kern w:val="22"/>
          <w:szCs w:val="22"/>
        </w:rPr>
        <w:t xml:space="preserve"> requested</w:t>
      </w:r>
      <w:r w:rsidRPr="0013167C">
        <w:rPr>
          <w:kern w:val="22"/>
          <w:szCs w:val="22"/>
        </w:rPr>
        <w:t xml:space="preserve"> to </w:t>
      </w:r>
      <w:r w:rsidR="003308C2">
        <w:rPr>
          <w:kern w:val="22"/>
          <w:szCs w:val="22"/>
        </w:rPr>
        <w:t>A</w:t>
      </w:r>
      <w:r w:rsidR="00E61E90">
        <w:rPr>
          <w:kern w:val="22"/>
          <w:szCs w:val="22"/>
        </w:rPr>
        <w:t>CT</w:t>
      </w:r>
      <w:r w:rsidR="003308C2">
        <w:rPr>
          <w:szCs w:val="22"/>
        </w:rPr>
        <w:t xml:space="preserve"> Telecommunications,</w:t>
      </w:r>
      <w:r w:rsidRPr="0013167C">
        <w:rPr>
          <w:kern w:val="22"/>
          <w:szCs w:val="22"/>
        </w:rPr>
        <w:t xml:space="preserve"> Inc.</w:t>
      </w:r>
      <w:r w:rsidR="00827F87">
        <w:rPr>
          <w:kern w:val="22"/>
          <w:szCs w:val="22"/>
        </w:rPr>
        <w:t xml:space="preserve"> at its last known addresses</w:t>
      </w:r>
      <w:r w:rsidR="002C304C">
        <w:rPr>
          <w:kern w:val="22"/>
          <w:szCs w:val="22"/>
        </w:rPr>
        <w:t>.</w:t>
      </w:r>
    </w:p>
    <w:p w14:paraId="44519204" w14:textId="77777777" w:rsidR="00982F02" w:rsidRPr="0013167C" w:rsidRDefault="00982F02" w:rsidP="000279B9">
      <w:pPr>
        <w:pStyle w:val="ParaNum"/>
        <w:rPr>
          <w:kern w:val="22"/>
          <w:szCs w:val="22"/>
        </w:rPr>
      </w:pPr>
      <w:r w:rsidRPr="0013167C">
        <w:rPr>
          <w:kern w:val="22"/>
          <w:szCs w:val="22"/>
        </w:rPr>
        <w:t xml:space="preserve">IT IS </w:t>
      </w:r>
      <w:r w:rsidRPr="00DF25B7">
        <w:rPr>
          <w:szCs w:val="22"/>
        </w:rPr>
        <w:t>FURTHER</w:t>
      </w:r>
      <w:r w:rsidRPr="0013167C">
        <w:rPr>
          <w:kern w:val="22"/>
          <w:szCs w:val="22"/>
        </w:rPr>
        <w:t xml:space="preserve"> ORDERED that a copy of this Order, or a summary thereof, shall be published in the Federal Register.</w:t>
      </w:r>
    </w:p>
    <w:p w14:paraId="1E835DDC" w14:textId="77777777" w:rsidR="00A37C55" w:rsidRDefault="003D35FE" w:rsidP="00A37C55">
      <w:pPr>
        <w:pStyle w:val="ParaNum"/>
        <w:rPr>
          <w:kern w:val="22"/>
          <w:szCs w:val="22"/>
        </w:rPr>
      </w:pPr>
      <w:r>
        <w:rPr>
          <w:rFonts w:eastAsiaTheme="minorEastAsia"/>
        </w:rPr>
        <w:t xml:space="preserve">This Order is issued on delegated authority under 47 C.F.R. §§ 0.51, 0.261, and is effective upon release.  Petitions for reconsideration </w:t>
      </w:r>
      <w:r w:rsidRPr="003D35FE">
        <w:rPr>
          <w:szCs w:val="22"/>
        </w:rPr>
        <w:t>under</w:t>
      </w:r>
      <w:r>
        <w:rPr>
          <w:rFonts w:eastAsiaTheme="minorEastAsia"/>
        </w:rPr>
        <w:t xml:space="preserve"> </w:t>
      </w:r>
      <w:r w:rsidRPr="003D35FE">
        <w:rPr>
          <w:szCs w:val="22"/>
        </w:rPr>
        <w:t>section</w:t>
      </w:r>
      <w:r>
        <w:rPr>
          <w:rFonts w:eastAsiaTheme="minorEastAsia"/>
        </w:rPr>
        <w:t xml:space="preserve"> 1.106 of the Commission’s rules, 47 C.F.R. § 1.106, or applications for review under section 1.115 of the Commission’s rules, 47 C.F.R. § 1.115, may be filed within 30 days of the date of the release of this Order</w:t>
      </w:r>
      <w:r w:rsidR="000A1DDD" w:rsidRPr="00680B2A">
        <w:rPr>
          <w:kern w:val="22"/>
          <w:szCs w:val="22"/>
        </w:rPr>
        <w:tab/>
      </w:r>
    </w:p>
    <w:p w14:paraId="3263D471" w14:textId="30B47F30" w:rsidR="0089232A" w:rsidRDefault="000A1DDD" w:rsidP="00A37C55">
      <w:pPr>
        <w:pStyle w:val="ParaNum"/>
        <w:numPr>
          <w:ilvl w:val="0"/>
          <w:numId w:val="0"/>
        </w:numPr>
        <w:ind w:left="720"/>
        <w:rPr>
          <w:kern w:val="22"/>
          <w:szCs w:val="22"/>
        </w:rPr>
      </w:pPr>
      <w:r w:rsidRPr="00680B2A">
        <w:rPr>
          <w:kern w:val="22"/>
          <w:szCs w:val="22"/>
        </w:rPr>
        <w:tab/>
      </w:r>
      <w:r w:rsidRPr="00680B2A">
        <w:rPr>
          <w:kern w:val="22"/>
          <w:szCs w:val="22"/>
        </w:rPr>
        <w:tab/>
      </w:r>
    </w:p>
    <w:p w14:paraId="4AEA936A" w14:textId="3BF05BD2" w:rsidR="000A1DDD" w:rsidRPr="00680B2A" w:rsidRDefault="0089232A">
      <w:pPr>
        <w:tabs>
          <w:tab w:val="left" w:pos="0"/>
        </w:tabs>
        <w:suppressAutoHyphens/>
        <w:ind w:firstLine="720"/>
        <w:jc w:val="both"/>
        <w:rPr>
          <w:kern w:val="22"/>
          <w:szCs w:val="22"/>
        </w:rPr>
      </w:pPr>
      <w:r>
        <w:rPr>
          <w:kern w:val="22"/>
          <w:szCs w:val="22"/>
        </w:rPr>
        <w:tab/>
      </w:r>
      <w:r>
        <w:rPr>
          <w:kern w:val="22"/>
          <w:szCs w:val="22"/>
        </w:rPr>
        <w:tab/>
      </w:r>
      <w:r>
        <w:rPr>
          <w:kern w:val="22"/>
          <w:szCs w:val="22"/>
        </w:rPr>
        <w:tab/>
      </w:r>
      <w:r>
        <w:rPr>
          <w:kern w:val="22"/>
          <w:szCs w:val="22"/>
        </w:rPr>
        <w:tab/>
      </w:r>
      <w:r w:rsidR="000A1DDD" w:rsidRPr="00680B2A">
        <w:rPr>
          <w:kern w:val="22"/>
          <w:szCs w:val="22"/>
        </w:rPr>
        <w:t>FEDERAL COMMUNICATIONS COMMISSION</w:t>
      </w:r>
    </w:p>
    <w:p w14:paraId="242620CD" w14:textId="77777777" w:rsidR="000A1DDD" w:rsidRPr="00680B2A" w:rsidRDefault="000A1DDD">
      <w:pPr>
        <w:tabs>
          <w:tab w:val="left" w:pos="0"/>
        </w:tabs>
        <w:suppressAutoHyphens/>
        <w:jc w:val="both"/>
        <w:rPr>
          <w:kern w:val="22"/>
          <w:szCs w:val="22"/>
        </w:rPr>
      </w:pPr>
    </w:p>
    <w:p w14:paraId="65C52366" w14:textId="77777777" w:rsidR="000A1DDD" w:rsidRPr="00680B2A" w:rsidRDefault="000A1DDD">
      <w:pPr>
        <w:tabs>
          <w:tab w:val="left" w:pos="0"/>
        </w:tabs>
        <w:suppressAutoHyphens/>
        <w:jc w:val="both"/>
        <w:rPr>
          <w:kern w:val="22"/>
          <w:szCs w:val="22"/>
        </w:rPr>
      </w:pPr>
    </w:p>
    <w:p w14:paraId="56EBF278" w14:textId="77777777" w:rsidR="000A1DDD" w:rsidRPr="00680B2A" w:rsidRDefault="000A1DDD">
      <w:pPr>
        <w:tabs>
          <w:tab w:val="left" w:pos="0"/>
        </w:tabs>
        <w:suppressAutoHyphens/>
        <w:jc w:val="both"/>
        <w:rPr>
          <w:kern w:val="22"/>
          <w:szCs w:val="22"/>
        </w:rPr>
      </w:pPr>
      <w:r w:rsidRPr="00680B2A">
        <w:rPr>
          <w:kern w:val="22"/>
          <w:szCs w:val="22"/>
        </w:rPr>
        <w:tab/>
      </w:r>
    </w:p>
    <w:p w14:paraId="34C1CD72" w14:textId="77777777" w:rsidR="000A1DDD" w:rsidRPr="00680B2A" w:rsidRDefault="000A1DDD">
      <w:pPr>
        <w:tabs>
          <w:tab w:val="left" w:pos="0"/>
        </w:tabs>
        <w:suppressAutoHyphens/>
        <w:jc w:val="both"/>
        <w:rPr>
          <w:kern w:val="22"/>
          <w:szCs w:val="22"/>
        </w:rPr>
      </w:pPr>
      <w:r w:rsidRPr="00680B2A">
        <w:rPr>
          <w:kern w:val="22"/>
          <w:szCs w:val="22"/>
        </w:rPr>
        <w:tab/>
      </w:r>
      <w:r w:rsidRPr="00680B2A">
        <w:rPr>
          <w:kern w:val="22"/>
          <w:szCs w:val="22"/>
        </w:rPr>
        <w:tab/>
      </w:r>
      <w:r w:rsidRPr="00680B2A">
        <w:rPr>
          <w:kern w:val="22"/>
          <w:szCs w:val="22"/>
        </w:rPr>
        <w:tab/>
      </w:r>
      <w:r w:rsidRPr="00680B2A">
        <w:rPr>
          <w:kern w:val="22"/>
          <w:szCs w:val="22"/>
        </w:rPr>
        <w:tab/>
      </w:r>
      <w:r w:rsidRPr="00680B2A">
        <w:rPr>
          <w:kern w:val="22"/>
          <w:szCs w:val="22"/>
        </w:rPr>
        <w:tab/>
      </w:r>
    </w:p>
    <w:p w14:paraId="0720D4A3" w14:textId="77777777" w:rsidR="00A108B5" w:rsidRDefault="00AA42FE" w:rsidP="005138EC">
      <w:pPr>
        <w:pStyle w:val="ParaNum"/>
        <w:widowControl/>
        <w:numPr>
          <w:ilvl w:val="0"/>
          <w:numId w:val="0"/>
        </w:numPr>
        <w:spacing w:after="0"/>
        <w:ind w:left="2880" w:firstLine="720"/>
        <w:rPr>
          <w:kern w:val="22"/>
          <w:szCs w:val="22"/>
        </w:rPr>
      </w:pPr>
      <w:r>
        <w:rPr>
          <w:kern w:val="22"/>
          <w:szCs w:val="22"/>
        </w:rPr>
        <w:t>Denise Coca</w:t>
      </w:r>
    </w:p>
    <w:p w14:paraId="5E490DE2" w14:textId="58540149" w:rsidR="00A108B5" w:rsidRDefault="00A108B5" w:rsidP="005138EC">
      <w:pPr>
        <w:pStyle w:val="ParaNum"/>
        <w:widowControl/>
        <w:numPr>
          <w:ilvl w:val="0"/>
          <w:numId w:val="0"/>
        </w:numPr>
        <w:spacing w:after="0"/>
        <w:ind w:left="2880" w:firstLine="720"/>
        <w:rPr>
          <w:kern w:val="22"/>
          <w:szCs w:val="22"/>
        </w:rPr>
      </w:pPr>
      <w:r>
        <w:rPr>
          <w:kern w:val="22"/>
          <w:szCs w:val="22"/>
        </w:rPr>
        <w:t xml:space="preserve">Chief, </w:t>
      </w:r>
      <w:r w:rsidR="008B739A">
        <w:rPr>
          <w:kern w:val="22"/>
          <w:szCs w:val="22"/>
        </w:rPr>
        <w:t xml:space="preserve">Telecommunications and Analysis </w:t>
      </w:r>
      <w:r w:rsidR="00AA42FE">
        <w:rPr>
          <w:kern w:val="22"/>
          <w:szCs w:val="22"/>
        </w:rPr>
        <w:t>Division</w:t>
      </w:r>
      <w:r>
        <w:rPr>
          <w:kern w:val="22"/>
          <w:szCs w:val="22"/>
        </w:rPr>
        <w:t xml:space="preserve"> </w:t>
      </w:r>
    </w:p>
    <w:p w14:paraId="58892794" w14:textId="33A67CA1" w:rsidR="000A1DDD" w:rsidRPr="00680B2A" w:rsidRDefault="00E563EF" w:rsidP="005138EC">
      <w:pPr>
        <w:pStyle w:val="ParaNum"/>
        <w:widowControl/>
        <w:numPr>
          <w:ilvl w:val="0"/>
          <w:numId w:val="0"/>
        </w:numPr>
        <w:spacing w:after="0"/>
        <w:ind w:left="2880" w:firstLine="720"/>
        <w:rPr>
          <w:kern w:val="22"/>
          <w:szCs w:val="22"/>
        </w:rPr>
      </w:pPr>
      <w:r w:rsidRPr="00680B2A">
        <w:rPr>
          <w:kern w:val="22"/>
          <w:szCs w:val="22"/>
        </w:rPr>
        <w:t>International Bureau</w:t>
      </w:r>
    </w:p>
    <w:p w14:paraId="20C046B0" w14:textId="77777777" w:rsidR="0032648B" w:rsidRPr="00680B2A" w:rsidRDefault="0032648B" w:rsidP="000705C8">
      <w:pPr>
        <w:pStyle w:val="ParaNum"/>
        <w:widowControl/>
        <w:numPr>
          <w:ilvl w:val="0"/>
          <w:numId w:val="0"/>
        </w:numPr>
        <w:ind w:left="2880" w:firstLine="720"/>
        <w:rPr>
          <w:kern w:val="22"/>
          <w:szCs w:val="22"/>
        </w:rPr>
      </w:pPr>
      <w:r w:rsidRPr="00680B2A">
        <w:rPr>
          <w:kern w:val="22"/>
          <w:szCs w:val="22"/>
        </w:rPr>
        <w:tab/>
      </w:r>
    </w:p>
    <w:sectPr w:rsidR="0032648B" w:rsidRPr="00680B2A">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963D9" w14:textId="77777777" w:rsidR="002E5C2D" w:rsidRDefault="002E5C2D">
      <w:r>
        <w:separator/>
      </w:r>
    </w:p>
  </w:endnote>
  <w:endnote w:type="continuationSeparator" w:id="0">
    <w:p w14:paraId="0E8650C1" w14:textId="77777777" w:rsidR="002E5C2D" w:rsidRDefault="002E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7179" w14:textId="77777777" w:rsidR="00B50A08" w:rsidRDefault="00B50A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5762666" w14:textId="77777777" w:rsidR="00B50A08" w:rsidRDefault="00B50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973DB" w14:textId="77777777" w:rsidR="00B50A08" w:rsidRDefault="00B50A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2D29">
      <w:rPr>
        <w:rStyle w:val="PageNumber"/>
        <w:noProof/>
      </w:rPr>
      <w:t>2</w:t>
    </w:r>
    <w:r>
      <w:rPr>
        <w:rStyle w:val="PageNumber"/>
      </w:rPr>
      <w:fldChar w:fldCharType="end"/>
    </w:r>
  </w:p>
  <w:p w14:paraId="0F3E87AE" w14:textId="77777777" w:rsidR="00B50A08" w:rsidRDefault="00B50A08">
    <w:pPr>
      <w:pStyle w:val="Footer"/>
    </w:pPr>
  </w:p>
  <w:p w14:paraId="6CE7E012" w14:textId="77777777" w:rsidR="00B50A08" w:rsidRDefault="00B50A08">
    <w:pPr>
      <w:pStyle w:val="Header"/>
    </w:pPr>
    <w:r>
      <w:rPr>
        <w:rFonts w:ascii="Arial" w:hAnsi="Arial" w:cs="Arial"/>
        <w:szCs w:val="22"/>
      </w:rPr>
      <w:tab/>
    </w:r>
  </w:p>
  <w:p w14:paraId="168C05C8" w14:textId="77777777" w:rsidR="00B50A08" w:rsidRDefault="00B50A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7E7F8" w14:textId="77777777" w:rsidR="00B50A08" w:rsidRDefault="00B50A08">
    <w:pPr>
      <w:pStyle w:val="Header"/>
    </w:pPr>
    <w:r>
      <w:rPr>
        <w:rFonts w:ascii="Arial" w:hAnsi="Arial" w:cs="Arial"/>
        <w:szCs w:val="22"/>
      </w:rPr>
      <w:tab/>
    </w:r>
  </w:p>
  <w:p w14:paraId="76CADD79" w14:textId="77777777" w:rsidR="00B50A08" w:rsidRDefault="00B50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6CF0C" w14:textId="77777777" w:rsidR="002E5C2D" w:rsidRDefault="002E5C2D">
      <w:r>
        <w:separator/>
      </w:r>
    </w:p>
  </w:footnote>
  <w:footnote w:type="continuationSeparator" w:id="0">
    <w:p w14:paraId="2BBEB94D" w14:textId="77777777" w:rsidR="002E5C2D" w:rsidRDefault="002E5C2D">
      <w:r>
        <w:continuationSeparator/>
      </w:r>
    </w:p>
  </w:footnote>
  <w:footnote w:id="1">
    <w:p w14:paraId="0FE8DD13" w14:textId="589FAD10" w:rsidR="005138EC" w:rsidRPr="00DE052E" w:rsidRDefault="005138EC" w:rsidP="005138EC">
      <w:pPr>
        <w:pStyle w:val="FootnoteText"/>
      </w:pPr>
      <w:r w:rsidRPr="00DE052E">
        <w:rPr>
          <w:rStyle w:val="FootnoteReference"/>
        </w:rPr>
        <w:footnoteRef/>
      </w:r>
      <w:r w:rsidRPr="00DE052E">
        <w:t xml:space="preserve"> The International Bureau granted ACT’s authorization under File No. ITC-214-20081201-00519.  </w:t>
      </w:r>
      <w:r w:rsidRPr="00DE052E">
        <w:rPr>
          <w:i/>
        </w:rPr>
        <w:t>International Authorizations Granted</w:t>
      </w:r>
      <w:r w:rsidRPr="00DE052E">
        <w:t xml:space="preserve">, </w:t>
      </w:r>
      <w:r w:rsidR="000D1385" w:rsidRPr="00DE052E">
        <w:rPr>
          <w:i/>
        </w:rPr>
        <w:t>Section 214 Applications (47 C.F.R. § 63.18); Section 310(b)(4) Requests</w:t>
      </w:r>
      <w:r w:rsidR="000D1385" w:rsidRPr="00DE052E">
        <w:t xml:space="preserve">, </w:t>
      </w:r>
      <w:r w:rsidRPr="00DE052E">
        <w:t>Report No. TEL-01393, Public Notice, 24 FCC Rcd 13364, 13364 (IB 2009) (</w:t>
      </w:r>
      <w:r w:rsidRPr="00DE052E">
        <w:rPr>
          <w:i/>
        </w:rPr>
        <w:t>ACT International Section 214 Authorization</w:t>
      </w:r>
      <w:r w:rsidRPr="00DE052E">
        <w:t xml:space="preserve">), http://licensing.fcc.gov/ibfsweb/ib.page.FetchPN?report_key=773296. </w:t>
      </w:r>
    </w:p>
  </w:footnote>
  <w:footnote w:id="2">
    <w:p w14:paraId="5837EB1A" w14:textId="0BE13F84" w:rsidR="00B50A08" w:rsidRPr="00DE052E" w:rsidRDefault="00B50A08">
      <w:pPr>
        <w:pStyle w:val="FootnoteText"/>
      </w:pPr>
      <w:r w:rsidRPr="00DE052E">
        <w:rPr>
          <w:rStyle w:val="FootnoteReference"/>
        </w:rPr>
        <w:footnoteRef/>
      </w:r>
      <w:r w:rsidRPr="00DE052E">
        <w:t xml:space="preserve"> 47 U.S.C. § 214(a); 47 CFR § 63.18 (stating any carrier seeking section 214 authority “for the provision of common carrier communications services between the United States, its territories or possessions, and a foreign point shall request such authority by formal application”).  The Commission granted “blanket” section 214 authority to carriers providing domestic service but </w:t>
      </w:r>
      <w:r w:rsidR="00A108B5" w:rsidRPr="00DE052E">
        <w:t>did</w:t>
      </w:r>
      <w:r w:rsidRPr="00DE052E">
        <w:t xml:space="preserve"> not extend </w:t>
      </w:r>
      <w:r w:rsidR="00A108B5" w:rsidRPr="00DE052E">
        <w:t xml:space="preserve">this </w:t>
      </w:r>
      <w:r w:rsidR="001E51BD" w:rsidRPr="00DE052E">
        <w:t xml:space="preserve">authority </w:t>
      </w:r>
      <w:r w:rsidRPr="00DE052E">
        <w:t xml:space="preserve">to international services. </w:t>
      </w:r>
      <w:r w:rsidR="001E51BD" w:rsidRPr="00DE052E">
        <w:t xml:space="preserve"> </w:t>
      </w:r>
      <w:r w:rsidRPr="00DE052E">
        <w:rPr>
          <w:i/>
        </w:rPr>
        <w:t>Implementation of Section 402(b)(2)(A) of the Telecommunications Act of 1996,</w:t>
      </w:r>
      <w:r w:rsidRPr="00DE052E">
        <w:t xml:space="preserve"> </w:t>
      </w:r>
      <w:r w:rsidR="001E51BD" w:rsidRPr="00DE052E">
        <w:t xml:space="preserve">CC Docket No. 97-11, </w:t>
      </w:r>
      <w:r w:rsidR="00973D10" w:rsidRPr="00DE052E">
        <w:t xml:space="preserve">AAD File No. 98-43, </w:t>
      </w:r>
      <w:r w:rsidRPr="00DE052E">
        <w:t>Report and Order</w:t>
      </w:r>
      <w:r w:rsidR="001E51BD" w:rsidRPr="00DE052E">
        <w:t>,</w:t>
      </w:r>
      <w:r w:rsidRPr="00DE052E">
        <w:t xml:space="preserve"> Second Memorandum Opinion and Order</w:t>
      </w:r>
      <w:r w:rsidR="001E51BD" w:rsidRPr="00DE052E">
        <w:t xml:space="preserve">, </w:t>
      </w:r>
      <w:r w:rsidRPr="00DE052E">
        <w:t xml:space="preserve">14 FCC Rcd 11364, </w:t>
      </w:r>
      <w:r w:rsidR="001E51BD" w:rsidRPr="00DE052E">
        <w:t xml:space="preserve">11365-66, </w:t>
      </w:r>
      <w:r w:rsidRPr="00DE052E">
        <w:t xml:space="preserve">para. 2 &amp; n.8 (1999). </w:t>
      </w:r>
    </w:p>
  </w:footnote>
  <w:footnote w:id="3">
    <w:p w14:paraId="4799EAEE" w14:textId="31B09571" w:rsidR="00B50A08" w:rsidRPr="00DE052E" w:rsidRDefault="00B50A08">
      <w:pPr>
        <w:pStyle w:val="FootnoteText"/>
      </w:pPr>
      <w:r w:rsidRPr="00DE052E">
        <w:rPr>
          <w:rStyle w:val="FootnoteReference"/>
        </w:rPr>
        <w:footnoteRef/>
      </w:r>
      <w:r w:rsidRPr="00DE052E">
        <w:t xml:space="preserve"> 47 U.S.C. § 214(c).</w:t>
      </w:r>
    </w:p>
  </w:footnote>
  <w:footnote w:id="4">
    <w:p w14:paraId="74431C55" w14:textId="3F792BA7" w:rsidR="00B50A08" w:rsidRPr="00DE052E" w:rsidRDefault="00B50A08" w:rsidP="007507EC">
      <w:pPr>
        <w:pStyle w:val="FootnoteText"/>
      </w:pPr>
      <w:r w:rsidRPr="00DE052E">
        <w:rPr>
          <w:rStyle w:val="FootnoteReference"/>
        </w:rPr>
        <w:footnoteRef/>
      </w:r>
      <w:r w:rsidRPr="00DE052E">
        <w:t xml:space="preserve"> </w:t>
      </w:r>
      <w:r w:rsidRPr="00DE052E">
        <w:rPr>
          <w:i/>
        </w:rPr>
        <w:t xml:space="preserve">ACT International Section 214 Authorization, </w:t>
      </w:r>
      <w:r w:rsidRPr="00DE052E">
        <w:t>24 FCC Rcd at</w:t>
      </w:r>
      <w:r w:rsidRPr="00DE052E">
        <w:rPr>
          <w:i/>
        </w:rPr>
        <w:t xml:space="preserve"> </w:t>
      </w:r>
      <w:r w:rsidRPr="00DE052E">
        <w:t xml:space="preserve">13364; </w:t>
      </w:r>
      <w:r w:rsidRPr="00DE052E">
        <w:rPr>
          <w:snapToGrid w:val="0"/>
        </w:rPr>
        <w:t xml:space="preserve">47 CFR § </w:t>
      </w:r>
      <w:r w:rsidRPr="00DE052E">
        <w:rPr>
          <w:szCs w:val="22"/>
        </w:rPr>
        <w:t>63.18(e)</w:t>
      </w:r>
      <w:r w:rsidRPr="00DE052E">
        <w:t>.</w:t>
      </w:r>
    </w:p>
  </w:footnote>
  <w:footnote w:id="5">
    <w:p w14:paraId="4DA2EB8E" w14:textId="7D5659A7" w:rsidR="00B50A08" w:rsidRPr="00DE052E" w:rsidRDefault="00B50A08" w:rsidP="00773E2B">
      <w:pPr>
        <w:pStyle w:val="FootnoteText"/>
      </w:pPr>
      <w:r w:rsidRPr="00DE052E">
        <w:rPr>
          <w:rStyle w:val="FootnoteReference"/>
        </w:rPr>
        <w:footnoteRef/>
      </w:r>
      <w:r w:rsidRPr="00DE052E">
        <w:rPr>
          <w:snapToGrid w:val="0"/>
        </w:rPr>
        <w:t xml:space="preserve"> </w:t>
      </w:r>
      <w:r w:rsidRPr="00DE052E">
        <w:t xml:space="preserve">Petition </w:t>
      </w:r>
      <w:r w:rsidR="002B043B" w:rsidRPr="00DE052E">
        <w:t xml:space="preserve">of DHS and DOJ </w:t>
      </w:r>
      <w:r w:rsidRPr="00DE052E">
        <w:t xml:space="preserve">to Adopt Conditions to Authorizations and Licenses, File No. </w:t>
      </w:r>
      <w:r w:rsidRPr="00DE052E">
        <w:rPr>
          <w:szCs w:val="22"/>
        </w:rPr>
        <w:t>ITC-214-20081201-00519</w:t>
      </w:r>
      <w:r w:rsidRPr="00DE052E">
        <w:t xml:space="preserve"> (filed Oct</w:t>
      </w:r>
      <w:r w:rsidR="00D437DC" w:rsidRPr="00DE052E">
        <w:t>.</w:t>
      </w:r>
      <w:r w:rsidRPr="00DE052E">
        <w:t xml:space="preserve"> 27, 2009) (</w:t>
      </w:r>
      <w:r w:rsidR="00D437DC" w:rsidRPr="00DE052E">
        <w:t>Petition to Adopt Conditions)</w:t>
      </w:r>
      <w:r w:rsidR="00CD205C" w:rsidRPr="00DE052E">
        <w:t>; Letter from Salomon Doumith, Director, ACT Telecommunications, Inc. to</w:t>
      </w:r>
      <w:r w:rsidR="00773E2B" w:rsidRPr="00DE052E">
        <w:t xml:space="preserve"> Assistant Attorney General National Security Division, D</w:t>
      </w:r>
      <w:r w:rsidR="002B043B" w:rsidRPr="00DE052E">
        <w:t>OJ</w:t>
      </w:r>
      <w:r w:rsidR="00773E2B" w:rsidRPr="00DE052E">
        <w:t xml:space="preserve">, Assistant Secretary for Policy, </w:t>
      </w:r>
      <w:r w:rsidR="002B043B" w:rsidRPr="00DE052E">
        <w:t>DHS</w:t>
      </w:r>
      <w:r w:rsidR="00773E2B" w:rsidRPr="00DE052E">
        <w:t xml:space="preserve"> (Oct</w:t>
      </w:r>
      <w:r w:rsidR="00D60809" w:rsidRPr="00DE052E">
        <w:t>.</w:t>
      </w:r>
      <w:r w:rsidR="00773E2B" w:rsidRPr="00DE052E">
        <w:t xml:space="preserve"> 20, 2009)</w:t>
      </w:r>
      <w:r w:rsidR="002B043B" w:rsidRPr="00DE052E">
        <w:t xml:space="preserve">, </w:t>
      </w:r>
      <w:r w:rsidR="00D437DC" w:rsidRPr="00DE052E">
        <w:t>http://licensing.fcc.gov/cgi-bin/ws.exe/prod/ib/forms/reports/related_filing.hts?f_key=-156783&amp;f_number=ITC2142008120100519.</w:t>
      </w:r>
    </w:p>
  </w:footnote>
  <w:footnote w:id="6">
    <w:p w14:paraId="4C434838" w14:textId="4EAEC579" w:rsidR="004121FC" w:rsidRPr="00DE052E" w:rsidRDefault="004121FC" w:rsidP="004121FC">
      <w:pPr>
        <w:pStyle w:val="FootnoteText"/>
      </w:pPr>
      <w:r w:rsidRPr="00DE052E">
        <w:rPr>
          <w:rStyle w:val="FootnoteReference"/>
        </w:rPr>
        <w:footnoteRef/>
      </w:r>
      <w:r w:rsidRPr="00DE052E">
        <w:t xml:space="preserve"> </w:t>
      </w:r>
      <w:r w:rsidR="00D437DC" w:rsidRPr="00DE052E">
        <w:t xml:space="preserve">LOA </w:t>
      </w:r>
      <w:r w:rsidRPr="00DE052E">
        <w:t>at 2</w:t>
      </w:r>
      <w:r w:rsidR="00733F54" w:rsidRPr="00DE052E">
        <w:t xml:space="preserve">; </w:t>
      </w:r>
      <w:r w:rsidR="00733F54" w:rsidRPr="00DE052E">
        <w:rPr>
          <w:i/>
        </w:rPr>
        <w:t>id</w:t>
      </w:r>
      <w:r w:rsidR="00733F54" w:rsidRPr="00DE052E">
        <w:t xml:space="preserve">. </w:t>
      </w:r>
      <w:r w:rsidRPr="00DE052E">
        <w:t xml:space="preserve">(“ACT agrees that, in the event the commitments set forth in this letter are breached, in addition to any other remedy available at law or equity, DOJ or DHS may request that the FCC modify, condition, revoke, cancel, or render null and void any relevant license, permit, or other authorization granted by the FCC to the Company.”).  </w:t>
      </w:r>
    </w:p>
  </w:footnote>
  <w:footnote w:id="7">
    <w:p w14:paraId="7E337808" w14:textId="45E86E1B" w:rsidR="00B50A08" w:rsidRPr="00DE052E" w:rsidRDefault="00B50A08" w:rsidP="00CF00BE">
      <w:pPr>
        <w:pStyle w:val="FootnoteText"/>
      </w:pPr>
      <w:r w:rsidRPr="00DE052E">
        <w:rPr>
          <w:rStyle w:val="FootnoteReference"/>
        </w:rPr>
        <w:footnoteRef/>
      </w:r>
      <w:r w:rsidRPr="00DE052E">
        <w:t xml:space="preserve"> </w:t>
      </w:r>
      <w:r w:rsidR="00D437DC" w:rsidRPr="00DE052E">
        <w:rPr>
          <w:i/>
        </w:rPr>
        <w:t>Id</w:t>
      </w:r>
      <w:r w:rsidR="00D437DC" w:rsidRPr="00DE052E">
        <w:t>.</w:t>
      </w:r>
      <w:r w:rsidR="00773E2B" w:rsidRPr="00DE052E">
        <w:t xml:space="preserve"> </w:t>
      </w:r>
      <w:r w:rsidRPr="00DE052E">
        <w:t>at 1</w:t>
      </w:r>
      <w:r w:rsidR="00773E2B" w:rsidRPr="00DE052E">
        <w:t xml:space="preserve"> (ACT agree</w:t>
      </w:r>
      <w:r w:rsidR="00CF00BE" w:rsidRPr="00DE052E">
        <w:t>d</w:t>
      </w:r>
      <w:r w:rsidR="00773E2B" w:rsidRPr="00DE052E">
        <w:t xml:space="preserve"> </w:t>
      </w:r>
      <w:r w:rsidR="00CF00BE" w:rsidRPr="00DE052E">
        <w:t>“</w:t>
      </w:r>
      <w:r w:rsidR="00773E2B" w:rsidRPr="00DE052E">
        <w:t>that it will establish and maintain one or more points of contact within the United States with the authority and responsibility for accepting and overseeing compliance with judicial orders authorizing U.S.</w:t>
      </w:r>
      <w:r w:rsidR="00277F8D" w:rsidRPr="00DE052E">
        <w:t xml:space="preserve"> </w:t>
      </w:r>
      <w:r w:rsidR="00773E2B" w:rsidRPr="00DE052E">
        <w:t>law enforcement to conduct electronic surveillance under 18 U.S.C.§ 2510 et seq., and Pen Register and Trap and Trace devices under 18 U.S.C. § 3121 et seq., as well as subpoenas or other lawful demands by U.S. law enforcement authorities for the content of communications or U.S. Records</w:t>
      </w:r>
      <w:r w:rsidR="00CF00BE" w:rsidRPr="00DE052E">
        <w:t>.”)</w:t>
      </w:r>
      <w:r w:rsidR="008A4EDB" w:rsidRPr="00DE052E">
        <w:t>.</w:t>
      </w:r>
      <w:r w:rsidR="00CF00BE" w:rsidRPr="00DE052E">
        <w:t xml:space="preserve"> </w:t>
      </w:r>
    </w:p>
  </w:footnote>
  <w:footnote w:id="8">
    <w:p w14:paraId="1790B5C2" w14:textId="7AC4AC28" w:rsidR="00B50A08" w:rsidRPr="00DE052E" w:rsidRDefault="00B50A08">
      <w:pPr>
        <w:pStyle w:val="FootnoteText"/>
      </w:pPr>
      <w:r w:rsidRPr="00DE052E">
        <w:rPr>
          <w:rStyle w:val="FootnoteReference"/>
        </w:rPr>
        <w:footnoteRef/>
      </w:r>
      <w:r w:rsidRPr="00DE052E">
        <w:t xml:space="preserve"> </w:t>
      </w:r>
      <w:r w:rsidR="00264F1D" w:rsidRPr="00DE052E">
        <w:t xml:space="preserve">Letter from Richard Sofield, Director, Foreign Investment Review Staff, National Security Division, </w:t>
      </w:r>
      <w:r w:rsidR="002B043B" w:rsidRPr="00DE052E">
        <w:t>DOJ</w:t>
      </w:r>
      <w:r w:rsidR="00264F1D" w:rsidRPr="00DE052E">
        <w:t xml:space="preserve"> to Marlene H. Dortch, Secretary, FCC at 1 (filed May 9, 2014) (</w:t>
      </w:r>
      <w:r w:rsidR="00264F1D" w:rsidRPr="00DE052E">
        <w:rPr>
          <w:i/>
        </w:rPr>
        <w:t>May 9, 2014 Executive Branch Letter</w:t>
      </w:r>
      <w:r w:rsidR="00264F1D" w:rsidRPr="00DE052E">
        <w:t xml:space="preserve">), http://licensing.fcc.gov/cgi-bin/ws.exe/prod/ib/forms/reports/related_filing.hts?f_key=-156783&amp;f_number=ITC2142008120100519.  </w:t>
      </w:r>
    </w:p>
  </w:footnote>
  <w:footnote w:id="9">
    <w:p w14:paraId="259987DA" w14:textId="77777777" w:rsidR="00B50A08" w:rsidRPr="00DE052E" w:rsidRDefault="00B50A08">
      <w:pPr>
        <w:pStyle w:val="FootnoteText"/>
      </w:pPr>
      <w:r w:rsidRPr="00DE052E">
        <w:rPr>
          <w:rStyle w:val="FootnoteReference"/>
        </w:rPr>
        <w:footnoteRef/>
      </w:r>
      <w:r w:rsidRPr="00DE052E">
        <w:t xml:space="preserve"> </w:t>
      </w:r>
      <w:r w:rsidRPr="00DE052E">
        <w:rPr>
          <w:i/>
        </w:rPr>
        <w:t>Id</w:t>
      </w:r>
      <w:r w:rsidRPr="00DE052E">
        <w:t xml:space="preserve">. at 1-2. </w:t>
      </w:r>
    </w:p>
  </w:footnote>
  <w:footnote w:id="10">
    <w:p w14:paraId="5D6D9733" w14:textId="153B3849" w:rsidR="00140456" w:rsidRPr="00DE052E" w:rsidRDefault="00140456">
      <w:pPr>
        <w:pStyle w:val="FootnoteText"/>
      </w:pPr>
      <w:r w:rsidRPr="00DE052E">
        <w:rPr>
          <w:rStyle w:val="FootnoteReference"/>
        </w:rPr>
        <w:footnoteRef/>
      </w:r>
      <w:r w:rsidRPr="00DE052E">
        <w:t xml:space="preserve"> </w:t>
      </w:r>
      <w:r w:rsidR="00264F1D" w:rsidRPr="00DE052E">
        <w:rPr>
          <w:i/>
        </w:rPr>
        <w:t>Id</w:t>
      </w:r>
      <w:r w:rsidR="00264F1D" w:rsidRPr="00DE052E">
        <w:t>. at 2.</w:t>
      </w:r>
    </w:p>
  </w:footnote>
  <w:footnote w:id="11">
    <w:p w14:paraId="22A5DF06" w14:textId="5912741B" w:rsidR="00911AF7" w:rsidRPr="00DE052E" w:rsidRDefault="00911AF7">
      <w:pPr>
        <w:pStyle w:val="FootnoteText"/>
        <w:rPr>
          <w:i/>
        </w:rPr>
      </w:pPr>
      <w:r w:rsidRPr="00DE052E">
        <w:rPr>
          <w:rStyle w:val="FootnoteReference"/>
        </w:rPr>
        <w:footnoteRef/>
      </w:r>
      <w:r w:rsidRPr="00DE052E">
        <w:t xml:space="preserve"> </w:t>
      </w:r>
      <w:r w:rsidRPr="00DE052E">
        <w:rPr>
          <w:i/>
        </w:rPr>
        <w:t xml:space="preserve">Id. </w:t>
      </w:r>
    </w:p>
  </w:footnote>
  <w:footnote w:id="12">
    <w:p w14:paraId="0DFD8EC4" w14:textId="19E8BA74" w:rsidR="00B50A08" w:rsidRPr="00DE052E" w:rsidRDefault="00B50A08" w:rsidP="00911AF7">
      <w:pPr>
        <w:pStyle w:val="FootnoteText"/>
      </w:pPr>
      <w:r w:rsidRPr="00DE052E">
        <w:rPr>
          <w:rStyle w:val="FootnoteReference"/>
        </w:rPr>
        <w:footnoteRef/>
      </w:r>
      <w:r w:rsidRPr="00DE052E">
        <w:t xml:space="preserve"> </w:t>
      </w:r>
      <w:r w:rsidRPr="00DE052E">
        <w:rPr>
          <w:i/>
        </w:rPr>
        <w:t>Id</w:t>
      </w:r>
      <w:r w:rsidRPr="00DE052E">
        <w:t xml:space="preserve">. </w:t>
      </w:r>
      <w:r w:rsidR="00264F1D" w:rsidRPr="00DE052E">
        <w:t xml:space="preserve"> </w:t>
      </w:r>
      <w:r w:rsidR="00911AF7" w:rsidRPr="00DE052E">
        <w:t xml:space="preserve">The Executive Branch Agencies added that Mr. </w:t>
      </w:r>
      <w:r w:rsidR="00911AF7" w:rsidRPr="00DE052E">
        <w:rPr>
          <w:szCs w:val="22"/>
        </w:rPr>
        <w:t xml:space="preserve">Fishman copied his September 23, 2013 e-mail message to ACT </w:t>
      </w:r>
      <w:r w:rsidR="008A4EDB" w:rsidRPr="00DE052E">
        <w:rPr>
          <w:szCs w:val="22"/>
        </w:rPr>
        <w:t>and</w:t>
      </w:r>
      <w:r w:rsidR="00911AF7" w:rsidRPr="00DE052E">
        <w:rPr>
          <w:szCs w:val="22"/>
        </w:rPr>
        <w:t xml:space="preserve"> “[a]lthough more than 228 days have passed since the Agencies received Mr. Fishman’s e-mail message, the Agencies have not received a new POC designation from ACT.”  </w:t>
      </w:r>
      <w:r w:rsidRPr="00DE052E">
        <w:rPr>
          <w:i/>
          <w:szCs w:val="22"/>
        </w:rPr>
        <w:t>Id.</w:t>
      </w:r>
      <w:r w:rsidRPr="00DE052E">
        <w:rPr>
          <w:szCs w:val="22"/>
        </w:rPr>
        <w:t xml:space="preserve"> </w:t>
      </w:r>
      <w:r w:rsidR="00920CBF" w:rsidRPr="00DE052E">
        <w:rPr>
          <w:szCs w:val="22"/>
        </w:rPr>
        <w:t xml:space="preserve"> To date, ACT has not designated another POC to the Executive Branch Agencies.  </w:t>
      </w:r>
    </w:p>
  </w:footnote>
  <w:footnote w:id="13">
    <w:p w14:paraId="06A402FB" w14:textId="77777777" w:rsidR="0006031F" w:rsidRPr="00DE052E" w:rsidRDefault="0006031F" w:rsidP="0006031F">
      <w:pPr>
        <w:pStyle w:val="FootnoteText"/>
      </w:pPr>
      <w:r w:rsidRPr="00DE052E">
        <w:rPr>
          <w:rStyle w:val="FootnoteReference"/>
        </w:rPr>
        <w:footnoteRef/>
      </w:r>
      <w:r w:rsidRPr="00DE052E">
        <w:rPr>
          <w:szCs w:val="22"/>
        </w:rPr>
        <w:t xml:space="preserve"> </w:t>
      </w:r>
      <w:r w:rsidRPr="00DE052E">
        <w:rPr>
          <w:i/>
          <w:szCs w:val="22"/>
        </w:rPr>
        <w:t>Id</w:t>
      </w:r>
      <w:r w:rsidRPr="00DE052E">
        <w:rPr>
          <w:szCs w:val="22"/>
        </w:rPr>
        <w:t xml:space="preserve">.  </w:t>
      </w:r>
    </w:p>
  </w:footnote>
  <w:footnote w:id="14">
    <w:p w14:paraId="564B40CC" w14:textId="09B3809C" w:rsidR="00B50A08" w:rsidRPr="00DE052E" w:rsidRDefault="00B50A08">
      <w:pPr>
        <w:pStyle w:val="FootnoteText"/>
      </w:pPr>
      <w:r w:rsidRPr="00DE052E">
        <w:rPr>
          <w:rStyle w:val="FootnoteReference"/>
        </w:rPr>
        <w:footnoteRef/>
      </w:r>
      <w:r w:rsidRPr="00DE052E">
        <w:t xml:space="preserve"> Letter from James L. Ball, Chief, Policy Division, </w:t>
      </w:r>
      <w:r w:rsidR="00B15EEE" w:rsidRPr="00DE052E">
        <w:t xml:space="preserve">FCC International Bureau </w:t>
      </w:r>
      <w:r w:rsidRPr="00DE052E">
        <w:t>to Mr. Salomon Doumith</w:t>
      </w:r>
      <w:r w:rsidR="00B15EEE" w:rsidRPr="00DE052E">
        <w:t xml:space="preserve"> (</w:t>
      </w:r>
      <w:r w:rsidRPr="00DE052E">
        <w:t>May 14, 2014</w:t>
      </w:r>
      <w:r w:rsidR="00B15EEE" w:rsidRPr="00DE052E">
        <w:t>),</w:t>
      </w:r>
      <w:r w:rsidRPr="00DE052E">
        <w:t xml:space="preserve"> http://licensing.fcc.gov/cgi-bin/ws.exe/prod/ib/forms/reports/related_filing.hts?f_key=-156783&amp;f_number=ITC2142008120100519.</w:t>
      </w:r>
    </w:p>
  </w:footnote>
  <w:footnote w:id="15">
    <w:p w14:paraId="2001C055" w14:textId="5D65A84C" w:rsidR="00B50A08" w:rsidRPr="00DE052E" w:rsidRDefault="00B50A08">
      <w:pPr>
        <w:pStyle w:val="FootnoteText"/>
      </w:pPr>
      <w:r w:rsidRPr="00DE052E">
        <w:rPr>
          <w:rStyle w:val="FootnoteReference"/>
        </w:rPr>
        <w:footnoteRef/>
      </w:r>
      <w:r w:rsidRPr="00DE052E">
        <w:t xml:space="preserve"> First, on June 27, 2014, the International Bureau issued a Public Notice providing ACT with the further opportunity to respond to the allegations in the </w:t>
      </w:r>
      <w:r w:rsidRPr="00DE052E">
        <w:rPr>
          <w:i/>
        </w:rPr>
        <w:t>May 9, 2014 Executive Branch Letter</w:t>
      </w:r>
      <w:r w:rsidRPr="00DE052E">
        <w:t xml:space="preserve"> and describing any steps it was taking or would take to resolve the </w:t>
      </w:r>
      <w:r w:rsidR="00BD3ED9" w:rsidRPr="00DE052E">
        <w:t xml:space="preserve">Executive Branch </w:t>
      </w:r>
      <w:r w:rsidRPr="00DE052E">
        <w:t xml:space="preserve">Agencies’ concerns. </w:t>
      </w:r>
      <w:r w:rsidR="00513846" w:rsidRPr="00DE052E">
        <w:t xml:space="preserve"> </w:t>
      </w:r>
      <w:r w:rsidRPr="00DE052E">
        <w:rPr>
          <w:i/>
        </w:rPr>
        <w:t>ACT Telecommunications, Inc. Required to Respond to Request to Terminate its International Section 214 Authorization</w:t>
      </w:r>
      <w:r w:rsidRPr="00DE052E">
        <w:t xml:space="preserve">, File No. ITC-214-20081201-00519, Public Notice, 29 FCC Rcd 7802 (IB 2014). </w:t>
      </w:r>
      <w:r w:rsidR="00513846" w:rsidRPr="00DE052E">
        <w:t xml:space="preserve"> </w:t>
      </w:r>
      <w:r w:rsidRPr="00DE052E">
        <w:t xml:space="preserve">Second, on January 14, 2015, the Bureau released a Public Notice affording ACT its “final notice and opportunity to respond” and </w:t>
      </w:r>
      <w:r w:rsidR="004D53C5" w:rsidRPr="00DE052E">
        <w:t xml:space="preserve">stating </w:t>
      </w:r>
      <w:r w:rsidRPr="00DE052E">
        <w:t xml:space="preserve">that ACT must do so no later than 15 days after publication of notice in the Federal Register. </w:t>
      </w:r>
      <w:r w:rsidR="00513846" w:rsidRPr="00DE052E">
        <w:t xml:space="preserve"> </w:t>
      </w:r>
      <w:r w:rsidRPr="00DE052E">
        <w:rPr>
          <w:i/>
        </w:rPr>
        <w:t>Notice of Intent to Declare the International Section 214 of ACT Telecommunications, Inc. Terminated</w:t>
      </w:r>
      <w:r w:rsidRPr="00DE052E">
        <w:t xml:space="preserve">, File No. </w:t>
      </w:r>
      <w:r w:rsidRPr="00DE052E">
        <w:rPr>
          <w:szCs w:val="22"/>
        </w:rPr>
        <w:t>ITC-214-20081201-00519, 30 FCC Rcd 174 (2015) (</w:t>
      </w:r>
      <w:r w:rsidRPr="00DE052E">
        <w:rPr>
          <w:i/>
          <w:szCs w:val="22"/>
        </w:rPr>
        <w:t>2015 ACT Public Notice</w:t>
      </w:r>
      <w:r w:rsidRPr="00DE052E">
        <w:rPr>
          <w:szCs w:val="22"/>
        </w:rPr>
        <w:t xml:space="preserve">). </w:t>
      </w:r>
      <w:r w:rsidRPr="00DE052E">
        <w:t xml:space="preserve"> Third, on January 14, 2015, the Bureau mailed the </w:t>
      </w:r>
      <w:r w:rsidRPr="00DE052E">
        <w:rPr>
          <w:i/>
        </w:rPr>
        <w:t>2015 A</w:t>
      </w:r>
      <w:r w:rsidR="00BD3ED9" w:rsidRPr="00DE052E">
        <w:rPr>
          <w:i/>
        </w:rPr>
        <w:t>CT</w:t>
      </w:r>
      <w:r w:rsidRPr="00DE052E">
        <w:rPr>
          <w:i/>
        </w:rPr>
        <w:t xml:space="preserve"> Public Notice</w:t>
      </w:r>
      <w:r w:rsidRPr="00DE052E">
        <w:t xml:space="preserve"> to ACT at the </w:t>
      </w:r>
      <w:r w:rsidR="00BD3ED9" w:rsidRPr="00DE052E">
        <w:t>St. John</w:t>
      </w:r>
      <w:r w:rsidR="004D53C5" w:rsidRPr="00DE052E">
        <w:t>’</w:t>
      </w:r>
      <w:r w:rsidR="00BD3ED9" w:rsidRPr="00DE052E">
        <w:t>s, Antigua and Barbuda</w:t>
      </w:r>
      <w:r w:rsidRPr="00DE052E">
        <w:t xml:space="preserve"> address</w:t>
      </w:r>
      <w:r w:rsidR="00BD3ED9" w:rsidRPr="00DE052E">
        <w:t xml:space="preserve"> listed in its 2008 application</w:t>
      </w:r>
      <w:r w:rsidR="005A0781" w:rsidRPr="00DE052E">
        <w:t xml:space="preserve"> and </w:t>
      </w:r>
      <w:r w:rsidR="00BD3ED9" w:rsidRPr="00DE052E">
        <w:t xml:space="preserve">to Mr. Robert Strange Jr. in Houston, Texas, </w:t>
      </w:r>
      <w:r w:rsidR="004D53C5" w:rsidRPr="00DE052E">
        <w:t xml:space="preserve">at the address </w:t>
      </w:r>
      <w:r w:rsidR="00BD3ED9" w:rsidRPr="00DE052E">
        <w:t xml:space="preserve">used in a </w:t>
      </w:r>
      <w:r w:rsidR="005A0781" w:rsidRPr="00DE052E">
        <w:t xml:space="preserve">2007 </w:t>
      </w:r>
      <w:r w:rsidR="00BD3ED9" w:rsidRPr="00DE052E">
        <w:t xml:space="preserve">filing of FCC Form 499 on behalf of </w:t>
      </w:r>
      <w:r w:rsidR="007E1A25" w:rsidRPr="00DE052E">
        <w:t>a company name</w:t>
      </w:r>
      <w:r w:rsidR="00B15EEE" w:rsidRPr="00DE052E">
        <w:t>d</w:t>
      </w:r>
      <w:r w:rsidR="007E1A25" w:rsidRPr="00DE052E">
        <w:t xml:space="preserve"> “</w:t>
      </w:r>
      <w:r w:rsidR="00BD3ED9" w:rsidRPr="00DE052E">
        <w:t>ACT</w:t>
      </w:r>
      <w:r w:rsidR="007E1A25" w:rsidRPr="00DE052E">
        <w:t xml:space="preserve"> Telecom, Inc</w:t>
      </w:r>
      <w:r w:rsidR="00BD3ED9" w:rsidRPr="00DE052E">
        <w:t>.</w:t>
      </w:r>
      <w:r w:rsidR="007E1A25" w:rsidRPr="00DE052E">
        <w:t>”</w:t>
      </w:r>
      <w:r w:rsidRPr="00DE052E">
        <w:t xml:space="preserve">  Letter from Howard Griboff, Acting Chief, Policy Division, </w:t>
      </w:r>
      <w:r w:rsidR="00BD3ED9" w:rsidRPr="00DE052E">
        <w:t>International Bureau</w:t>
      </w:r>
      <w:r w:rsidR="0080544C" w:rsidRPr="00DE052E">
        <w:t>, FCC</w:t>
      </w:r>
      <w:r w:rsidR="00BD3ED9" w:rsidRPr="00DE052E">
        <w:t xml:space="preserve"> </w:t>
      </w:r>
      <w:r w:rsidRPr="00DE052E">
        <w:t>to Mr. Salomon Doumith and Mr. Robert Strange Jr.</w:t>
      </w:r>
      <w:r w:rsidR="005A000D" w:rsidRPr="00DE052E">
        <w:t xml:space="preserve"> (IB </w:t>
      </w:r>
      <w:r w:rsidRPr="00DE052E">
        <w:t>Jan</w:t>
      </w:r>
      <w:r w:rsidR="005A000D" w:rsidRPr="00DE052E">
        <w:t>.</w:t>
      </w:r>
      <w:r w:rsidRPr="00DE052E">
        <w:t xml:space="preserve"> 14, 2014</w:t>
      </w:r>
      <w:r w:rsidR="005A000D" w:rsidRPr="00DE052E">
        <w:t>)</w:t>
      </w:r>
      <w:r w:rsidR="00211C75" w:rsidRPr="00DE052E">
        <w:t xml:space="preserve">; </w:t>
      </w:r>
      <w:r w:rsidR="00B15EEE" w:rsidRPr="00DE052E">
        <w:rPr>
          <w:i/>
        </w:rPr>
        <w:t xml:space="preserve">see also </w:t>
      </w:r>
      <w:r w:rsidR="002C7FC2" w:rsidRPr="00DE052E">
        <w:t xml:space="preserve">FCC, Form 499, Filer Database, </w:t>
      </w:r>
      <w:r w:rsidR="00211C75" w:rsidRPr="00DE052E">
        <w:t>http://apps.fcc.gov/cgb/form499/499detail.cfm?FilerNum=821518</w:t>
      </w:r>
      <w:r w:rsidRPr="00DE052E">
        <w:t xml:space="preserve">. </w:t>
      </w:r>
      <w:r w:rsidR="007E1A25" w:rsidRPr="00DE052E">
        <w:t xml:space="preserve"> </w:t>
      </w:r>
      <w:r w:rsidRPr="00DE052E">
        <w:t xml:space="preserve">Fourth, on January 27, 2015, the Public Notice was published in the Federal Register and ACT was required to respond </w:t>
      </w:r>
      <w:r w:rsidR="00BD3ED9" w:rsidRPr="00DE052E">
        <w:t>within 15 days</w:t>
      </w:r>
      <w:r w:rsidR="002C7FC2" w:rsidRPr="00DE052E">
        <w:t xml:space="preserve"> of publication</w:t>
      </w:r>
      <w:r w:rsidR="00BD3ED9" w:rsidRPr="00DE052E">
        <w:t xml:space="preserve">, </w:t>
      </w:r>
      <w:r w:rsidR="00BD3ED9" w:rsidRPr="00DE052E">
        <w:rPr>
          <w:i/>
        </w:rPr>
        <w:t>i.e</w:t>
      </w:r>
      <w:r w:rsidR="00BD3ED9" w:rsidRPr="00DE052E">
        <w:t xml:space="preserve">. </w:t>
      </w:r>
      <w:r w:rsidRPr="00DE052E">
        <w:t>by February 11, 2015.  Notice of Intent to Terminate 214 Authorization, Federal Register, 80 Fed. Reg. 4264 (Jan</w:t>
      </w:r>
      <w:r w:rsidR="00AE3077" w:rsidRPr="00DE052E">
        <w:t>.</w:t>
      </w:r>
      <w:r w:rsidRPr="00DE052E">
        <w:t xml:space="preserve"> 27, 2015)</w:t>
      </w:r>
      <w:r w:rsidR="009766D1" w:rsidRPr="00DE052E">
        <w:t xml:space="preserve">.  </w:t>
      </w:r>
      <w:r w:rsidRPr="00DE052E">
        <w:t xml:space="preserve">  </w:t>
      </w:r>
    </w:p>
  </w:footnote>
  <w:footnote w:id="16">
    <w:p w14:paraId="7E3C37C5" w14:textId="77777777" w:rsidR="00B50A08" w:rsidRPr="00DE052E" w:rsidRDefault="00B50A08" w:rsidP="002C4419">
      <w:pPr>
        <w:pStyle w:val="FootnoteText"/>
      </w:pPr>
      <w:r w:rsidRPr="00DE052E">
        <w:rPr>
          <w:rStyle w:val="FootnoteReference"/>
        </w:rPr>
        <w:footnoteRef/>
      </w:r>
      <w:r w:rsidRPr="00DE052E">
        <w:t xml:space="preserve"> </w:t>
      </w:r>
      <w:r w:rsidRPr="00DE052E">
        <w:rPr>
          <w:i/>
        </w:rPr>
        <w:t>2015 ACT Public Notice</w:t>
      </w:r>
      <w:r w:rsidRPr="00DE052E">
        <w:t>,</w:t>
      </w:r>
      <w:r w:rsidRPr="00DE052E">
        <w:rPr>
          <w:i/>
        </w:rPr>
        <w:t xml:space="preserve"> </w:t>
      </w:r>
      <w:r w:rsidRPr="00DE052E">
        <w:t xml:space="preserve">30 FCC Rcd at 174.  </w:t>
      </w:r>
    </w:p>
  </w:footnote>
  <w:footnote w:id="17">
    <w:p w14:paraId="599BEC3B" w14:textId="76210EFB" w:rsidR="008A4EDB" w:rsidRPr="00DE052E" w:rsidRDefault="008A4EDB" w:rsidP="00F431C8">
      <w:pPr>
        <w:pStyle w:val="FootnoteText"/>
        <w:rPr>
          <w:snapToGrid w:val="0"/>
        </w:rPr>
      </w:pPr>
      <w:r w:rsidRPr="00DE052E">
        <w:rPr>
          <w:rStyle w:val="FootnoteReference"/>
        </w:rPr>
        <w:footnoteRef/>
      </w:r>
      <w:r w:rsidR="00944F96" w:rsidRPr="00DE052E">
        <w:rPr>
          <w:snapToGrid w:val="0"/>
        </w:rPr>
        <w:t xml:space="preserve"> </w:t>
      </w:r>
      <w:r w:rsidR="00F431C8" w:rsidRPr="00DE052E">
        <w:rPr>
          <w:snapToGrid w:val="0"/>
        </w:rPr>
        <w:t>The Bureau sent the Commission Notices to ACT</w:t>
      </w:r>
      <w:r w:rsidR="008C5966" w:rsidRPr="00DE052E">
        <w:t xml:space="preserve"> at the </w:t>
      </w:r>
      <w:r w:rsidR="008C5966" w:rsidRPr="00DE052E">
        <w:rPr>
          <w:snapToGrid w:val="0"/>
        </w:rPr>
        <w:t>St. John</w:t>
      </w:r>
      <w:r w:rsidR="004D53C5" w:rsidRPr="00DE052E">
        <w:rPr>
          <w:snapToGrid w:val="0"/>
        </w:rPr>
        <w:t>’</w:t>
      </w:r>
      <w:r w:rsidR="008C5966" w:rsidRPr="00DE052E">
        <w:rPr>
          <w:snapToGrid w:val="0"/>
        </w:rPr>
        <w:t>s, Antigua and Barbuda</w:t>
      </w:r>
      <w:r w:rsidR="00F431C8" w:rsidRPr="00DE052E">
        <w:rPr>
          <w:snapToGrid w:val="0"/>
        </w:rPr>
        <w:t xml:space="preserve"> </w:t>
      </w:r>
      <w:r w:rsidR="008C5966" w:rsidRPr="00DE052E">
        <w:rPr>
          <w:snapToGrid w:val="0"/>
        </w:rPr>
        <w:t xml:space="preserve">address </w:t>
      </w:r>
      <w:r w:rsidR="00F431C8" w:rsidRPr="00DE052E">
        <w:rPr>
          <w:snapToGrid w:val="0"/>
        </w:rPr>
        <w:t xml:space="preserve">via UPS (1ZA43F580492915363).  </w:t>
      </w:r>
      <w:r w:rsidR="00933C42" w:rsidRPr="00DE052E">
        <w:rPr>
          <w:snapToGrid w:val="0"/>
        </w:rPr>
        <w:t>Although the Executive Branch Ag</w:t>
      </w:r>
      <w:r w:rsidR="00F431C8" w:rsidRPr="00DE052E">
        <w:rPr>
          <w:snapToGrid w:val="0"/>
        </w:rPr>
        <w:t>encies stated</w:t>
      </w:r>
      <w:r w:rsidR="00933C42" w:rsidRPr="00DE052E">
        <w:rPr>
          <w:snapToGrid w:val="0"/>
        </w:rPr>
        <w:t xml:space="preserve"> that Mr. Eric Fishman is likely no longer counsel for ACT, ACT’s 2008 application lists Mr. Eric Fishman as </w:t>
      </w:r>
      <w:r w:rsidR="00F21A4D" w:rsidRPr="00DE052E">
        <w:rPr>
          <w:snapToGrid w:val="0"/>
        </w:rPr>
        <w:t xml:space="preserve">the </w:t>
      </w:r>
      <w:r w:rsidR="00933C42" w:rsidRPr="00DE052E">
        <w:rPr>
          <w:snapToGrid w:val="0"/>
        </w:rPr>
        <w:t>contact</w:t>
      </w:r>
      <w:r w:rsidR="00F21A4D" w:rsidRPr="00DE052E">
        <w:rPr>
          <w:snapToGrid w:val="0"/>
        </w:rPr>
        <w:t xml:space="preserve">.  On November 17, 2015, </w:t>
      </w:r>
      <w:r w:rsidR="00933C42" w:rsidRPr="00DE052E">
        <w:rPr>
          <w:snapToGrid w:val="0"/>
        </w:rPr>
        <w:t xml:space="preserve">the Bureau </w:t>
      </w:r>
      <w:r w:rsidR="00F431C8" w:rsidRPr="00DE052E">
        <w:rPr>
          <w:snapToGrid w:val="0"/>
        </w:rPr>
        <w:t xml:space="preserve">also </w:t>
      </w:r>
      <w:r w:rsidR="00933C42" w:rsidRPr="00DE052E">
        <w:rPr>
          <w:snapToGrid w:val="0"/>
        </w:rPr>
        <w:t xml:space="preserve">mailed the Commission notices to </w:t>
      </w:r>
      <w:r w:rsidR="00F21A4D" w:rsidRPr="00DE052E">
        <w:rPr>
          <w:snapToGrid w:val="0"/>
        </w:rPr>
        <w:t xml:space="preserve">Mr. </w:t>
      </w:r>
      <w:r w:rsidR="00F431C8" w:rsidRPr="00DE052E">
        <w:rPr>
          <w:snapToGrid w:val="0"/>
        </w:rPr>
        <w:t xml:space="preserve">Eric </w:t>
      </w:r>
      <w:r w:rsidR="00F21A4D" w:rsidRPr="00DE052E">
        <w:rPr>
          <w:snapToGrid w:val="0"/>
        </w:rPr>
        <w:t>Fishman, which were s</w:t>
      </w:r>
      <w:r w:rsidR="00933C42" w:rsidRPr="00DE052E">
        <w:rPr>
          <w:snapToGrid w:val="0"/>
        </w:rPr>
        <w:t>uccessfully delivered on November 19, 2015</w:t>
      </w:r>
      <w:r w:rsidR="00F431C8" w:rsidRPr="00DE052E">
        <w:rPr>
          <w:snapToGrid w:val="0"/>
        </w:rPr>
        <w:t xml:space="preserve">, but to date, </w:t>
      </w:r>
      <w:r w:rsidR="00057E69" w:rsidRPr="00DE052E">
        <w:rPr>
          <w:snapToGrid w:val="0"/>
        </w:rPr>
        <w:t xml:space="preserve">he </w:t>
      </w:r>
      <w:r w:rsidR="00F431C8" w:rsidRPr="00DE052E">
        <w:rPr>
          <w:snapToGrid w:val="0"/>
        </w:rPr>
        <w:t xml:space="preserve">has not contacted the Bureau (1ZA43F580190847946).  </w:t>
      </w:r>
      <w:r w:rsidR="00EB7AFF" w:rsidRPr="00DE052E">
        <w:rPr>
          <w:snapToGrid w:val="0"/>
        </w:rPr>
        <w:t>On November 17, 2015, t</w:t>
      </w:r>
      <w:r w:rsidR="002C7FC2" w:rsidRPr="00DE052E">
        <w:rPr>
          <w:snapToGrid w:val="0"/>
        </w:rPr>
        <w:t>he Bureau also mailed the</w:t>
      </w:r>
      <w:r w:rsidR="00944F96" w:rsidRPr="00DE052E">
        <w:rPr>
          <w:snapToGrid w:val="0"/>
        </w:rPr>
        <w:t xml:space="preserve"> Commission notices</w:t>
      </w:r>
      <w:r w:rsidR="002C7FC2" w:rsidRPr="00DE052E">
        <w:rPr>
          <w:snapToGrid w:val="0"/>
        </w:rPr>
        <w:t xml:space="preserve"> to Mr. Robert Strange Jr. in Houston, Texas</w:t>
      </w:r>
      <w:r w:rsidR="008C5966" w:rsidRPr="00DE052E">
        <w:rPr>
          <w:snapToGrid w:val="0"/>
        </w:rPr>
        <w:t xml:space="preserve"> (1ZA43F580193862352</w:t>
      </w:r>
      <w:r w:rsidR="00057E69" w:rsidRPr="00DE052E">
        <w:rPr>
          <w:snapToGrid w:val="0"/>
        </w:rPr>
        <w:t>)</w:t>
      </w:r>
      <w:r w:rsidR="002C7FC2" w:rsidRPr="00DE052E">
        <w:rPr>
          <w:snapToGrid w:val="0"/>
        </w:rPr>
        <w:t>, used in a 200</w:t>
      </w:r>
      <w:r w:rsidR="00AE3077" w:rsidRPr="00DE052E">
        <w:rPr>
          <w:snapToGrid w:val="0"/>
        </w:rPr>
        <w:t>8</w:t>
      </w:r>
      <w:r w:rsidR="002C7FC2" w:rsidRPr="00DE052E">
        <w:rPr>
          <w:snapToGrid w:val="0"/>
        </w:rPr>
        <w:t xml:space="preserve"> filing of FCC Form 499 on behalf of </w:t>
      </w:r>
      <w:r w:rsidR="0098793B" w:rsidRPr="00DE052E">
        <w:rPr>
          <w:snapToGrid w:val="0"/>
        </w:rPr>
        <w:t>“</w:t>
      </w:r>
      <w:r w:rsidR="002C7FC2" w:rsidRPr="00DE052E">
        <w:rPr>
          <w:snapToGrid w:val="0"/>
        </w:rPr>
        <w:t>A</w:t>
      </w:r>
      <w:r w:rsidR="007E1A25" w:rsidRPr="00DE052E">
        <w:rPr>
          <w:snapToGrid w:val="0"/>
        </w:rPr>
        <w:t>CT Telecom, Inc.</w:t>
      </w:r>
      <w:r w:rsidR="0098793B" w:rsidRPr="00DE052E">
        <w:rPr>
          <w:snapToGrid w:val="0"/>
        </w:rPr>
        <w:t>”</w:t>
      </w:r>
      <w:r w:rsidR="00F431C8" w:rsidRPr="00DE052E">
        <w:rPr>
          <w:snapToGrid w:val="0"/>
        </w:rPr>
        <w:t xml:space="preserve">  </w:t>
      </w:r>
      <w:r w:rsidR="00F21A4D" w:rsidRPr="00DE052E">
        <w:rPr>
          <w:snapToGrid w:val="0"/>
        </w:rPr>
        <w:t>T</w:t>
      </w:r>
      <w:r w:rsidR="00EB7AFF" w:rsidRPr="00DE052E">
        <w:rPr>
          <w:snapToGrid w:val="0"/>
        </w:rPr>
        <w:t>he</w:t>
      </w:r>
      <w:r w:rsidR="00F21A4D" w:rsidRPr="00DE052E">
        <w:rPr>
          <w:snapToGrid w:val="0"/>
        </w:rPr>
        <w:t xml:space="preserve"> Commission notices were sent back as undeliver</w:t>
      </w:r>
      <w:r w:rsidR="00F431C8" w:rsidRPr="00DE052E">
        <w:rPr>
          <w:snapToGrid w:val="0"/>
        </w:rPr>
        <w:t>able</w:t>
      </w:r>
      <w:r w:rsidR="00F21A4D" w:rsidRPr="00DE052E">
        <w:rPr>
          <w:snapToGrid w:val="0"/>
        </w:rPr>
        <w:t xml:space="preserve"> on November 30, 2015</w:t>
      </w:r>
      <w:r w:rsidR="00F431C8" w:rsidRPr="00DE052E">
        <w:rPr>
          <w:snapToGrid w:val="0"/>
        </w:rPr>
        <w:t xml:space="preserve"> (1ZA43F581293862359).</w:t>
      </w:r>
    </w:p>
  </w:footnote>
  <w:footnote w:id="18">
    <w:p w14:paraId="2DE35736" w14:textId="1CF23A41" w:rsidR="00B50A08" w:rsidRPr="00DE052E" w:rsidRDefault="00B50A08">
      <w:pPr>
        <w:pStyle w:val="FootnoteText"/>
      </w:pPr>
      <w:r w:rsidRPr="00DE052E">
        <w:rPr>
          <w:rStyle w:val="FootnoteReference"/>
        </w:rPr>
        <w:footnoteRef/>
      </w:r>
      <w:r w:rsidRPr="00DE052E">
        <w:t xml:space="preserve"> </w:t>
      </w:r>
      <w:r w:rsidR="00E4561D" w:rsidRPr="00DE052E">
        <w:t xml:space="preserve">State of Delaware, Division of Corporations, </w:t>
      </w:r>
      <w:hyperlink r:id="rId1" w:history="1">
        <w:r w:rsidR="00E4561D" w:rsidRPr="00DE052E">
          <w:rPr>
            <w:rStyle w:val="Hyperlink"/>
            <w:color w:val="auto"/>
            <w:u w:val="none"/>
          </w:rPr>
          <w:t>https://icis.corp.delaware.gov/Ecorp/EntitySearch/NameSearch.aspx</w:t>
        </w:r>
      </w:hyperlink>
      <w:r w:rsidR="00E4561D" w:rsidRPr="00DE052E">
        <w:t xml:space="preserve"> (last visited Jan. </w:t>
      </w:r>
      <w:r w:rsidR="002E7AAD" w:rsidRPr="00DE052E">
        <w:t>12</w:t>
      </w:r>
      <w:r w:rsidR="00E4561D" w:rsidRPr="00DE052E">
        <w:t>, 201</w:t>
      </w:r>
      <w:r w:rsidR="00920CBF" w:rsidRPr="00DE052E">
        <w:t>6</w:t>
      </w:r>
      <w:r w:rsidR="00E4561D" w:rsidRPr="00DE052E">
        <w:t xml:space="preserve">) (search </w:t>
      </w:r>
      <w:r w:rsidR="00EB7AFF" w:rsidRPr="00DE052E">
        <w:t xml:space="preserve">under “Act Telecommunications” </w:t>
      </w:r>
      <w:r w:rsidR="00E4561D" w:rsidRPr="00DE052E">
        <w:t xml:space="preserve">or </w:t>
      </w:r>
      <w:r w:rsidR="00944F96" w:rsidRPr="00DE052E">
        <w:t xml:space="preserve">by file number </w:t>
      </w:r>
      <w:r w:rsidR="00E4561D" w:rsidRPr="00DE052E">
        <w:t>“</w:t>
      </w:r>
      <w:r w:rsidR="00E4561D" w:rsidRPr="00DE052E">
        <w:rPr>
          <w:bCs/>
        </w:rPr>
        <w:t>4585950</w:t>
      </w:r>
      <w:r w:rsidR="00E4561D" w:rsidRPr="00DE052E">
        <w:t>”).</w:t>
      </w:r>
    </w:p>
  </w:footnote>
  <w:footnote w:id="19">
    <w:p w14:paraId="3D2329BD" w14:textId="16CA8430" w:rsidR="008B1E5E" w:rsidRPr="00DE052E" w:rsidRDefault="008B1E5E" w:rsidP="008B1E5E">
      <w:pPr>
        <w:pStyle w:val="FootnoteText"/>
      </w:pPr>
      <w:r w:rsidRPr="00DE052E">
        <w:rPr>
          <w:rStyle w:val="FootnoteReference"/>
        </w:rPr>
        <w:footnoteRef/>
      </w:r>
      <w:r w:rsidRPr="00DE052E">
        <w:t xml:space="preserve"> </w:t>
      </w:r>
      <w:r w:rsidRPr="00DE052E">
        <w:rPr>
          <w:rFonts w:eastAsiaTheme="minorHAnsi"/>
        </w:rPr>
        <w:t xml:space="preserve">47 CFR </w:t>
      </w:r>
      <w:r w:rsidRPr="00DE052E">
        <w:t xml:space="preserve">§ </w:t>
      </w:r>
      <w:r w:rsidRPr="00DE052E">
        <w:rPr>
          <w:rFonts w:eastAsiaTheme="minorHAnsi"/>
        </w:rPr>
        <w:t xml:space="preserve">63.21(a).  </w:t>
      </w:r>
    </w:p>
  </w:footnote>
  <w:footnote w:id="20">
    <w:p w14:paraId="68FC88FE" w14:textId="2F3455DF" w:rsidR="00B50A08" w:rsidRPr="00DE052E" w:rsidRDefault="00B50A08">
      <w:pPr>
        <w:pStyle w:val="FootnoteText"/>
      </w:pPr>
      <w:r w:rsidRPr="00DE052E">
        <w:rPr>
          <w:rStyle w:val="FootnoteReference"/>
        </w:rPr>
        <w:footnoteRef/>
      </w:r>
      <w:r w:rsidRPr="00DE052E">
        <w:t xml:space="preserve"> </w:t>
      </w:r>
      <w:r w:rsidR="00A108B5" w:rsidRPr="00DE052E">
        <w:rPr>
          <w:i/>
        </w:rPr>
        <w:t>Id</w:t>
      </w:r>
      <w:r w:rsidRPr="00DE052E">
        <w:t>.</w:t>
      </w:r>
      <w:r w:rsidR="00A108B5" w:rsidRPr="00DE052E">
        <w:t xml:space="preserve">  In addition, there is no indication that ACT is currently providing service pursuant to its section 214 authorization.  If ACT has discontinued service, it is also in violation of the Commission’s rules requiring prior notification for such a discontinuance.  47 C.F.R. § 63.19.   </w:t>
      </w:r>
    </w:p>
  </w:footnote>
  <w:footnote w:id="21">
    <w:p w14:paraId="3B206FC9" w14:textId="28B317A3" w:rsidR="00B50A08" w:rsidRPr="00DE052E" w:rsidRDefault="00B50A08">
      <w:pPr>
        <w:pStyle w:val="FootnoteText"/>
      </w:pPr>
      <w:r w:rsidRPr="00DE052E">
        <w:rPr>
          <w:rStyle w:val="FootnoteReference"/>
        </w:rPr>
        <w:footnoteRef/>
      </w:r>
      <w:r w:rsidRPr="00DE052E">
        <w:t xml:space="preserve"> </w:t>
      </w:r>
      <w:r w:rsidR="00413D0A" w:rsidRPr="00DE052E">
        <w:t xml:space="preserve">Section 413 of the Act requires every carrier to designate an agent for service.  47 U.S.C. § 413.  </w:t>
      </w:r>
      <w:r w:rsidRPr="00DE052E">
        <w:rPr>
          <w:i/>
        </w:rPr>
        <w:t>See also</w:t>
      </w:r>
      <w:r w:rsidRPr="00DE052E">
        <w:t xml:space="preserve"> 47 CFR §§ 1.47(h), 64.1195.</w:t>
      </w:r>
    </w:p>
  </w:footnote>
  <w:footnote w:id="22">
    <w:p w14:paraId="14E4924C" w14:textId="2EF00033" w:rsidR="004B4DC7" w:rsidRPr="00DE052E" w:rsidRDefault="004B4DC7" w:rsidP="004B4DC7">
      <w:pPr>
        <w:pStyle w:val="FootnoteText"/>
      </w:pPr>
      <w:r w:rsidRPr="00DE052E">
        <w:rPr>
          <w:rStyle w:val="FootnoteReference"/>
        </w:rPr>
        <w:footnoteRef/>
      </w:r>
      <w:r w:rsidRPr="00DE052E">
        <w:t xml:space="preserve"> </w:t>
      </w:r>
      <w:r w:rsidRPr="00DE052E">
        <w:rPr>
          <w:rFonts w:eastAsiaTheme="minorHAnsi"/>
        </w:rPr>
        <w:t xml:space="preserve">47 CFR </w:t>
      </w:r>
      <w:r w:rsidRPr="00DE052E">
        <w:t xml:space="preserve">§ </w:t>
      </w:r>
      <w:r w:rsidRPr="00DE052E">
        <w:rPr>
          <w:rFonts w:eastAsiaTheme="minorHAnsi"/>
        </w:rPr>
        <w:t xml:space="preserve">63.21(d).  </w:t>
      </w:r>
    </w:p>
  </w:footnote>
  <w:footnote w:id="23">
    <w:p w14:paraId="1FCD3A4D" w14:textId="2611A50C" w:rsidR="004B4DC7" w:rsidRPr="00DE052E" w:rsidRDefault="004B4DC7" w:rsidP="004B4DC7">
      <w:pPr>
        <w:pStyle w:val="FootnoteText"/>
      </w:pPr>
      <w:r w:rsidRPr="00DE052E">
        <w:rPr>
          <w:rStyle w:val="FootnoteReference"/>
        </w:rPr>
        <w:footnoteRef/>
      </w:r>
      <w:r w:rsidRPr="00DE052E">
        <w:t xml:space="preserve"> 47 CFR § 43.62(b) (emphasis added).  </w:t>
      </w:r>
      <w:r w:rsidRPr="00DE052E">
        <w:rPr>
          <w:snapToGrid w:val="0"/>
          <w:kern w:val="28"/>
        </w:rPr>
        <w:t xml:space="preserve">In 2013, the Commission adopted section 43.62(b) of its rules, which went into effect on February 11, 2015. </w:t>
      </w:r>
      <w:r w:rsidRPr="00DE052E">
        <w:t xml:space="preserve"> </w:t>
      </w:r>
      <w:r w:rsidRPr="00DE052E">
        <w:rPr>
          <w:i/>
          <w:snapToGrid w:val="0"/>
          <w:kern w:val="28"/>
        </w:rPr>
        <w:t>Reporting Requirements for U.S. Providers of International Telecommunications Services; Amendment of Part 43 of the Commission’s Rules</w:t>
      </w:r>
      <w:r w:rsidRPr="00DE052E">
        <w:rPr>
          <w:snapToGrid w:val="0"/>
          <w:kern w:val="28"/>
        </w:rPr>
        <w:t>, IB Docket No. 04-112, Second Report and Order, 28 FCC Rcd 575 (2013); Reporting Requirements for U.S. Providers of International Telecommunications Services,</w:t>
      </w:r>
      <w:r w:rsidRPr="00DE052E">
        <w:rPr>
          <w:i/>
          <w:snapToGrid w:val="0"/>
          <w:kern w:val="28"/>
        </w:rPr>
        <w:t xml:space="preserve"> </w:t>
      </w:r>
      <w:r w:rsidRPr="00DE052E">
        <w:rPr>
          <w:snapToGrid w:val="0"/>
          <w:kern w:val="28"/>
        </w:rPr>
        <w:t>80 Fed. Reg. 7547 (Feb. 11, 2015).</w:t>
      </w:r>
    </w:p>
  </w:footnote>
  <w:footnote w:id="24">
    <w:p w14:paraId="79A293CF" w14:textId="5C24A0E5" w:rsidR="000B77C2" w:rsidRPr="00DE052E" w:rsidRDefault="000B77C2">
      <w:pPr>
        <w:pStyle w:val="FootnoteText"/>
      </w:pPr>
      <w:r w:rsidRPr="00DE052E">
        <w:rPr>
          <w:rStyle w:val="FootnoteReference"/>
        </w:rPr>
        <w:footnoteRef/>
      </w:r>
      <w:r w:rsidRPr="00DE052E">
        <w:t xml:space="preserve"> </w:t>
      </w:r>
      <w:r w:rsidR="007E1A25" w:rsidRPr="00DE052E">
        <w:t xml:space="preserve">47 CFR § 43.62(b).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CA744" w14:textId="77777777" w:rsidR="006E5620" w:rsidRDefault="006E5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30FDF" w14:textId="4D62C0D3" w:rsidR="00B50A08" w:rsidRPr="003665F2" w:rsidRDefault="00B50A08" w:rsidP="00DF25B7">
    <w:pPr>
      <w:widowControl/>
      <w:tabs>
        <w:tab w:val="center" w:pos="4680"/>
        <w:tab w:val="right" w:pos="9360"/>
      </w:tabs>
      <w:rPr>
        <w:sz w:val="24"/>
        <w:szCs w:val="24"/>
      </w:rPr>
    </w:pPr>
    <w:r>
      <w:tab/>
    </w:r>
  </w:p>
  <w:p w14:paraId="5334C32A" w14:textId="2BA5B4F5" w:rsidR="00B50A08" w:rsidRPr="003665F2" w:rsidRDefault="00B50A08" w:rsidP="008C2675">
    <w:pPr>
      <w:pStyle w:val="Header"/>
      <w:rPr>
        <w:b w:val="0"/>
        <w:sz w:val="24"/>
        <w:szCs w:val="24"/>
      </w:rPr>
    </w:pPr>
    <w:r w:rsidRPr="003665F2">
      <w:rPr>
        <w:b w:val="0"/>
        <w:sz w:val="24"/>
        <w:szCs w:val="24"/>
      </w:rPr>
      <w:tab/>
      <w:t>Federal Communications Commission</w:t>
    </w:r>
    <w:r w:rsidRPr="003665F2">
      <w:rPr>
        <w:b w:val="0"/>
        <w:sz w:val="24"/>
        <w:szCs w:val="24"/>
      </w:rPr>
      <w:tab/>
      <w:t>DA 1</w:t>
    </w:r>
    <w:r w:rsidR="000E6974">
      <w:rPr>
        <w:b w:val="0"/>
        <w:sz w:val="24"/>
        <w:szCs w:val="24"/>
      </w:rPr>
      <w:t>6</w:t>
    </w:r>
    <w:r w:rsidRPr="003665F2">
      <w:rPr>
        <w:b w:val="0"/>
        <w:sz w:val="24"/>
        <w:szCs w:val="24"/>
      </w:rPr>
      <w:t>-</w:t>
    </w:r>
    <w:r w:rsidR="00D815CF">
      <w:rPr>
        <w:b w:val="0"/>
        <w:sz w:val="24"/>
        <w:szCs w:val="24"/>
      </w:rPr>
      <w:t>53</w:t>
    </w:r>
  </w:p>
  <w:p w14:paraId="2A300457" w14:textId="77777777" w:rsidR="00B50A08" w:rsidRDefault="00B50A08" w:rsidP="008C2675">
    <w:pPr>
      <w:pStyle w:val="Header"/>
    </w:pPr>
    <w:r>
      <w:rPr>
        <w:noProof/>
        <w:snapToGrid/>
      </w:rPr>
      <mc:AlternateContent>
        <mc:Choice Requires="wps">
          <w:drawing>
            <wp:anchor distT="0" distB="0" distL="114300" distR="114300" simplePos="0" relativeHeight="251662336" behindDoc="0" locked="0" layoutInCell="0" allowOverlap="1" wp14:anchorId="55597EE5" wp14:editId="6565EDBB">
              <wp:simplePos x="0" y="0"/>
              <wp:positionH relativeFrom="column">
                <wp:posOffset>0</wp:posOffset>
              </wp:positionH>
              <wp:positionV relativeFrom="paragraph">
                <wp:posOffset>22225</wp:posOffset>
              </wp:positionV>
              <wp:extent cx="59436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B69699"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2Y8gEAALQDAAAOAAAAZHJzL2Uyb0RvYy54bWysU02P2jAQvVfqf7B8hwQ2UIgIqypAL9su&#10;0m5/gLEdYtXxWLYhoKr/vWPz0W57q5qDZXvePL95M1k8njpNjtJ5Baaio2FOiTQchDL7in593Qxm&#10;lPjAjGAajKzoWXr6uHz/btHbUo6hBS2kI0hifNnbirYh2DLLPG9lx/wQrDQYbMB1LODR7TPhWI/s&#10;nc7GeT7NenDCOuDSe7xdXYJ0mfibRvLw3DReBqIritpCWl1ad3HNlgtW7h2zreJXGewfVHRMGXz0&#10;TrVigZGDU39RdYo78NCEIYcug6ZRXKYasJpR/kc1Ly2zMtWC5nh7t8n/P1r+5bh1RImKFpQY1mGL&#10;npSRZBSd6a0vEVCbrYu18ZN5sU/Av3lioG6Z2cuk8PVsMS1lZG9S4sFb5N/1n0Eghh0CJJtOjesi&#10;JRpATqkb53s35CkQjpeTefEwzbFp/BbLWHlLtM6HTxI6EjcV1ag5EbPjkw8oHaE3SHzHwEZpnZqt&#10;DelR7Tyf5CnDg1YiRiPOu/2u1o4cWZyX9EUjkO0NzMHBiMTWSibW131gSl/2iNcm8mEtqOe6uwzE&#10;93k+X8/Ws2JQjKfrQZELMfi4qYvBdDP6MFk9rOp6NfpxffWWn3yNVl6asgNx3rooLFqMo5EkXsc4&#10;zt7v54T69bMtfwIAAP//AwBQSwMEFAAGAAgAAAAhAO4pKK7YAAAABAEAAA8AAABkcnMvZG93bnJl&#10;di54bWxMj0FPg0AQhe8m/ofNmHizi9Y2FFkabeKlN7FRj1N2BCI7S9gthX/v6EWPL2/yvW/y7eQ6&#10;NdIQWs8GbhcJKOLK25ZrA4fX55sUVIjIFjvPZGCmANvi8iLHzPozv9BYxloJhEOGBpoY+0zrUDXk&#10;MCx8Tyzdpx8cRolDre2AZ4G7Tt8lyVo7bFkWGuxp11D1VZ6cUFbv6dMe08M8d+XH5n73th/ZGXN9&#10;NT0+gIo0xb9j+NEXdSjE6ehPbIPqDMgj0cByBUrKzXIt+fibdZHr//LFNwAAAP//AwBQSwECLQAU&#10;AAYACAAAACEAtoM4kv4AAADhAQAAEwAAAAAAAAAAAAAAAAAAAAAAW0NvbnRlbnRfVHlwZXNdLnht&#10;bFBLAQItABQABgAIAAAAIQA4/SH/1gAAAJQBAAALAAAAAAAAAAAAAAAAAC8BAABfcmVscy8ucmVs&#10;c1BLAQItABQABgAIAAAAIQARyU2Y8gEAALQDAAAOAAAAAAAAAAAAAAAAAC4CAABkcnMvZTJvRG9j&#10;LnhtbFBLAQItABQABgAIAAAAIQDuKSiu2AAAAAQBAAAPAAAAAAAAAAAAAAAAAEwEAABkcnMvZG93&#10;bnJldi54bWxQSwUGAAAAAAQABADzAAAAUQ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2AA04" w14:textId="09703EB7" w:rsidR="00B50A08" w:rsidRPr="003665F2" w:rsidRDefault="00B50A08" w:rsidP="00445FFF">
    <w:pPr>
      <w:pStyle w:val="Header"/>
      <w:rPr>
        <w:b w:val="0"/>
        <w:sz w:val="24"/>
        <w:szCs w:val="24"/>
      </w:rPr>
    </w:pPr>
    <w:r w:rsidRPr="003665F2">
      <w:rPr>
        <w:b w:val="0"/>
        <w:sz w:val="24"/>
        <w:szCs w:val="24"/>
      </w:rPr>
      <w:tab/>
      <w:t>Federal Communications Commission</w:t>
    </w:r>
    <w:r w:rsidRPr="003665F2">
      <w:rPr>
        <w:b w:val="0"/>
        <w:sz w:val="24"/>
        <w:szCs w:val="24"/>
      </w:rPr>
      <w:tab/>
      <w:t>DA 1</w:t>
    </w:r>
    <w:r w:rsidR="003810EE">
      <w:rPr>
        <w:b w:val="0"/>
        <w:sz w:val="24"/>
        <w:szCs w:val="24"/>
      </w:rPr>
      <w:t>6</w:t>
    </w:r>
    <w:r w:rsidRPr="003665F2">
      <w:rPr>
        <w:b w:val="0"/>
        <w:sz w:val="24"/>
        <w:szCs w:val="24"/>
      </w:rPr>
      <w:t>-</w:t>
    </w:r>
    <w:r w:rsidR="00D815CF">
      <w:rPr>
        <w:b w:val="0"/>
        <w:sz w:val="24"/>
        <w:szCs w:val="24"/>
      </w:rPr>
      <w:t>53</w:t>
    </w:r>
  </w:p>
  <w:p w14:paraId="76E12362" w14:textId="77777777" w:rsidR="00B50A08" w:rsidRDefault="00B50A08">
    <w:pPr>
      <w:pStyle w:val="Header"/>
    </w:pPr>
    <w:r>
      <w:rPr>
        <w:noProof/>
        <w:snapToGrid/>
      </w:rPr>
      <mc:AlternateContent>
        <mc:Choice Requires="wps">
          <w:drawing>
            <wp:anchor distT="0" distB="0" distL="114300" distR="114300" simplePos="0" relativeHeight="251660288" behindDoc="0" locked="0" layoutInCell="0" allowOverlap="1" wp14:anchorId="125E1746" wp14:editId="3EAF80F7">
              <wp:simplePos x="0" y="0"/>
              <wp:positionH relativeFrom="column">
                <wp:posOffset>0</wp:posOffset>
              </wp:positionH>
              <wp:positionV relativeFrom="paragraph">
                <wp:posOffset>22225</wp:posOffset>
              </wp:positionV>
              <wp:extent cx="594360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162324"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w08QEAALQDAAAOAAAAZHJzL2Uyb0RvYy54bWysU8uu2yAQ3VfqPyD2iZ1nEyvOVeUk3aS9&#10;ke7tBxDAMSpmEJA4UdV/70Ae7W13Vb1AwJw5nDkzXjydW01O0nkFpqSDfk6JNByEMoeSfn3d9GaU&#10;+MCMYBqMLOlFevq0fP9u0dlCDqEBLaQjSGJ80dmSNiHYIss8b2TLfB+sNBiswbUs4NEdMuFYh+yt&#10;zoZ5Ps06cMI64NJ7vF1dg3SZ+Ota8vBc114GokuK2kJaXVr3cc2WC1YcHLON4jcZ7B9UtEwZfPRB&#10;tWKBkaNTf1G1ijvwUIc+hzaDulZcphqwmkH+RzUvDbMy1YLmePuwyf8/Wv7ltHNEiZKOKDGsxRZt&#10;lZFkEJ3prC8QUJmdi7Xxs3mxW+DfPDFQNcwcZFL4erGYljKyNynx4C3y77vPIBDDjgGSTefatZES&#10;DSDn1I3LoxvyHAjHy8l8PJrm2DR+j2WsuCda58MnCS2Jm5Jq1JyI2WnrA0pH6B0S3zGwUVqnZmtD&#10;OlQ7zyd5yvCglYjRiPPusK+0IycW5yV90QhkewNzcDQisTWSifVtH5jS1z3itYl8WAvque2uA/F9&#10;ns/Xs/Vs3BsPp+veOBei93FTjXvTzeDDZDVaVdVq8OP26j0/+RqtvDZlD+Kyc1FYtBhHI0m8jXGc&#10;vd/PCfXrZ1v+BAAA//8DAFBLAwQUAAYACAAAACEA7ikortgAAAAEAQAADwAAAGRycy9kb3ducmV2&#10;LnhtbEyPQU+DQBCF7yb+h82YeLOL1jYUWRpt4qU3sVGPU3YEIjtL2C2Ff+/oRY8vb/K9b/Lt5Do1&#10;0hBazwZuFwko4srblmsDh9fnmxRUiMgWO89kYKYA2+LyIsfM+jO/0FjGWgmEQ4YGmhj7TOtQNeQw&#10;LHxPLN2nHxxGiUOt7YBngbtO3yXJWjtsWRYa7GnXUPVVnpxQVu/p0x7Twzx35cfmfve2H9kZc301&#10;PT6AijTFv2P40Rd1KMTp6E9sg+oMyCPRwHIFSsrNci35+Jt1kev/8sU3AAAA//8DAFBLAQItABQA&#10;BgAIAAAAIQC2gziS/gAAAOEBAAATAAAAAAAAAAAAAAAAAAAAAABbQ29udGVudF9UeXBlc10ueG1s&#10;UEsBAi0AFAAGAAgAAAAhADj9If/WAAAAlAEAAAsAAAAAAAAAAAAAAAAALwEAAF9yZWxzLy5yZWxz&#10;UEsBAi0AFAAGAAgAAAAhABianDTxAQAAtAMAAA4AAAAAAAAAAAAAAAAALgIAAGRycy9lMm9Eb2Mu&#10;eG1sUEsBAi0AFAAGAAgAAAAhAO4pKK7YAAAABAEAAA8AAAAAAAAAAAAAAAAASwQAAGRycy9kb3du&#10;cmV2LnhtbFBLBQYAAAAABAAEAPMAAABQ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C949DB"/>
    <w:multiLevelType w:val="singleLevel"/>
    <w:tmpl w:val="9D3A513E"/>
    <w:lvl w:ilvl="0">
      <w:start w:val="1"/>
      <w:numFmt w:val="upperRoman"/>
      <w:lvlText w:val="%1."/>
      <w:lvlJc w:val="left"/>
      <w:pPr>
        <w:tabs>
          <w:tab w:val="num" w:pos="720"/>
        </w:tabs>
        <w:ind w:left="720" w:hanging="720"/>
      </w:pPr>
      <w:rPr>
        <w:rFonts w:hint="default"/>
      </w:rPr>
    </w:lvl>
  </w:abstractNum>
  <w:abstractNum w:abstractNumId="2">
    <w:nsid w:val="236877D6"/>
    <w:multiLevelType w:val="singleLevel"/>
    <w:tmpl w:val="1BF6F506"/>
    <w:lvl w:ilvl="0">
      <w:start w:val="4"/>
      <w:numFmt w:val="upperRoman"/>
      <w:lvlText w:val="%1."/>
      <w:lvlJc w:val="left"/>
      <w:pPr>
        <w:tabs>
          <w:tab w:val="num" w:pos="765"/>
        </w:tabs>
        <w:ind w:left="765" w:hanging="720"/>
      </w:pPr>
      <w:rPr>
        <w:rFont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1430ECE"/>
    <w:multiLevelType w:val="hybridMultilevel"/>
    <w:tmpl w:val="64F8DD7A"/>
    <w:lvl w:ilvl="0" w:tplc="F21817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F50355"/>
    <w:multiLevelType w:val="singleLevel"/>
    <w:tmpl w:val="28B4DB32"/>
    <w:lvl w:ilvl="0">
      <w:start w:val="1"/>
      <w:numFmt w:val="lowerLetter"/>
      <w:lvlText w:val="(%1)"/>
      <w:lvlJc w:val="left"/>
      <w:pPr>
        <w:tabs>
          <w:tab w:val="num" w:pos="1800"/>
        </w:tabs>
        <w:ind w:left="1800" w:hanging="360"/>
      </w:pPr>
      <w:rPr>
        <w:rFonts w:hint="default"/>
      </w:rPr>
    </w:lvl>
  </w:abstractNum>
  <w:abstractNum w:abstractNumId="10">
    <w:nsid w:val="6D2B48D2"/>
    <w:multiLevelType w:val="singleLevel"/>
    <w:tmpl w:val="8A0C983C"/>
    <w:lvl w:ilvl="0">
      <w:start w:val="1"/>
      <w:numFmt w:val="decimal"/>
      <w:pStyle w:val="Paranum0"/>
      <w:lvlText w:val="%1."/>
      <w:lvlJc w:val="left"/>
      <w:pPr>
        <w:tabs>
          <w:tab w:val="num" w:pos="360"/>
        </w:tabs>
        <w:ind w:left="360" w:hanging="360"/>
      </w:pPr>
    </w:lvl>
  </w:abstractNum>
  <w:abstractNum w:abstractNumId="11">
    <w:nsid w:val="703621C9"/>
    <w:multiLevelType w:val="singleLevel"/>
    <w:tmpl w:val="373411A8"/>
    <w:lvl w:ilvl="0">
      <w:start w:val="1"/>
      <w:numFmt w:val="decimal"/>
      <w:lvlText w:val="%1."/>
      <w:lvlJc w:val="left"/>
      <w:pPr>
        <w:tabs>
          <w:tab w:val="num" w:pos="1080"/>
        </w:tabs>
        <w:ind w:left="0" w:firstLine="720"/>
      </w:pPr>
    </w:lvl>
  </w:abstractNum>
  <w:num w:numId="1">
    <w:abstractNumId w:val="1"/>
  </w:num>
  <w:num w:numId="2">
    <w:abstractNumId w:val="7"/>
  </w:num>
  <w:num w:numId="3">
    <w:abstractNumId w:val="9"/>
  </w:num>
  <w:num w:numId="4">
    <w:abstractNumId w:val="2"/>
  </w:num>
  <w:num w:numId="5">
    <w:abstractNumId w:val="10"/>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11"/>
  </w:num>
  <w:num w:numId="20">
    <w:abstractNumId w:val="7"/>
    <w:lvlOverride w:ilvl="0">
      <w:startOverride w:val="1"/>
    </w:lvlOverride>
  </w:num>
  <w:num w:numId="21">
    <w:abstractNumId w:val="7"/>
    <w:lvlOverride w:ilvl="0">
      <w:startOverride w:val="1"/>
    </w:lvlOverride>
  </w:num>
  <w:num w:numId="22">
    <w:abstractNumId w:val="3"/>
  </w:num>
  <w:num w:numId="23">
    <w:abstractNumId w:val="5"/>
  </w:num>
  <w:num w:numId="24">
    <w:abstractNumId w:val="6"/>
  </w:num>
  <w:num w:numId="25">
    <w:abstractNumId w:val="4"/>
  </w:num>
  <w:num w:numId="26">
    <w:abstractNumId w:val="0"/>
  </w:num>
  <w:num w:numId="27">
    <w:abstractNumId w:val="7"/>
  </w:num>
  <w:num w:numId="28">
    <w:abstractNumId w:val="8"/>
  </w:num>
  <w:num w:numId="29">
    <w:abstractNumId w:val="5"/>
  </w:num>
  <w:num w:numId="30">
    <w:abstractNumId w:val="5"/>
  </w:num>
  <w:num w:numId="31">
    <w:abstractNumId w:val="5"/>
  </w:num>
  <w:num w:numId="32">
    <w:abstractNumId w:val="7"/>
  </w:num>
  <w:num w:numId="33">
    <w:abstractNumId w:val="7"/>
    <w:lvlOverride w:ilvl="0">
      <w:startOverride w:val="1"/>
    </w:lvlOverride>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lvlOverride w:ilvl="0">
      <w:startOverride w:val="1"/>
    </w:lvlOverride>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8D"/>
    <w:rsid w:val="00013CBE"/>
    <w:rsid w:val="000279B9"/>
    <w:rsid w:val="00057E69"/>
    <w:rsid w:val="0006031F"/>
    <w:rsid w:val="000705C8"/>
    <w:rsid w:val="00080451"/>
    <w:rsid w:val="00091B59"/>
    <w:rsid w:val="000A0F6B"/>
    <w:rsid w:val="000A1DDD"/>
    <w:rsid w:val="000A4453"/>
    <w:rsid w:val="000B7407"/>
    <w:rsid w:val="000B77C2"/>
    <w:rsid w:val="000C0725"/>
    <w:rsid w:val="000C6478"/>
    <w:rsid w:val="000C72A2"/>
    <w:rsid w:val="000D1385"/>
    <w:rsid w:val="000D17EA"/>
    <w:rsid w:val="000E613E"/>
    <w:rsid w:val="000E6974"/>
    <w:rsid w:val="0011300B"/>
    <w:rsid w:val="0012118E"/>
    <w:rsid w:val="00131B70"/>
    <w:rsid w:val="001332D1"/>
    <w:rsid w:val="0013599C"/>
    <w:rsid w:val="00140456"/>
    <w:rsid w:val="001578A5"/>
    <w:rsid w:val="00171998"/>
    <w:rsid w:val="0017540D"/>
    <w:rsid w:val="00177127"/>
    <w:rsid w:val="00181119"/>
    <w:rsid w:val="0018358D"/>
    <w:rsid w:val="0019235E"/>
    <w:rsid w:val="001A3113"/>
    <w:rsid w:val="001A73E3"/>
    <w:rsid w:val="001B35E5"/>
    <w:rsid w:val="001B7071"/>
    <w:rsid w:val="001B7759"/>
    <w:rsid w:val="001B7B75"/>
    <w:rsid w:val="001C2507"/>
    <w:rsid w:val="001D101B"/>
    <w:rsid w:val="001E44DE"/>
    <w:rsid w:val="001E51BD"/>
    <w:rsid w:val="001F1CCB"/>
    <w:rsid w:val="001F7328"/>
    <w:rsid w:val="00211C75"/>
    <w:rsid w:val="0022669C"/>
    <w:rsid w:val="002353F8"/>
    <w:rsid w:val="00237D5B"/>
    <w:rsid w:val="002467D3"/>
    <w:rsid w:val="002506B6"/>
    <w:rsid w:val="00255C49"/>
    <w:rsid w:val="00260000"/>
    <w:rsid w:val="00264F1D"/>
    <w:rsid w:val="0027521E"/>
    <w:rsid w:val="00277F8D"/>
    <w:rsid w:val="00294C1A"/>
    <w:rsid w:val="0029730F"/>
    <w:rsid w:val="002B043B"/>
    <w:rsid w:val="002B44BF"/>
    <w:rsid w:val="002C1828"/>
    <w:rsid w:val="002C304C"/>
    <w:rsid w:val="002C4419"/>
    <w:rsid w:val="002C7FC2"/>
    <w:rsid w:val="002D0508"/>
    <w:rsid w:val="002D2C9F"/>
    <w:rsid w:val="002E5C2D"/>
    <w:rsid w:val="002E7AAD"/>
    <w:rsid w:val="002F5E14"/>
    <w:rsid w:val="002F63FB"/>
    <w:rsid w:val="0030394D"/>
    <w:rsid w:val="00317490"/>
    <w:rsid w:val="00324810"/>
    <w:rsid w:val="0032648B"/>
    <w:rsid w:val="003308C2"/>
    <w:rsid w:val="0034539D"/>
    <w:rsid w:val="00347F6E"/>
    <w:rsid w:val="003522A3"/>
    <w:rsid w:val="00354AA0"/>
    <w:rsid w:val="00361CE8"/>
    <w:rsid w:val="003652AE"/>
    <w:rsid w:val="00367DB1"/>
    <w:rsid w:val="00370EBA"/>
    <w:rsid w:val="0037709A"/>
    <w:rsid w:val="00377B78"/>
    <w:rsid w:val="00380DFC"/>
    <w:rsid w:val="003810EE"/>
    <w:rsid w:val="00382027"/>
    <w:rsid w:val="0039345F"/>
    <w:rsid w:val="00394A32"/>
    <w:rsid w:val="00394ADB"/>
    <w:rsid w:val="00396107"/>
    <w:rsid w:val="003A04AB"/>
    <w:rsid w:val="003C6DB3"/>
    <w:rsid w:val="003D2D53"/>
    <w:rsid w:val="003D2ED7"/>
    <w:rsid w:val="003D33F6"/>
    <w:rsid w:val="003D353F"/>
    <w:rsid w:val="003D35FE"/>
    <w:rsid w:val="003E520A"/>
    <w:rsid w:val="003F06D7"/>
    <w:rsid w:val="003F5D72"/>
    <w:rsid w:val="00402330"/>
    <w:rsid w:val="00402992"/>
    <w:rsid w:val="00407058"/>
    <w:rsid w:val="00407360"/>
    <w:rsid w:val="004121FC"/>
    <w:rsid w:val="00413D0A"/>
    <w:rsid w:val="00414FC7"/>
    <w:rsid w:val="00422F6A"/>
    <w:rsid w:val="00424792"/>
    <w:rsid w:val="00431E5A"/>
    <w:rsid w:val="00435D63"/>
    <w:rsid w:val="004365C9"/>
    <w:rsid w:val="0043670A"/>
    <w:rsid w:val="00445EA1"/>
    <w:rsid w:val="00445FFF"/>
    <w:rsid w:val="00450213"/>
    <w:rsid w:val="00467FF6"/>
    <w:rsid w:val="0047168D"/>
    <w:rsid w:val="004727A7"/>
    <w:rsid w:val="00494352"/>
    <w:rsid w:val="00496D18"/>
    <w:rsid w:val="00497106"/>
    <w:rsid w:val="004A2A9A"/>
    <w:rsid w:val="004B3913"/>
    <w:rsid w:val="004B4DC7"/>
    <w:rsid w:val="004C67FC"/>
    <w:rsid w:val="004D3934"/>
    <w:rsid w:val="004D4F5B"/>
    <w:rsid w:val="004D53C5"/>
    <w:rsid w:val="004E1167"/>
    <w:rsid w:val="004F431A"/>
    <w:rsid w:val="0050530E"/>
    <w:rsid w:val="00511BFC"/>
    <w:rsid w:val="00513846"/>
    <w:rsid w:val="005138EC"/>
    <w:rsid w:val="00515181"/>
    <w:rsid w:val="0052134B"/>
    <w:rsid w:val="00524644"/>
    <w:rsid w:val="00525DC8"/>
    <w:rsid w:val="00526F44"/>
    <w:rsid w:val="00535B03"/>
    <w:rsid w:val="00536F15"/>
    <w:rsid w:val="00537A4A"/>
    <w:rsid w:val="0055659E"/>
    <w:rsid w:val="00560CEF"/>
    <w:rsid w:val="005652DD"/>
    <w:rsid w:val="0057398F"/>
    <w:rsid w:val="005818D2"/>
    <w:rsid w:val="005876B5"/>
    <w:rsid w:val="005931D8"/>
    <w:rsid w:val="00597015"/>
    <w:rsid w:val="005A000D"/>
    <w:rsid w:val="005A0781"/>
    <w:rsid w:val="005A1E2D"/>
    <w:rsid w:val="005A3420"/>
    <w:rsid w:val="005A7914"/>
    <w:rsid w:val="005B25BA"/>
    <w:rsid w:val="005B3F26"/>
    <w:rsid w:val="005C2E87"/>
    <w:rsid w:val="005D6A80"/>
    <w:rsid w:val="00603A1D"/>
    <w:rsid w:val="00606981"/>
    <w:rsid w:val="00606FD2"/>
    <w:rsid w:val="006170A9"/>
    <w:rsid w:val="00626438"/>
    <w:rsid w:val="006276EF"/>
    <w:rsid w:val="00631C40"/>
    <w:rsid w:val="00635CA7"/>
    <w:rsid w:val="006360AC"/>
    <w:rsid w:val="00647C13"/>
    <w:rsid w:val="00655FE6"/>
    <w:rsid w:val="00657585"/>
    <w:rsid w:val="00665571"/>
    <w:rsid w:val="00665F0E"/>
    <w:rsid w:val="0067391A"/>
    <w:rsid w:val="00674ABC"/>
    <w:rsid w:val="00676AAC"/>
    <w:rsid w:val="00680B2A"/>
    <w:rsid w:val="00682141"/>
    <w:rsid w:val="00682FA7"/>
    <w:rsid w:val="006A5E12"/>
    <w:rsid w:val="006B05BD"/>
    <w:rsid w:val="006B63D3"/>
    <w:rsid w:val="006C19C6"/>
    <w:rsid w:val="006D1347"/>
    <w:rsid w:val="006D43B7"/>
    <w:rsid w:val="006E3112"/>
    <w:rsid w:val="006E5620"/>
    <w:rsid w:val="006F6127"/>
    <w:rsid w:val="0070354C"/>
    <w:rsid w:val="007064BD"/>
    <w:rsid w:val="00711126"/>
    <w:rsid w:val="0071207A"/>
    <w:rsid w:val="00723FF9"/>
    <w:rsid w:val="00733F54"/>
    <w:rsid w:val="0073680A"/>
    <w:rsid w:val="00747C17"/>
    <w:rsid w:val="007507EC"/>
    <w:rsid w:val="00755F50"/>
    <w:rsid w:val="00762D03"/>
    <w:rsid w:val="007662E2"/>
    <w:rsid w:val="007707D4"/>
    <w:rsid w:val="00773E2B"/>
    <w:rsid w:val="00790528"/>
    <w:rsid w:val="00790C68"/>
    <w:rsid w:val="0079541F"/>
    <w:rsid w:val="007A1EC6"/>
    <w:rsid w:val="007B41F2"/>
    <w:rsid w:val="007C5C28"/>
    <w:rsid w:val="007C60DB"/>
    <w:rsid w:val="007E1A25"/>
    <w:rsid w:val="007F6D7A"/>
    <w:rsid w:val="008050D4"/>
    <w:rsid w:val="0080544C"/>
    <w:rsid w:val="00812576"/>
    <w:rsid w:val="00813FC4"/>
    <w:rsid w:val="00827F87"/>
    <w:rsid w:val="008432AA"/>
    <w:rsid w:val="00847E92"/>
    <w:rsid w:val="00861717"/>
    <w:rsid w:val="00866ADD"/>
    <w:rsid w:val="00871980"/>
    <w:rsid w:val="00876238"/>
    <w:rsid w:val="00877DBE"/>
    <w:rsid w:val="008809EA"/>
    <w:rsid w:val="0089232A"/>
    <w:rsid w:val="008A4EDB"/>
    <w:rsid w:val="008A7AC7"/>
    <w:rsid w:val="008B1E5E"/>
    <w:rsid w:val="008B3EDA"/>
    <w:rsid w:val="008B739A"/>
    <w:rsid w:val="008C1667"/>
    <w:rsid w:val="008C2675"/>
    <w:rsid w:val="008C5966"/>
    <w:rsid w:val="008D1431"/>
    <w:rsid w:val="008D728E"/>
    <w:rsid w:val="008E263C"/>
    <w:rsid w:val="008F4378"/>
    <w:rsid w:val="008F5F64"/>
    <w:rsid w:val="008F7139"/>
    <w:rsid w:val="0090788E"/>
    <w:rsid w:val="00911AF7"/>
    <w:rsid w:val="00912D29"/>
    <w:rsid w:val="00920CBF"/>
    <w:rsid w:val="00933C42"/>
    <w:rsid w:val="00933ECE"/>
    <w:rsid w:val="00935CDA"/>
    <w:rsid w:val="00940AA2"/>
    <w:rsid w:val="00944F96"/>
    <w:rsid w:val="00963151"/>
    <w:rsid w:val="00973D10"/>
    <w:rsid w:val="00974691"/>
    <w:rsid w:val="009766D1"/>
    <w:rsid w:val="00980939"/>
    <w:rsid w:val="00982F02"/>
    <w:rsid w:val="00985312"/>
    <w:rsid w:val="0098793B"/>
    <w:rsid w:val="0099018F"/>
    <w:rsid w:val="00992C0F"/>
    <w:rsid w:val="00993C32"/>
    <w:rsid w:val="00995127"/>
    <w:rsid w:val="009A1C80"/>
    <w:rsid w:val="009A38E3"/>
    <w:rsid w:val="009B1F2E"/>
    <w:rsid w:val="009C02EC"/>
    <w:rsid w:val="009C1783"/>
    <w:rsid w:val="009C5560"/>
    <w:rsid w:val="009E11FB"/>
    <w:rsid w:val="009F08E1"/>
    <w:rsid w:val="009F3F03"/>
    <w:rsid w:val="009F795A"/>
    <w:rsid w:val="00A024E0"/>
    <w:rsid w:val="00A108B5"/>
    <w:rsid w:val="00A14551"/>
    <w:rsid w:val="00A32FCB"/>
    <w:rsid w:val="00A36623"/>
    <w:rsid w:val="00A37C55"/>
    <w:rsid w:val="00A41F05"/>
    <w:rsid w:val="00A42A73"/>
    <w:rsid w:val="00A46B6D"/>
    <w:rsid w:val="00A57B8C"/>
    <w:rsid w:val="00A7669E"/>
    <w:rsid w:val="00A8123A"/>
    <w:rsid w:val="00A81645"/>
    <w:rsid w:val="00A828F5"/>
    <w:rsid w:val="00A84658"/>
    <w:rsid w:val="00A84B70"/>
    <w:rsid w:val="00A876D3"/>
    <w:rsid w:val="00A9284C"/>
    <w:rsid w:val="00A946F9"/>
    <w:rsid w:val="00A951D0"/>
    <w:rsid w:val="00AA41D1"/>
    <w:rsid w:val="00AA42FE"/>
    <w:rsid w:val="00AA6B8F"/>
    <w:rsid w:val="00AB2DE3"/>
    <w:rsid w:val="00AB4C45"/>
    <w:rsid w:val="00AB5E20"/>
    <w:rsid w:val="00AE01EA"/>
    <w:rsid w:val="00AE3077"/>
    <w:rsid w:val="00AF415F"/>
    <w:rsid w:val="00B1282B"/>
    <w:rsid w:val="00B15AFA"/>
    <w:rsid w:val="00B15EEE"/>
    <w:rsid w:val="00B205FE"/>
    <w:rsid w:val="00B249C0"/>
    <w:rsid w:val="00B27498"/>
    <w:rsid w:val="00B30E94"/>
    <w:rsid w:val="00B3288B"/>
    <w:rsid w:val="00B34338"/>
    <w:rsid w:val="00B36C9B"/>
    <w:rsid w:val="00B40987"/>
    <w:rsid w:val="00B436AD"/>
    <w:rsid w:val="00B50A08"/>
    <w:rsid w:val="00B50BB3"/>
    <w:rsid w:val="00B813BA"/>
    <w:rsid w:val="00BA161A"/>
    <w:rsid w:val="00BC4793"/>
    <w:rsid w:val="00BD3ED9"/>
    <w:rsid w:val="00BD743C"/>
    <w:rsid w:val="00BD7E82"/>
    <w:rsid w:val="00BE0A63"/>
    <w:rsid w:val="00BE123A"/>
    <w:rsid w:val="00BE2376"/>
    <w:rsid w:val="00BF1296"/>
    <w:rsid w:val="00C04FC0"/>
    <w:rsid w:val="00C06D65"/>
    <w:rsid w:val="00C145CA"/>
    <w:rsid w:val="00C251DF"/>
    <w:rsid w:val="00C2569A"/>
    <w:rsid w:val="00C270BD"/>
    <w:rsid w:val="00C3136A"/>
    <w:rsid w:val="00C32772"/>
    <w:rsid w:val="00C36A20"/>
    <w:rsid w:val="00C4249D"/>
    <w:rsid w:val="00C66205"/>
    <w:rsid w:val="00C83550"/>
    <w:rsid w:val="00C87D0D"/>
    <w:rsid w:val="00C9063C"/>
    <w:rsid w:val="00CA311E"/>
    <w:rsid w:val="00CA3892"/>
    <w:rsid w:val="00CB0E9D"/>
    <w:rsid w:val="00CD205C"/>
    <w:rsid w:val="00CF00BE"/>
    <w:rsid w:val="00CF0E8B"/>
    <w:rsid w:val="00D05472"/>
    <w:rsid w:val="00D06F66"/>
    <w:rsid w:val="00D11557"/>
    <w:rsid w:val="00D310E6"/>
    <w:rsid w:val="00D31CE6"/>
    <w:rsid w:val="00D34A3A"/>
    <w:rsid w:val="00D36E6B"/>
    <w:rsid w:val="00D437DC"/>
    <w:rsid w:val="00D44481"/>
    <w:rsid w:val="00D45E2E"/>
    <w:rsid w:val="00D51E2C"/>
    <w:rsid w:val="00D5204E"/>
    <w:rsid w:val="00D54D8E"/>
    <w:rsid w:val="00D60809"/>
    <w:rsid w:val="00D61169"/>
    <w:rsid w:val="00D72CEE"/>
    <w:rsid w:val="00D815CF"/>
    <w:rsid w:val="00D96611"/>
    <w:rsid w:val="00DA3732"/>
    <w:rsid w:val="00DA6ED3"/>
    <w:rsid w:val="00DB21E3"/>
    <w:rsid w:val="00DB31FB"/>
    <w:rsid w:val="00DB6ADA"/>
    <w:rsid w:val="00DC5314"/>
    <w:rsid w:val="00DC5FF4"/>
    <w:rsid w:val="00DC7CAC"/>
    <w:rsid w:val="00DE052E"/>
    <w:rsid w:val="00DE2D29"/>
    <w:rsid w:val="00DE76FD"/>
    <w:rsid w:val="00DE7924"/>
    <w:rsid w:val="00DF1032"/>
    <w:rsid w:val="00DF25B7"/>
    <w:rsid w:val="00DF3C01"/>
    <w:rsid w:val="00E03123"/>
    <w:rsid w:val="00E07B65"/>
    <w:rsid w:val="00E15915"/>
    <w:rsid w:val="00E24B72"/>
    <w:rsid w:val="00E35283"/>
    <w:rsid w:val="00E3642C"/>
    <w:rsid w:val="00E4561D"/>
    <w:rsid w:val="00E46159"/>
    <w:rsid w:val="00E55540"/>
    <w:rsid w:val="00E563EF"/>
    <w:rsid w:val="00E60B77"/>
    <w:rsid w:val="00E61E90"/>
    <w:rsid w:val="00E74018"/>
    <w:rsid w:val="00E9629A"/>
    <w:rsid w:val="00EB7AFF"/>
    <w:rsid w:val="00EC34DF"/>
    <w:rsid w:val="00ED0B79"/>
    <w:rsid w:val="00ED127C"/>
    <w:rsid w:val="00ED578C"/>
    <w:rsid w:val="00EE2868"/>
    <w:rsid w:val="00EF5B68"/>
    <w:rsid w:val="00F003FB"/>
    <w:rsid w:val="00F00D22"/>
    <w:rsid w:val="00F07A69"/>
    <w:rsid w:val="00F10C33"/>
    <w:rsid w:val="00F11F66"/>
    <w:rsid w:val="00F1388A"/>
    <w:rsid w:val="00F21A4D"/>
    <w:rsid w:val="00F23794"/>
    <w:rsid w:val="00F241E5"/>
    <w:rsid w:val="00F32A34"/>
    <w:rsid w:val="00F431C8"/>
    <w:rsid w:val="00F4463F"/>
    <w:rsid w:val="00F517E1"/>
    <w:rsid w:val="00F55498"/>
    <w:rsid w:val="00F611D3"/>
    <w:rsid w:val="00F61A8D"/>
    <w:rsid w:val="00F83CBE"/>
    <w:rsid w:val="00F90597"/>
    <w:rsid w:val="00F94261"/>
    <w:rsid w:val="00FA0EB7"/>
    <w:rsid w:val="00FC31EA"/>
    <w:rsid w:val="00FC5F89"/>
    <w:rsid w:val="00FC6BA7"/>
    <w:rsid w:val="00FE20AA"/>
    <w:rsid w:val="00FE3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AA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29"/>
    <w:pPr>
      <w:widowControl w:val="0"/>
    </w:pPr>
    <w:rPr>
      <w:snapToGrid w:val="0"/>
      <w:kern w:val="28"/>
      <w:sz w:val="22"/>
    </w:rPr>
  </w:style>
  <w:style w:type="paragraph" w:styleId="Heading1">
    <w:name w:val="heading 1"/>
    <w:basedOn w:val="Normal"/>
    <w:next w:val="ParaNum"/>
    <w:qFormat/>
    <w:rsid w:val="00DE2D29"/>
    <w:pPr>
      <w:keepNext/>
      <w:numPr>
        <w:numId w:val="2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E2D29"/>
    <w:pPr>
      <w:keepNext/>
      <w:numPr>
        <w:ilvl w:val="1"/>
        <w:numId w:val="23"/>
      </w:numPr>
      <w:spacing w:after="120"/>
      <w:outlineLvl w:val="1"/>
    </w:pPr>
    <w:rPr>
      <w:b/>
    </w:rPr>
  </w:style>
  <w:style w:type="paragraph" w:styleId="Heading3">
    <w:name w:val="heading 3"/>
    <w:basedOn w:val="Normal"/>
    <w:next w:val="ParaNum"/>
    <w:qFormat/>
    <w:rsid w:val="00DE2D29"/>
    <w:pPr>
      <w:keepNext/>
      <w:numPr>
        <w:ilvl w:val="2"/>
        <w:numId w:val="23"/>
      </w:numPr>
      <w:tabs>
        <w:tab w:val="left" w:pos="2160"/>
      </w:tabs>
      <w:spacing w:after="120"/>
      <w:outlineLvl w:val="2"/>
    </w:pPr>
    <w:rPr>
      <w:b/>
    </w:rPr>
  </w:style>
  <w:style w:type="paragraph" w:styleId="Heading4">
    <w:name w:val="heading 4"/>
    <w:basedOn w:val="Normal"/>
    <w:next w:val="ParaNum"/>
    <w:qFormat/>
    <w:rsid w:val="00DE2D29"/>
    <w:pPr>
      <w:keepNext/>
      <w:numPr>
        <w:ilvl w:val="3"/>
        <w:numId w:val="23"/>
      </w:numPr>
      <w:tabs>
        <w:tab w:val="left" w:pos="2880"/>
      </w:tabs>
      <w:spacing w:after="120"/>
      <w:outlineLvl w:val="3"/>
    </w:pPr>
    <w:rPr>
      <w:b/>
    </w:rPr>
  </w:style>
  <w:style w:type="paragraph" w:styleId="Heading5">
    <w:name w:val="heading 5"/>
    <w:basedOn w:val="Normal"/>
    <w:next w:val="ParaNum"/>
    <w:qFormat/>
    <w:rsid w:val="00DE2D29"/>
    <w:pPr>
      <w:keepNext/>
      <w:numPr>
        <w:ilvl w:val="4"/>
        <w:numId w:val="23"/>
      </w:numPr>
      <w:tabs>
        <w:tab w:val="left" w:pos="3600"/>
      </w:tabs>
      <w:suppressAutoHyphens/>
      <w:spacing w:after="120"/>
      <w:outlineLvl w:val="4"/>
    </w:pPr>
    <w:rPr>
      <w:b/>
    </w:rPr>
  </w:style>
  <w:style w:type="paragraph" w:styleId="Heading6">
    <w:name w:val="heading 6"/>
    <w:basedOn w:val="Normal"/>
    <w:next w:val="ParaNum"/>
    <w:qFormat/>
    <w:rsid w:val="00DE2D29"/>
    <w:pPr>
      <w:numPr>
        <w:ilvl w:val="5"/>
        <w:numId w:val="23"/>
      </w:numPr>
      <w:tabs>
        <w:tab w:val="left" w:pos="4320"/>
      </w:tabs>
      <w:spacing w:after="120"/>
      <w:outlineLvl w:val="5"/>
    </w:pPr>
    <w:rPr>
      <w:b/>
    </w:rPr>
  </w:style>
  <w:style w:type="paragraph" w:styleId="Heading7">
    <w:name w:val="heading 7"/>
    <w:basedOn w:val="Normal"/>
    <w:next w:val="ParaNum"/>
    <w:qFormat/>
    <w:rsid w:val="00DE2D29"/>
    <w:pPr>
      <w:numPr>
        <w:ilvl w:val="6"/>
        <w:numId w:val="23"/>
      </w:numPr>
      <w:tabs>
        <w:tab w:val="left" w:pos="5040"/>
      </w:tabs>
      <w:spacing w:after="120"/>
      <w:ind w:left="5040" w:hanging="720"/>
      <w:outlineLvl w:val="6"/>
    </w:pPr>
    <w:rPr>
      <w:b/>
    </w:rPr>
  </w:style>
  <w:style w:type="paragraph" w:styleId="Heading8">
    <w:name w:val="heading 8"/>
    <w:basedOn w:val="Normal"/>
    <w:next w:val="ParaNum"/>
    <w:qFormat/>
    <w:rsid w:val="00DE2D29"/>
    <w:pPr>
      <w:numPr>
        <w:ilvl w:val="7"/>
        <w:numId w:val="23"/>
      </w:numPr>
      <w:tabs>
        <w:tab w:val="clear" w:pos="5400"/>
        <w:tab w:val="left" w:pos="5760"/>
      </w:tabs>
      <w:spacing w:after="120"/>
      <w:ind w:left="5760" w:hanging="720"/>
      <w:outlineLvl w:val="7"/>
    </w:pPr>
    <w:rPr>
      <w:b/>
    </w:rPr>
  </w:style>
  <w:style w:type="paragraph" w:styleId="Heading9">
    <w:name w:val="heading 9"/>
    <w:basedOn w:val="Normal"/>
    <w:next w:val="ParaNum"/>
    <w:qFormat/>
    <w:rsid w:val="00DE2D29"/>
    <w:pPr>
      <w:numPr>
        <w:ilvl w:val="8"/>
        <w:numId w:val="2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E2D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2D29"/>
  </w:style>
  <w:style w:type="paragraph" w:styleId="Title">
    <w:name w:val="Title"/>
    <w:basedOn w:val="Normal"/>
    <w:qFormat/>
    <w:pPr>
      <w:jc w:val="center"/>
    </w:pPr>
    <w:rPr>
      <w:sz w:val="24"/>
    </w:rPr>
  </w:style>
  <w:style w:type="paragraph" w:styleId="Subtitle">
    <w:name w:val="Subtitle"/>
    <w:basedOn w:val="Normal"/>
    <w:qFormat/>
    <w:pPr>
      <w:jc w:val="center"/>
    </w:pPr>
    <w:rPr>
      <w:sz w:val="24"/>
    </w:rPr>
  </w:style>
  <w:style w:type="paragraph" w:styleId="BodyTextIndent">
    <w:name w:val="Body Text Indent"/>
    <w:basedOn w:val="Normal"/>
    <w:pPr>
      <w:ind w:firstLine="360"/>
    </w:pPr>
    <w:rPr>
      <w:sz w:val="24"/>
    </w:rPr>
  </w:style>
  <w:style w:type="paragraph" w:styleId="Footer">
    <w:name w:val="footer"/>
    <w:basedOn w:val="Normal"/>
    <w:rsid w:val="00DE2D29"/>
    <w:pPr>
      <w:tabs>
        <w:tab w:val="center" w:pos="4320"/>
        <w:tab w:val="right" w:pos="8640"/>
      </w:tabs>
    </w:pPr>
  </w:style>
  <w:style w:type="character" w:styleId="PageNumber">
    <w:name w:val="page number"/>
    <w:basedOn w:val="DefaultParagraphFont"/>
    <w:rsid w:val="00DE2D29"/>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link w:val="FootnoteTextChar2"/>
    <w:rsid w:val="00DE2D29"/>
    <w:pPr>
      <w:spacing w:after="120"/>
    </w:pPr>
  </w:style>
  <w:style w:type="character" w:styleId="FootnoteReference">
    <w:name w:val="footnote reference"/>
    <w:aliases w:val="Style 4,Appel note de bas de p,Style 12,(NECG) Footnote Reference,Style 124"/>
    <w:rsid w:val="00DE2D29"/>
    <w:rPr>
      <w:rFonts w:ascii="Times New Roman" w:hAnsi="Times New Roman"/>
      <w:dstrike w:val="0"/>
      <w:color w:val="auto"/>
      <w:sz w:val="20"/>
      <w:vertAlign w:val="superscript"/>
    </w:rPr>
  </w:style>
  <w:style w:type="paragraph" w:styleId="BodyText">
    <w:name w:val="Body Text"/>
    <w:basedOn w:val="Normal"/>
    <w:pPr>
      <w:tabs>
        <w:tab w:val="left" w:pos="-720"/>
      </w:tabs>
      <w:suppressAutoHyphens/>
      <w:spacing w:line="227" w:lineRule="auto"/>
      <w:jc w:val="both"/>
    </w:pPr>
    <w:rPr>
      <w:spacing w:val="-2"/>
    </w:rPr>
  </w:style>
  <w:style w:type="paragraph" w:styleId="Header">
    <w:name w:val="header"/>
    <w:basedOn w:val="Normal"/>
    <w:autoRedefine/>
    <w:rsid w:val="00DE2D29"/>
    <w:pPr>
      <w:tabs>
        <w:tab w:val="center" w:pos="4680"/>
        <w:tab w:val="right" w:pos="9360"/>
      </w:tabs>
    </w:pPr>
    <w:rPr>
      <w:b/>
    </w:rPr>
  </w:style>
  <w:style w:type="paragraph" w:styleId="BodyTextIndent2">
    <w:name w:val="Body Text Indent 2"/>
    <w:basedOn w:val="Normal"/>
    <w:pPr>
      <w:tabs>
        <w:tab w:val="left" w:pos="-720"/>
      </w:tabs>
      <w:suppressAutoHyphens/>
      <w:spacing w:line="480" w:lineRule="auto"/>
      <w:ind w:left="720"/>
      <w:jc w:val="both"/>
    </w:pPr>
    <w:rPr>
      <w:spacing w:val="-2"/>
    </w:rPr>
  </w:style>
  <w:style w:type="character" w:styleId="EndnoteReference">
    <w:name w:val="endnote reference"/>
    <w:semiHidden/>
    <w:rsid w:val="00DE2D29"/>
    <w:rPr>
      <w:vertAlign w:val="superscript"/>
    </w:rPr>
  </w:style>
  <w:style w:type="paragraph" w:styleId="BodyTextIndent3">
    <w:name w:val="Body Text Indent 3"/>
    <w:basedOn w:val="Normal"/>
    <w:pPr>
      <w:ind w:firstLine="720"/>
    </w:pPr>
    <w:rPr>
      <w:sz w:val="24"/>
    </w:rPr>
  </w:style>
  <w:style w:type="paragraph" w:styleId="BodyText2">
    <w:name w:val="Body Text 2"/>
    <w:basedOn w:val="Normal"/>
  </w:style>
  <w:style w:type="paragraph" w:styleId="BlockText">
    <w:name w:val="Block Text"/>
    <w:basedOn w:val="Normal"/>
    <w:rsid w:val="00DE2D29"/>
    <w:pPr>
      <w:spacing w:after="240"/>
      <w:ind w:left="1440" w:right="1440"/>
    </w:pPr>
  </w:style>
  <w:style w:type="paragraph" w:styleId="EndnoteText">
    <w:name w:val="endnote text"/>
    <w:basedOn w:val="Normal"/>
    <w:semiHidden/>
    <w:rsid w:val="00DE2D29"/>
    <w:rPr>
      <w:sz w:val="20"/>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rsid w:val="00DE2D29"/>
    <w:pPr>
      <w:numPr>
        <w:numId w:val="2"/>
      </w:numPr>
      <w:tabs>
        <w:tab w:val="clear" w:pos="1080"/>
        <w:tab w:val="num" w:pos="1440"/>
      </w:tabs>
      <w:spacing w:after="120"/>
    </w:pPr>
  </w:style>
  <w:style w:type="paragraph" w:styleId="BodyText3">
    <w:name w:val="Body Text 3"/>
    <w:basedOn w:val="Normal"/>
    <w:pPr>
      <w:spacing w:after="120"/>
    </w:pPr>
    <w:rPr>
      <w:sz w:val="16"/>
      <w:szCs w:val="16"/>
    </w:rPr>
  </w:style>
  <w:style w:type="paragraph" w:customStyle="1" w:styleId="Paranum0">
    <w:name w:val="Paranum"/>
    <w:pPr>
      <w:numPr>
        <w:numId w:val="5"/>
      </w:numPr>
      <w:tabs>
        <w:tab w:val="clear" w:pos="360"/>
        <w:tab w:val="left" w:pos="1440"/>
      </w:tabs>
      <w:spacing w:after="240"/>
      <w:ind w:left="0" w:firstLine="720"/>
      <w:jc w:val="both"/>
    </w:pPr>
    <w:rPr>
      <w:sz w:val="22"/>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style>
  <w:style w:type="character" w:customStyle="1" w:styleId="ParaNumChar">
    <w:name w:val="ParaNum Char"/>
    <w:link w:val="ParaNum"/>
    <w:rPr>
      <w:snapToGrid w:val="0"/>
      <w:kern w:val="28"/>
      <w:sz w:val="22"/>
    </w:rPr>
  </w:style>
  <w:style w:type="character" w:styleId="Hyperlink">
    <w:name w:val="Hyperlink"/>
    <w:rsid w:val="00DE2D29"/>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Revision">
    <w:name w:val="Revision"/>
    <w:hidden/>
    <w:uiPriority w:val="99"/>
    <w:semiHidden/>
  </w:style>
  <w:style w:type="paragraph" w:styleId="TOC1">
    <w:name w:val="toc 1"/>
    <w:basedOn w:val="Normal"/>
    <w:next w:val="Normal"/>
    <w:rsid w:val="00DE2D29"/>
    <w:pPr>
      <w:tabs>
        <w:tab w:val="left" w:pos="360"/>
        <w:tab w:val="right" w:leader="dot" w:pos="9360"/>
      </w:tabs>
      <w:suppressAutoHyphens/>
      <w:ind w:left="360" w:right="720" w:hanging="360"/>
    </w:pPr>
    <w:rPr>
      <w:caps/>
      <w:noProof/>
    </w:rPr>
  </w:style>
  <w:style w:type="paragraph" w:styleId="TOC2">
    <w:name w:val="toc 2"/>
    <w:basedOn w:val="Normal"/>
    <w:next w:val="Normal"/>
    <w:rsid w:val="00DE2D29"/>
    <w:pPr>
      <w:tabs>
        <w:tab w:val="left" w:pos="720"/>
        <w:tab w:val="right" w:leader="dot" w:pos="9360"/>
      </w:tabs>
      <w:suppressAutoHyphens/>
      <w:ind w:left="720" w:right="720" w:hanging="360"/>
    </w:pPr>
    <w:rPr>
      <w:noProof/>
    </w:rPr>
  </w:style>
  <w:style w:type="paragraph" w:styleId="TOC3">
    <w:name w:val="toc 3"/>
    <w:basedOn w:val="Normal"/>
    <w:next w:val="Normal"/>
    <w:rsid w:val="00DE2D2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E2D2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E2D29"/>
    <w:pPr>
      <w:tabs>
        <w:tab w:val="left" w:pos="1800"/>
        <w:tab w:val="right" w:leader="dot" w:pos="9360"/>
      </w:tabs>
      <w:suppressAutoHyphens/>
      <w:ind w:left="1800" w:right="720" w:hanging="360"/>
    </w:pPr>
    <w:rPr>
      <w:noProof/>
    </w:rPr>
  </w:style>
  <w:style w:type="paragraph" w:styleId="TOC6">
    <w:name w:val="toc 6"/>
    <w:basedOn w:val="Normal"/>
    <w:next w:val="Normal"/>
    <w:autoRedefine/>
    <w:rsid w:val="00DE2D29"/>
    <w:pPr>
      <w:tabs>
        <w:tab w:val="left" w:pos="2160"/>
        <w:tab w:val="right" w:leader="dot" w:pos="9360"/>
      </w:tabs>
      <w:suppressAutoHyphens/>
      <w:ind w:left="2160" w:hanging="360"/>
    </w:pPr>
    <w:rPr>
      <w:noProof/>
    </w:rPr>
  </w:style>
  <w:style w:type="paragraph" w:styleId="TOC7">
    <w:name w:val="toc 7"/>
    <w:basedOn w:val="Normal"/>
    <w:next w:val="Normal"/>
    <w:autoRedefine/>
    <w:rsid w:val="00DE2D29"/>
    <w:pPr>
      <w:tabs>
        <w:tab w:val="left" w:pos="2520"/>
        <w:tab w:val="right" w:leader="dot" w:pos="9360"/>
      </w:tabs>
      <w:suppressAutoHyphens/>
      <w:ind w:left="2520" w:hanging="360"/>
    </w:pPr>
    <w:rPr>
      <w:noProof/>
    </w:rPr>
  </w:style>
  <w:style w:type="paragraph" w:styleId="TOC8">
    <w:name w:val="toc 8"/>
    <w:basedOn w:val="Normal"/>
    <w:next w:val="Normal"/>
    <w:autoRedefine/>
    <w:rsid w:val="00DE2D29"/>
    <w:pPr>
      <w:tabs>
        <w:tab w:val="left" w:pos="2880"/>
        <w:tab w:val="right" w:leader="dot" w:pos="9360"/>
      </w:tabs>
      <w:suppressAutoHyphens/>
      <w:ind w:left="2880" w:hanging="360"/>
    </w:pPr>
    <w:rPr>
      <w:noProof/>
    </w:rPr>
  </w:style>
  <w:style w:type="paragraph" w:styleId="TOC9">
    <w:name w:val="toc 9"/>
    <w:basedOn w:val="Normal"/>
    <w:next w:val="Normal"/>
    <w:autoRedefine/>
    <w:rsid w:val="00DE2D29"/>
    <w:pPr>
      <w:tabs>
        <w:tab w:val="left" w:pos="3240"/>
        <w:tab w:val="right" w:leader="dot" w:pos="9360"/>
      </w:tabs>
      <w:suppressAutoHyphens/>
      <w:ind w:left="3240" w:hanging="360"/>
    </w:pPr>
    <w:rPr>
      <w:noProof/>
    </w:rPr>
  </w:style>
  <w:style w:type="paragraph" w:styleId="TOAHeading">
    <w:name w:val="toa heading"/>
    <w:basedOn w:val="Normal"/>
    <w:next w:val="Normal"/>
    <w:rsid w:val="00DE2D29"/>
    <w:pPr>
      <w:tabs>
        <w:tab w:val="right" w:pos="9360"/>
      </w:tabs>
      <w:suppressAutoHyphens/>
    </w:pPr>
  </w:style>
  <w:style w:type="character" w:customStyle="1" w:styleId="EquationCaption">
    <w:name w:val="_Equation Caption"/>
    <w:rsid w:val="00DE2D29"/>
  </w:style>
  <w:style w:type="paragraph" w:customStyle="1" w:styleId="Paratitle">
    <w:name w:val="Para title"/>
    <w:basedOn w:val="Normal"/>
    <w:rsid w:val="00DE2D29"/>
    <w:pPr>
      <w:tabs>
        <w:tab w:val="center" w:pos="9270"/>
      </w:tabs>
      <w:spacing w:after="240"/>
    </w:pPr>
    <w:rPr>
      <w:spacing w:val="-2"/>
    </w:rPr>
  </w:style>
  <w:style w:type="paragraph" w:customStyle="1" w:styleId="Bullet">
    <w:name w:val="Bullet"/>
    <w:basedOn w:val="Normal"/>
    <w:rsid w:val="00DE2D29"/>
    <w:pPr>
      <w:tabs>
        <w:tab w:val="left" w:pos="2160"/>
      </w:tabs>
      <w:spacing w:after="220"/>
      <w:ind w:left="2160" w:hanging="720"/>
    </w:pPr>
  </w:style>
  <w:style w:type="paragraph" w:customStyle="1" w:styleId="TableFormat">
    <w:name w:val="TableFormat"/>
    <w:basedOn w:val="Bullet"/>
    <w:rsid w:val="00DE2D29"/>
    <w:pPr>
      <w:tabs>
        <w:tab w:val="clear" w:pos="2160"/>
        <w:tab w:val="left" w:pos="5040"/>
      </w:tabs>
      <w:ind w:left="5040" w:hanging="3600"/>
    </w:pPr>
  </w:style>
  <w:style w:type="paragraph" w:customStyle="1" w:styleId="TOCTitle">
    <w:name w:val="TOC Title"/>
    <w:basedOn w:val="Normal"/>
    <w:rsid w:val="00DE2D2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E2D29"/>
    <w:pPr>
      <w:jc w:val="center"/>
    </w:pPr>
    <w:rPr>
      <w:rFonts w:ascii="Times New Roman Bold" w:hAnsi="Times New Roman Bold"/>
      <w:b/>
      <w:bCs/>
      <w:caps/>
      <w:szCs w:val="22"/>
    </w:rPr>
  </w:style>
  <w:style w:type="paragraph" w:styleId="ListParagraph">
    <w:name w:val="List Paragraph"/>
    <w:basedOn w:val="Normal"/>
    <w:uiPriority w:val="34"/>
    <w:qFormat/>
    <w:rsid w:val="002C1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29"/>
    <w:pPr>
      <w:widowControl w:val="0"/>
    </w:pPr>
    <w:rPr>
      <w:snapToGrid w:val="0"/>
      <w:kern w:val="28"/>
      <w:sz w:val="22"/>
    </w:rPr>
  </w:style>
  <w:style w:type="paragraph" w:styleId="Heading1">
    <w:name w:val="heading 1"/>
    <w:basedOn w:val="Normal"/>
    <w:next w:val="ParaNum"/>
    <w:qFormat/>
    <w:rsid w:val="00DE2D29"/>
    <w:pPr>
      <w:keepNext/>
      <w:numPr>
        <w:numId w:val="2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E2D29"/>
    <w:pPr>
      <w:keepNext/>
      <w:numPr>
        <w:ilvl w:val="1"/>
        <w:numId w:val="23"/>
      </w:numPr>
      <w:spacing w:after="120"/>
      <w:outlineLvl w:val="1"/>
    </w:pPr>
    <w:rPr>
      <w:b/>
    </w:rPr>
  </w:style>
  <w:style w:type="paragraph" w:styleId="Heading3">
    <w:name w:val="heading 3"/>
    <w:basedOn w:val="Normal"/>
    <w:next w:val="ParaNum"/>
    <w:qFormat/>
    <w:rsid w:val="00DE2D29"/>
    <w:pPr>
      <w:keepNext/>
      <w:numPr>
        <w:ilvl w:val="2"/>
        <w:numId w:val="23"/>
      </w:numPr>
      <w:tabs>
        <w:tab w:val="left" w:pos="2160"/>
      </w:tabs>
      <w:spacing w:after="120"/>
      <w:outlineLvl w:val="2"/>
    </w:pPr>
    <w:rPr>
      <w:b/>
    </w:rPr>
  </w:style>
  <w:style w:type="paragraph" w:styleId="Heading4">
    <w:name w:val="heading 4"/>
    <w:basedOn w:val="Normal"/>
    <w:next w:val="ParaNum"/>
    <w:qFormat/>
    <w:rsid w:val="00DE2D29"/>
    <w:pPr>
      <w:keepNext/>
      <w:numPr>
        <w:ilvl w:val="3"/>
        <w:numId w:val="23"/>
      </w:numPr>
      <w:tabs>
        <w:tab w:val="left" w:pos="2880"/>
      </w:tabs>
      <w:spacing w:after="120"/>
      <w:outlineLvl w:val="3"/>
    </w:pPr>
    <w:rPr>
      <w:b/>
    </w:rPr>
  </w:style>
  <w:style w:type="paragraph" w:styleId="Heading5">
    <w:name w:val="heading 5"/>
    <w:basedOn w:val="Normal"/>
    <w:next w:val="ParaNum"/>
    <w:qFormat/>
    <w:rsid w:val="00DE2D29"/>
    <w:pPr>
      <w:keepNext/>
      <w:numPr>
        <w:ilvl w:val="4"/>
        <w:numId w:val="23"/>
      </w:numPr>
      <w:tabs>
        <w:tab w:val="left" w:pos="3600"/>
      </w:tabs>
      <w:suppressAutoHyphens/>
      <w:spacing w:after="120"/>
      <w:outlineLvl w:val="4"/>
    </w:pPr>
    <w:rPr>
      <w:b/>
    </w:rPr>
  </w:style>
  <w:style w:type="paragraph" w:styleId="Heading6">
    <w:name w:val="heading 6"/>
    <w:basedOn w:val="Normal"/>
    <w:next w:val="ParaNum"/>
    <w:qFormat/>
    <w:rsid w:val="00DE2D29"/>
    <w:pPr>
      <w:numPr>
        <w:ilvl w:val="5"/>
        <w:numId w:val="23"/>
      </w:numPr>
      <w:tabs>
        <w:tab w:val="left" w:pos="4320"/>
      </w:tabs>
      <w:spacing w:after="120"/>
      <w:outlineLvl w:val="5"/>
    </w:pPr>
    <w:rPr>
      <w:b/>
    </w:rPr>
  </w:style>
  <w:style w:type="paragraph" w:styleId="Heading7">
    <w:name w:val="heading 7"/>
    <w:basedOn w:val="Normal"/>
    <w:next w:val="ParaNum"/>
    <w:qFormat/>
    <w:rsid w:val="00DE2D29"/>
    <w:pPr>
      <w:numPr>
        <w:ilvl w:val="6"/>
        <w:numId w:val="23"/>
      </w:numPr>
      <w:tabs>
        <w:tab w:val="left" w:pos="5040"/>
      </w:tabs>
      <w:spacing w:after="120"/>
      <w:ind w:left="5040" w:hanging="720"/>
      <w:outlineLvl w:val="6"/>
    </w:pPr>
    <w:rPr>
      <w:b/>
    </w:rPr>
  </w:style>
  <w:style w:type="paragraph" w:styleId="Heading8">
    <w:name w:val="heading 8"/>
    <w:basedOn w:val="Normal"/>
    <w:next w:val="ParaNum"/>
    <w:qFormat/>
    <w:rsid w:val="00DE2D29"/>
    <w:pPr>
      <w:numPr>
        <w:ilvl w:val="7"/>
        <w:numId w:val="23"/>
      </w:numPr>
      <w:tabs>
        <w:tab w:val="clear" w:pos="5400"/>
        <w:tab w:val="left" w:pos="5760"/>
      </w:tabs>
      <w:spacing w:after="120"/>
      <w:ind w:left="5760" w:hanging="720"/>
      <w:outlineLvl w:val="7"/>
    </w:pPr>
    <w:rPr>
      <w:b/>
    </w:rPr>
  </w:style>
  <w:style w:type="paragraph" w:styleId="Heading9">
    <w:name w:val="heading 9"/>
    <w:basedOn w:val="Normal"/>
    <w:next w:val="ParaNum"/>
    <w:qFormat/>
    <w:rsid w:val="00DE2D29"/>
    <w:pPr>
      <w:numPr>
        <w:ilvl w:val="8"/>
        <w:numId w:val="2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E2D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2D29"/>
  </w:style>
  <w:style w:type="paragraph" w:styleId="Title">
    <w:name w:val="Title"/>
    <w:basedOn w:val="Normal"/>
    <w:qFormat/>
    <w:pPr>
      <w:jc w:val="center"/>
    </w:pPr>
    <w:rPr>
      <w:sz w:val="24"/>
    </w:rPr>
  </w:style>
  <w:style w:type="paragraph" w:styleId="Subtitle">
    <w:name w:val="Subtitle"/>
    <w:basedOn w:val="Normal"/>
    <w:qFormat/>
    <w:pPr>
      <w:jc w:val="center"/>
    </w:pPr>
    <w:rPr>
      <w:sz w:val="24"/>
    </w:rPr>
  </w:style>
  <w:style w:type="paragraph" w:styleId="BodyTextIndent">
    <w:name w:val="Body Text Indent"/>
    <w:basedOn w:val="Normal"/>
    <w:pPr>
      <w:ind w:firstLine="360"/>
    </w:pPr>
    <w:rPr>
      <w:sz w:val="24"/>
    </w:rPr>
  </w:style>
  <w:style w:type="paragraph" w:styleId="Footer">
    <w:name w:val="footer"/>
    <w:basedOn w:val="Normal"/>
    <w:rsid w:val="00DE2D29"/>
    <w:pPr>
      <w:tabs>
        <w:tab w:val="center" w:pos="4320"/>
        <w:tab w:val="right" w:pos="8640"/>
      </w:tabs>
    </w:pPr>
  </w:style>
  <w:style w:type="character" w:styleId="PageNumber">
    <w:name w:val="page number"/>
    <w:basedOn w:val="DefaultParagraphFont"/>
    <w:rsid w:val="00DE2D29"/>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link w:val="FootnoteTextChar2"/>
    <w:rsid w:val="00DE2D29"/>
    <w:pPr>
      <w:spacing w:after="120"/>
    </w:pPr>
  </w:style>
  <w:style w:type="character" w:styleId="FootnoteReference">
    <w:name w:val="footnote reference"/>
    <w:aliases w:val="Style 4,Appel note de bas de p,Style 12,(NECG) Footnote Reference,Style 124"/>
    <w:rsid w:val="00DE2D29"/>
    <w:rPr>
      <w:rFonts w:ascii="Times New Roman" w:hAnsi="Times New Roman"/>
      <w:dstrike w:val="0"/>
      <w:color w:val="auto"/>
      <w:sz w:val="20"/>
      <w:vertAlign w:val="superscript"/>
    </w:rPr>
  </w:style>
  <w:style w:type="paragraph" w:styleId="BodyText">
    <w:name w:val="Body Text"/>
    <w:basedOn w:val="Normal"/>
    <w:pPr>
      <w:tabs>
        <w:tab w:val="left" w:pos="-720"/>
      </w:tabs>
      <w:suppressAutoHyphens/>
      <w:spacing w:line="227" w:lineRule="auto"/>
      <w:jc w:val="both"/>
    </w:pPr>
    <w:rPr>
      <w:spacing w:val="-2"/>
    </w:rPr>
  </w:style>
  <w:style w:type="paragraph" w:styleId="Header">
    <w:name w:val="header"/>
    <w:basedOn w:val="Normal"/>
    <w:autoRedefine/>
    <w:rsid w:val="00DE2D29"/>
    <w:pPr>
      <w:tabs>
        <w:tab w:val="center" w:pos="4680"/>
        <w:tab w:val="right" w:pos="9360"/>
      </w:tabs>
    </w:pPr>
    <w:rPr>
      <w:b/>
    </w:rPr>
  </w:style>
  <w:style w:type="paragraph" w:styleId="BodyTextIndent2">
    <w:name w:val="Body Text Indent 2"/>
    <w:basedOn w:val="Normal"/>
    <w:pPr>
      <w:tabs>
        <w:tab w:val="left" w:pos="-720"/>
      </w:tabs>
      <w:suppressAutoHyphens/>
      <w:spacing w:line="480" w:lineRule="auto"/>
      <w:ind w:left="720"/>
      <w:jc w:val="both"/>
    </w:pPr>
    <w:rPr>
      <w:spacing w:val="-2"/>
    </w:rPr>
  </w:style>
  <w:style w:type="character" w:styleId="EndnoteReference">
    <w:name w:val="endnote reference"/>
    <w:semiHidden/>
    <w:rsid w:val="00DE2D29"/>
    <w:rPr>
      <w:vertAlign w:val="superscript"/>
    </w:rPr>
  </w:style>
  <w:style w:type="paragraph" w:styleId="BodyTextIndent3">
    <w:name w:val="Body Text Indent 3"/>
    <w:basedOn w:val="Normal"/>
    <w:pPr>
      <w:ind w:firstLine="720"/>
    </w:pPr>
    <w:rPr>
      <w:sz w:val="24"/>
    </w:rPr>
  </w:style>
  <w:style w:type="paragraph" w:styleId="BodyText2">
    <w:name w:val="Body Text 2"/>
    <w:basedOn w:val="Normal"/>
  </w:style>
  <w:style w:type="paragraph" w:styleId="BlockText">
    <w:name w:val="Block Text"/>
    <w:basedOn w:val="Normal"/>
    <w:rsid w:val="00DE2D29"/>
    <w:pPr>
      <w:spacing w:after="240"/>
      <w:ind w:left="1440" w:right="1440"/>
    </w:pPr>
  </w:style>
  <w:style w:type="paragraph" w:styleId="EndnoteText">
    <w:name w:val="endnote text"/>
    <w:basedOn w:val="Normal"/>
    <w:semiHidden/>
    <w:rsid w:val="00DE2D29"/>
    <w:rPr>
      <w:sz w:val="20"/>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rsid w:val="00DE2D29"/>
    <w:pPr>
      <w:numPr>
        <w:numId w:val="2"/>
      </w:numPr>
      <w:tabs>
        <w:tab w:val="clear" w:pos="1080"/>
        <w:tab w:val="num" w:pos="1440"/>
      </w:tabs>
      <w:spacing w:after="120"/>
    </w:pPr>
  </w:style>
  <w:style w:type="paragraph" w:styleId="BodyText3">
    <w:name w:val="Body Text 3"/>
    <w:basedOn w:val="Normal"/>
    <w:pPr>
      <w:spacing w:after="120"/>
    </w:pPr>
    <w:rPr>
      <w:sz w:val="16"/>
      <w:szCs w:val="16"/>
    </w:rPr>
  </w:style>
  <w:style w:type="paragraph" w:customStyle="1" w:styleId="Paranum0">
    <w:name w:val="Paranum"/>
    <w:pPr>
      <w:numPr>
        <w:numId w:val="5"/>
      </w:numPr>
      <w:tabs>
        <w:tab w:val="clear" w:pos="360"/>
        <w:tab w:val="left" w:pos="1440"/>
      </w:tabs>
      <w:spacing w:after="240"/>
      <w:ind w:left="0" w:firstLine="720"/>
      <w:jc w:val="both"/>
    </w:pPr>
    <w:rPr>
      <w:sz w:val="22"/>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style>
  <w:style w:type="character" w:customStyle="1" w:styleId="ParaNumChar">
    <w:name w:val="ParaNum Char"/>
    <w:link w:val="ParaNum"/>
    <w:rPr>
      <w:snapToGrid w:val="0"/>
      <w:kern w:val="28"/>
      <w:sz w:val="22"/>
    </w:rPr>
  </w:style>
  <w:style w:type="character" w:styleId="Hyperlink">
    <w:name w:val="Hyperlink"/>
    <w:rsid w:val="00DE2D29"/>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Revision">
    <w:name w:val="Revision"/>
    <w:hidden/>
    <w:uiPriority w:val="99"/>
    <w:semiHidden/>
  </w:style>
  <w:style w:type="paragraph" w:styleId="TOC1">
    <w:name w:val="toc 1"/>
    <w:basedOn w:val="Normal"/>
    <w:next w:val="Normal"/>
    <w:rsid w:val="00DE2D29"/>
    <w:pPr>
      <w:tabs>
        <w:tab w:val="left" w:pos="360"/>
        <w:tab w:val="right" w:leader="dot" w:pos="9360"/>
      </w:tabs>
      <w:suppressAutoHyphens/>
      <w:ind w:left="360" w:right="720" w:hanging="360"/>
    </w:pPr>
    <w:rPr>
      <w:caps/>
      <w:noProof/>
    </w:rPr>
  </w:style>
  <w:style w:type="paragraph" w:styleId="TOC2">
    <w:name w:val="toc 2"/>
    <w:basedOn w:val="Normal"/>
    <w:next w:val="Normal"/>
    <w:rsid w:val="00DE2D29"/>
    <w:pPr>
      <w:tabs>
        <w:tab w:val="left" w:pos="720"/>
        <w:tab w:val="right" w:leader="dot" w:pos="9360"/>
      </w:tabs>
      <w:suppressAutoHyphens/>
      <w:ind w:left="720" w:right="720" w:hanging="360"/>
    </w:pPr>
    <w:rPr>
      <w:noProof/>
    </w:rPr>
  </w:style>
  <w:style w:type="paragraph" w:styleId="TOC3">
    <w:name w:val="toc 3"/>
    <w:basedOn w:val="Normal"/>
    <w:next w:val="Normal"/>
    <w:rsid w:val="00DE2D2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E2D2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E2D29"/>
    <w:pPr>
      <w:tabs>
        <w:tab w:val="left" w:pos="1800"/>
        <w:tab w:val="right" w:leader="dot" w:pos="9360"/>
      </w:tabs>
      <w:suppressAutoHyphens/>
      <w:ind w:left="1800" w:right="720" w:hanging="360"/>
    </w:pPr>
    <w:rPr>
      <w:noProof/>
    </w:rPr>
  </w:style>
  <w:style w:type="paragraph" w:styleId="TOC6">
    <w:name w:val="toc 6"/>
    <w:basedOn w:val="Normal"/>
    <w:next w:val="Normal"/>
    <w:autoRedefine/>
    <w:rsid w:val="00DE2D29"/>
    <w:pPr>
      <w:tabs>
        <w:tab w:val="left" w:pos="2160"/>
        <w:tab w:val="right" w:leader="dot" w:pos="9360"/>
      </w:tabs>
      <w:suppressAutoHyphens/>
      <w:ind w:left="2160" w:hanging="360"/>
    </w:pPr>
    <w:rPr>
      <w:noProof/>
    </w:rPr>
  </w:style>
  <w:style w:type="paragraph" w:styleId="TOC7">
    <w:name w:val="toc 7"/>
    <w:basedOn w:val="Normal"/>
    <w:next w:val="Normal"/>
    <w:autoRedefine/>
    <w:rsid w:val="00DE2D29"/>
    <w:pPr>
      <w:tabs>
        <w:tab w:val="left" w:pos="2520"/>
        <w:tab w:val="right" w:leader="dot" w:pos="9360"/>
      </w:tabs>
      <w:suppressAutoHyphens/>
      <w:ind w:left="2520" w:hanging="360"/>
    </w:pPr>
    <w:rPr>
      <w:noProof/>
    </w:rPr>
  </w:style>
  <w:style w:type="paragraph" w:styleId="TOC8">
    <w:name w:val="toc 8"/>
    <w:basedOn w:val="Normal"/>
    <w:next w:val="Normal"/>
    <w:autoRedefine/>
    <w:rsid w:val="00DE2D29"/>
    <w:pPr>
      <w:tabs>
        <w:tab w:val="left" w:pos="2880"/>
        <w:tab w:val="right" w:leader="dot" w:pos="9360"/>
      </w:tabs>
      <w:suppressAutoHyphens/>
      <w:ind w:left="2880" w:hanging="360"/>
    </w:pPr>
    <w:rPr>
      <w:noProof/>
    </w:rPr>
  </w:style>
  <w:style w:type="paragraph" w:styleId="TOC9">
    <w:name w:val="toc 9"/>
    <w:basedOn w:val="Normal"/>
    <w:next w:val="Normal"/>
    <w:autoRedefine/>
    <w:rsid w:val="00DE2D29"/>
    <w:pPr>
      <w:tabs>
        <w:tab w:val="left" w:pos="3240"/>
        <w:tab w:val="right" w:leader="dot" w:pos="9360"/>
      </w:tabs>
      <w:suppressAutoHyphens/>
      <w:ind w:left="3240" w:hanging="360"/>
    </w:pPr>
    <w:rPr>
      <w:noProof/>
    </w:rPr>
  </w:style>
  <w:style w:type="paragraph" w:styleId="TOAHeading">
    <w:name w:val="toa heading"/>
    <w:basedOn w:val="Normal"/>
    <w:next w:val="Normal"/>
    <w:rsid w:val="00DE2D29"/>
    <w:pPr>
      <w:tabs>
        <w:tab w:val="right" w:pos="9360"/>
      </w:tabs>
      <w:suppressAutoHyphens/>
    </w:pPr>
  </w:style>
  <w:style w:type="character" w:customStyle="1" w:styleId="EquationCaption">
    <w:name w:val="_Equation Caption"/>
    <w:rsid w:val="00DE2D29"/>
  </w:style>
  <w:style w:type="paragraph" w:customStyle="1" w:styleId="Paratitle">
    <w:name w:val="Para title"/>
    <w:basedOn w:val="Normal"/>
    <w:rsid w:val="00DE2D29"/>
    <w:pPr>
      <w:tabs>
        <w:tab w:val="center" w:pos="9270"/>
      </w:tabs>
      <w:spacing w:after="240"/>
    </w:pPr>
    <w:rPr>
      <w:spacing w:val="-2"/>
    </w:rPr>
  </w:style>
  <w:style w:type="paragraph" w:customStyle="1" w:styleId="Bullet">
    <w:name w:val="Bullet"/>
    <w:basedOn w:val="Normal"/>
    <w:rsid w:val="00DE2D29"/>
    <w:pPr>
      <w:tabs>
        <w:tab w:val="left" w:pos="2160"/>
      </w:tabs>
      <w:spacing w:after="220"/>
      <w:ind w:left="2160" w:hanging="720"/>
    </w:pPr>
  </w:style>
  <w:style w:type="paragraph" w:customStyle="1" w:styleId="TableFormat">
    <w:name w:val="TableFormat"/>
    <w:basedOn w:val="Bullet"/>
    <w:rsid w:val="00DE2D29"/>
    <w:pPr>
      <w:tabs>
        <w:tab w:val="clear" w:pos="2160"/>
        <w:tab w:val="left" w:pos="5040"/>
      </w:tabs>
      <w:ind w:left="5040" w:hanging="3600"/>
    </w:pPr>
  </w:style>
  <w:style w:type="paragraph" w:customStyle="1" w:styleId="TOCTitle">
    <w:name w:val="TOC Title"/>
    <w:basedOn w:val="Normal"/>
    <w:rsid w:val="00DE2D2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E2D29"/>
    <w:pPr>
      <w:jc w:val="center"/>
    </w:pPr>
    <w:rPr>
      <w:rFonts w:ascii="Times New Roman Bold" w:hAnsi="Times New Roman Bold"/>
      <w:b/>
      <w:bCs/>
      <w:caps/>
      <w:szCs w:val="22"/>
    </w:rPr>
  </w:style>
  <w:style w:type="paragraph" w:styleId="ListParagraph">
    <w:name w:val="List Paragraph"/>
    <w:basedOn w:val="Normal"/>
    <w:uiPriority w:val="34"/>
    <w:qFormat/>
    <w:rsid w:val="002C1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20417">
      <w:bodyDiv w:val="1"/>
      <w:marLeft w:val="0"/>
      <w:marRight w:val="0"/>
      <w:marTop w:val="0"/>
      <w:marBottom w:val="0"/>
      <w:divBdr>
        <w:top w:val="none" w:sz="0" w:space="0" w:color="auto"/>
        <w:left w:val="none" w:sz="0" w:space="0" w:color="auto"/>
        <w:bottom w:val="none" w:sz="0" w:space="0" w:color="auto"/>
        <w:right w:val="none" w:sz="0" w:space="0" w:color="auto"/>
      </w:divBdr>
    </w:div>
    <w:div w:id="194084279">
      <w:bodyDiv w:val="1"/>
      <w:marLeft w:val="0"/>
      <w:marRight w:val="0"/>
      <w:marTop w:val="0"/>
      <w:marBottom w:val="0"/>
      <w:divBdr>
        <w:top w:val="none" w:sz="0" w:space="0" w:color="auto"/>
        <w:left w:val="none" w:sz="0" w:space="0" w:color="auto"/>
        <w:bottom w:val="none" w:sz="0" w:space="0" w:color="auto"/>
        <w:right w:val="none" w:sz="0" w:space="0" w:color="auto"/>
      </w:divBdr>
    </w:div>
    <w:div w:id="504706184">
      <w:bodyDiv w:val="1"/>
      <w:marLeft w:val="0"/>
      <w:marRight w:val="0"/>
      <w:marTop w:val="0"/>
      <w:marBottom w:val="0"/>
      <w:divBdr>
        <w:top w:val="none" w:sz="0" w:space="0" w:color="auto"/>
        <w:left w:val="none" w:sz="0" w:space="0" w:color="auto"/>
        <w:bottom w:val="none" w:sz="0" w:space="0" w:color="auto"/>
        <w:right w:val="none" w:sz="0" w:space="0" w:color="auto"/>
      </w:divBdr>
    </w:div>
    <w:div w:id="605819001">
      <w:bodyDiv w:val="1"/>
      <w:marLeft w:val="0"/>
      <w:marRight w:val="0"/>
      <w:marTop w:val="0"/>
      <w:marBottom w:val="0"/>
      <w:divBdr>
        <w:top w:val="none" w:sz="0" w:space="0" w:color="auto"/>
        <w:left w:val="none" w:sz="0" w:space="0" w:color="auto"/>
        <w:bottom w:val="none" w:sz="0" w:space="0" w:color="auto"/>
        <w:right w:val="none" w:sz="0" w:space="0" w:color="auto"/>
      </w:divBdr>
    </w:div>
    <w:div w:id="719131050">
      <w:bodyDiv w:val="1"/>
      <w:marLeft w:val="0"/>
      <w:marRight w:val="0"/>
      <w:marTop w:val="0"/>
      <w:marBottom w:val="0"/>
      <w:divBdr>
        <w:top w:val="none" w:sz="0" w:space="0" w:color="auto"/>
        <w:left w:val="none" w:sz="0" w:space="0" w:color="auto"/>
        <w:bottom w:val="none" w:sz="0" w:space="0" w:color="auto"/>
        <w:right w:val="none" w:sz="0" w:space="0" w:color="auto"/>
      </w:divBdr>
    </w:div>
    <w:div w:id="996346286">
      <w:bodyDiv w:val="1"/>
      <w:marLeft w:val="0"/>
      <w:marRight w:val="0"/>
      <w:marTop w:val="0"/>
      <w:marBottom w:val="0"/>
      <w:divBdr>
        <w:top w:val="none" w:sz="0" w:space="0" w:color="auto"/>
        <w:left w:val="none" w:sz="0" w:space="0" w:color="auto"/>
        <w:bottom w:val="none" w:sz="0" w:space="0" w:color="auto"/>
        <w:right w:val="none" w:sz="0" w:space="0" w:color="auto"/>
      </w:divBdr>
    </w:div>
    <w:div w:id="1320306297">
      <w:bodyDiv w:val="1"/>
      <w:marLeft w:val="0"/>
      <w:marRight w:val="0"/>
      <w:marTop w:val="0"/>
      <w:marBottom w:val="0"/>
      <w:divBdr>
        <w:top w:val="none" w:sz="0" w:space="0" w:color="auto"/>
        <w:left w:val="none" w:sz="0" w:space="0" w:color="auto"/>
        <w:bottom w:val="none" w:sz="0" w:space="0" w:color="auto"/>
        <w:right w:val="none" w:sz="0" w:space="0" w:color="auto"/>
      </w:divBdr>
    </w:div>
    <w:div w:id="1841460862">
      <w:bodyDiv w:val="1"/>
      <w:marLeft w:val="0"/>
      <w:marRight w:val="0"/>
      <w:marTop w:val="0"/>
      <w:marBottom w:val="0"/>
      <w:divBdr>
        <w:top w:val="none" w:sz="0" w:space="0" w:color="auto"/>
        <w:left w:val="none" w:sz="0" w:space="0" w:color="auto"/>
        <w:bottom w:val="none" w:sz="0" w:space="0" w:color="auto"/>
        <w:right w:val="none" w:sz="0" w:space="0" w:color="auto"/>
      </w:divBdr>
    </w:div>
    <w:div w:id="1920485269">
      <w:bodyDiv w:val="1"/>
      <w:marLeft w:val="0"/>
      <w:marRight w:val="0"/>
      <w:marTop w:val="0"/>
      <w:marBottom w:val="0"/>
      <w:divBdr>
        <w:top w:val="none" w:sz="0" w:space="0" w:color="auto"/>
        <w:left w:val="none" w:sz="0" w:space="0" w:color="auto"/>
        <w:bottom w:val="none" w:sz="0" w:space="0" w:color="auto"/>
        <w:right w:val="none" w:sz="0" w:space="0" w:color="auto"/>
      </w:divBdr>
    </w:div>
    <w:div w:id="20543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cis.corp.delaware.gov/Ecorp/EntitySearch/NameSearch.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1459</Words>
  <Characters>8013</Characters>
  <Application>Microsoft Office Word</Application>
  <DocSecurity>0</DocSecurity>
  <Lines>139</Lines>
  <Paragraphs>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9504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2011-02-09T14:17:00Z</cp:lastPrinted>
  <dcterms:created xsi:type="dcterms:W3CDTF">2016-01-14T18:49:00Z</dcterms:created>
  <dcterms:modified xsi:type="dcterms:W3CDTF">2016-01-14T18:49:00Z</dcterms:modified>
  <cp:category> </cp:category>
  <cp:contentStatus> </cp:contentStatus>
</cp:coreProperties>
</file>