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231A2C" w:rsidRPr="00231A2C">
        <w:rPr>
          <w:b/>
          <w:szCs w:val="22"/>
        </w:rPr>
        <w:t>540</w:t>
      </w:r>
    </w:p>
    <w:p w:rsidR="00602577" w:rsidRPr="007665F9" w:rsidRDefault="007665F9">
      <w:pPr>
        <w:spacing w:before="60"/>
        <w:jc w:val="right"/>
        <w:rPr>
          <w:b/>
          <w:szCs w:val="22"/>
        </w:rPr>
      </w:pPr>
      <w:r w:rsidRPr="007665F9">
        <w:rPr>
          <w:b/>
          <w:szCs w:val="22"/>
        </w:rPr>
        <w:t xml:space="preserve">Released:  </w:t>
      </w:r>
      <w:r w:rsidR="00EB6FFB">
        <w:rPr>
          <w:b/>
          <w:szCs w:val="22"/>
        </w:rPr>
        <w:t>May</w:t>
      </w:r>
      <w:r w:rsidRPr="00D07B74">
        <w:rPr>
          <w:b/>
          <w:szCs w:val="22"/>
        </w:rPr>
        <w:t xml:space="preserve"> </w:t>
      </w:r>
      <w:r w:rsidR="00EB6FFB">
        <w:rPr>
          <w:b/>
          <w:szCs w:val="22"/>
        </w:rPr>
        <w:t>13</w:t>
      </w:r>
      <w:r w:rsidRPr="007665F9">
        <w:rPr>
          <w:b/>
          <w:szCs w:val="22"/>
        </w:rPr>
        <w:t>, 2016</w:t>
      </w:r>
    </w:p>
    <w:p w:rsidR="00602577" w:rsidRDefault="00602577">
      <w:pPr>
        <w:jc w:val="right"/>
        <w:rPr>
          <w:sz w:val="24"/>
        </w:rPr>
      </w:pPr>
    </w:p>
    <w:p w:rsidR="00E85F2E" w:rsidRDefault="00517D1E" w:rsidP="00517D1E">
      <w:pPr>
        <w:jc w:val="center"/>
        <w:rPr>
          <w:b/>
          <w:szCs w:val="22"/>
        </w:rPr>
      </w:pPr>
      <w:r>
        <w:rPr>
          <w:b/>
          <w:szCs w:val="22"/>
        </w:rPr>
        <w:t>SPRINT CORPORATION</w:t>
      </w:r>
      <w:r w:rsidR="007665F9" w:rsidRPr="007665F9">
        <w:rPr>
          <w:b/>
          <w:szCs w:val="22"/>
        </w:rPr>
        <w:t xml:space="preserve"> AND </w:t>
      </w:r>
      <w:r>
        <w:rPr>
          <w:b/>
          <w:szCs w:val="22"/>
        </w:rPr>
        <w:t>T-MOBILE USA, INC.</w:t>
      </w:r>
      <w:r w:rsidR="00C11519">
        <w:rPr>
          <w:b/>
          <w:szCs w:val="22"/>
        </w:rPr>
        <w:t>,</w:t>
      </w:r>
      <w:r w:rsidR="00701D32">
        <w:rPr>
          <w:b/>
          <w:szCs w:val="22"/>
        </w:rPr>
        <w:t xml:space="preserve"> </w:t>
      </w:r>
      <w:r w:rsidR="007665F9" w:rsidRPr="007665F9">
        <w:rPr>
          <w:b/>
          <w:szCs w:val="22"/>
        </w:rPr>
        <w:t>SEEK F</w:t>
      </w:r>
      <w:r w:rsidR="00E85F2E">
        <w:rPr>
          <w:b/>
          <w:szCs w:val="22"/>
        </w:rPr>
        <w:t>CC CONSENT</w:t>
      </w:r>
    </w:p>
    <w:p w:rsidR="00602577" w:rsidRPr="007665F9" w:rsidRDefault="00701D32" w:rsidP="00517D1E">
      <w:pPr>
        <w:jc w:val="center"/>
        <w:rPr>
          <w:b/>
          <w:szCs w:val="22"/>
        </w:rPr>
      </w:pPr>
      <w:r>
        <w:rPr>
          <w:b/>
          <w:szCs w:val="22"/>
        </w:rPr>
        <w:t xml:space="preserve">TO THE </w:t>
      </w:r>
      <w:r w:rsidR="002E1372">
        <w:rPr>
          <w:b/>
          <w:szCs w:val="22"/>
        </w:rPr>
        <w:t xml:space="preserve">ASSIGNMENTS </w:t>
      </w:r>
      <w:r>
        <w:rPr>
          <w:b/>
          <w:szCs w:val="22"/>
        </w:rPr>
        <w:t>OF</w:t>
      </w:r>
      <w:r w:rsidR="00596439">
        <w:rPr>
          <w:b/>
          <w:szCs w:val="22"/>
        </w:rPr>
        <w:t xml:space="preserve"> </w:t>
      </w:r>
      <w:r w:rsidR="00517D1E">
        <w:rPr>
          <w:b/>
          <w:szCs w:val="22"/>
        </w:rPr>
        <w:t>PERSONAL COMMUNICATIONS SERVICE</w:t>
      </w:r>
      <w:r w:rsidR="006C4A65">
        <w:rPr>
          <w:b/>
          <w:szCs w:val="22"/>
        </w:rPr>
        <w:t xml:space="preserve"> LICENSE</w:t>
      </w:r>
      <w:r w:rsidR="00517D1E">
        <w:rPr>
          <w:b/>
          <w:szCs w:val="22"/>
        </w:rPr>
        <w:t>S</w:t>
      </w:r>
    </w:p>
    <w:p w:rsidR="00602577" w:rsidRPr="007A67C8" w:rsidRDefault="00517D1E" w:rsidP="00517D1E">
      <w:pPr>
        <w:spacing w:before="240" w:after="240"/>
        <w:jc w:val="center"/>
        <w:rPr>
          <w:b/>
          <w:szCs w:val="22"/>
        </w:rPr>
      </w:pPr>
      <w:r>
        <w:rPr>
          <w:b/>
          <w:szCs w:val="22"/>
        </w:rPr>
        <w:t xml:space="preserve">ULS File Nos. </w:t>
      </w:r>
      <w:r w:rsidR="002E1372">
        <w:rPr>
          <w:b/>
          <w:szCs w:val="22"/>
        </w:rPr>
        <w:t xml:space="preserve">0007106958, </w:t>
      </w:r>
      <w:r w:rsidR="00EC3E86">
        <w:rPr>
          <w:b/>
          <w:szCs w:val="22"/>
        </w:rPr>
        <w:t xml:space="preserve">0007106964, </w:t>
      </w:r>
      <w:r w:rsidR="002E1372">
        <w:rPr>
          <w:b/>
          <w:szCs w:val="22"/>
        </w:rPr>
        <w:t>0007106972</w:t>
      </w:r>
      <w:r w:rsidR="00C67D0B">
        <w:rPr>
          <w:b/>
          <w:szCs w:val="22"/>
        </w:rPr>
        <w:t xml:space="preserve">, 0007106988, </w:t>
      </w:r>
      <w:r w:rsidR="004A5B3B">
        <w:rPr>
          <w:b/>
          <w:szCs w:val="22"/>
        </w:rPr>
        <w:t xml:space="preserve">0007106992, </w:t>
      </w:r>
      <w:r w:rsidR="00354A0A">
        <w:rPr>
          <w:b/>
          <w:szCs w:val="22"/>
        </w:rPr>
        <w:t>0007106995</w:t>
      </w:r>
      <w:r w:rsidR="00FE1217">
        <w:rPr>
          <w:b/>
          <w:szCs w:val="22"/>
        </w:rPr>
        <w:t xml:space="preserve">, 0007106997, </w:t>
      </w:r>
      <w:r w:rsidR="009F4951">
        <w:rPr>
          <w:b/>
          <w:szCs w:val="22"/>
        </w:rPr>
        <w:t>0007106999</w:t>
      </w:r>
      <w:r w:rsidR="00EC3E86">
        <w:rPr>
          <w:b/>
          <w:szCs w:val="22"/>
        </w:rPr>
        <w:t xml:space="preserve">, </w:t>
      </w:r>
      <w:r w:rsidR="003556E3">
        <w:rPr>
          <w:b/>
          <w:szCs w:val="22"/>
        </w:rPr>
        <w:t>0007128075</w:t>
      </w:r>
      <w:r w:rsidR="00EC3E86">
        <w:rPr>
          <w:b/>
          <w:szCs w:val="22"/>
        </w:rPr>
        <w:t xml:space="preserve">, </w:t>
      </w:r>
      <w:r w:rsidR="00E0560A">
        <w:rPr>
          <w:b/>
          <w:szCs w:val="22"/>
        </w:rPr>
        <w:t>0007128083</w:t>
      </w:r>
      <w:r w:rsidR="004C7188">
        <w:rPr>
          <w:b/>
          <w:szCs w:val="22"/>
        </w:rPr>
        <w:t xml:space="preserve">, </w:t>
      </w:r>
      <w:r w:rsidR="009F22C4">
        <w:rPr>
          <w:b/>
          <w:szCs w:val="22"/>
        </w:rPr>
        <w:t>0007128088,</w:t>
      </w:r>
      <w:r w:rsidR="00EA60FB">
        <w:rPr>
          <w:b/>
          <w:szCs w:val="22"/>
        </w:rPr>
        <w:t xml:space="preserve"> 0007128116, </w:t>
      </w:r>
      <w:r w:rsidR="009B35EB">
        <w:rPr>
          <w:b/>
          <w:szCs w:val="22"/>
        </w:rPr>
        <w:t xml:space="preserve">0007128119, </w:t>
      </w:r>
      <w:r w:rsidR="009659BE">
        <w:rPr>
          <w:b/>
          <w:szCs w:val="22"/>
        </w:rPr>
        <w:t xml:space="preserve">0007128127, </w:t>
      </w:r>
      <w:r w:rsidR="00E779F0">
        <w:rPr>
          <w:b/>
          <w:szCs w:val="22"/>
        </w:rPr>
        <w:t>0007128149</w:t>
      </w:r>
      <w:r w:rsidR="005D73A0">
        <w:rPr>
          <w:b/>
          <w:szCs w:val="22"/>
        </w:rPr>
        <w:t>, and 0007128154</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EB6FFB">
        <w:rPr>
          <w:b/>
          <w:spacing w:val="-2"/>
          <w:szCs w:val="22"/>
        </w:rPr>
        <w:t>June 3, 2016</w:t>
      </w:r>
    </w:p>
    <w:p w:rsidR="007A67C8" w:rsidRDefault="007A67C8" w:rsidP="007A67C8">
      <w:pPr>
        <w:rPr>
          <w:b/>
          <w:szCs w:val="22"/>
        </w:rPr>
      </w:pPr>
      <w:r>
        <w:rPr>
          <w:b/>
          <w:szCs w:val="22"/>
        </w:rPr>
        <w:t>Oppositions Due:</w:t>
      </w:r>
      <w:r>
        <w:rPr>
          <w:b/>
          <w:szCs w:val="22"/>
        </w:rPr>
        <w:tab/>
      </w:r>
      <w:r>
        <w:rPr>
          <w:b/>
          <w:szCs w:val="22"/>
        </w:rPr>
        <w:tab/>
      </w:r>
      <w:r w:rsidR="00EB6FFB">
        <w:rPr>
          <w:b/>
          <w:spacing w:val="-2"/>
          <w:szCs w:val="22"/>
        </w:rPr>
        <w:t>June 10, 2016</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EB6FFB">
        <w:rPr>
          <w:b/>
          <w:szCs w:val="22"/>
        </w:rPr>
        <w:t>June 17, 2016</w:t>
      </w:r>
    </w:p>
    <w:p w:rsidR="007A67C8" w:rsidRDefault="007A67C8" w:rsidP="00144BD1">
      <w:pPr>
        <w:spacing w:after="120"/>
        <w:outlineLvl w:val="0"/>
        <w:rPr>
          <w:b/>
          <w:szCs w:val="22"/>
        </w:rPr>
      </w:pPr>
      <w:r>
        <w:rPr>
          <w:b/>
          <w:szCs w:val="22"/>
        </w:rPr>
        <w:t>I.</w:t>
      </w:r>
      <w:r>
        <w:rPr>
          <w:b/>
          <w:szCs w:val="22"/>
        </w:rPr>
        <w:tab/>
        <w:t>INTRODUCTION</w:t>
      </w:r>
    </w:p>
    <w:p w:rsidR="007665F9" w:rsidRDefault="00AF167D" w:rsidP="00CF1545">
      <w:pPr>
        <w:spacing w:after="120"/>
        <w:ind w:firstLine="720"/>
        <w:rPr>
          <w:szCs w:val="22"/>
        </w:rPr>
      </w:pPr>
      <w:r>
        <w:rPr>
          <w:szCs w:val="22"/>
        </w:rPr>
        <w:t>Sprint Corporation</w:t>
      </w:r>
      <w:r w:rsidR="007A67C8">
        <w:rPr>
          <w:szCs w:val="22"/>
        </w:rPr>
        <w:t xml:space="preserve"> (</w:t>
      </w:r>
      <w:r>
        <w:rPr>
          <w:szCs w:val="22"/>
        </w:rPr>
        <w:t>Sprint</w:t>
      </w:r>
      <w:r w:rsidR="007A67C8">
        <w:rPr>
          <w:szCs w:val="22"/>
        </w:rPr>
        <w:t xml:space="preserve">), and </w:t>
      </w:r>
      <w:r>
        <w:rPr>
          <w:szCs w:val="22"/>
        </w:rPr>
        <w:t xml:space="preserve">T-Mobile USA, Inc. </w:t>
      </w:r>
      <w:r w:rsidR="007A67C8">
        <w:rPr>
          <w:szCs w:val="22"/>
        </w:rPr>
        <w:t>(</w:t>
      </w:r>
      <w:r>
        <w:rPr>
          <w:szCs w:val="22"/>
        </w:rPr>
        <w:t>T-Mobile</w:t>
      </w:r>
      <w:r w:rsidR="007A67C8">
        <w:rPr>
          <w:szCs w:val="22"/>
        </w:rPr>
        <w:t xml:space="preserve">, and together with </w:t>
      </w:r>
      <w:r>
        <w:rPr>
          <w:szCs w:val="22"/>
        </w:rPr>
        <w:t>Sprint</w:t>
      </w:r>
      <w:r w:rsidR="007A67C8">
        <w:rPr>
          <w:szCs w:val="22"/>
        </w:rPr>
        <w:t>, the Applicants),</w:t>
      </w:r>
      <w:r w:rsidR="007A67C8" w:rsidRPr="00586237">
        <w:rPr>
          <w:szCs w:val="22"/>
        </w:rPr>
        <w:t xml:space="preserve"> have filed </w:t>
      </w:r>
      <w:r>
        <w:rPr>
          <w:szCs w:val="22"/>
        </w:rPr>
        <w:t>a</w:t>
      </w:r>
      <w:r w:rsidR="007A67C8" w:rsidRPr="00586237">
        <w:rPr>
          <w:szCs w:val="22"/>
        </w:rPr>
        <w:t>pplication</w:t>
      </w:r>
      <w:r>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w:t>
      </w:r>
      <w:r w:rsidR="004859D7" w:rsidRPr="00586237">
        <w:rPr>
          <w:szCs w:val="22"/>
        </w:rPr>
        <w:t xml:space="preserve">seeking </w:t>
      </w:r>
      <w:r w:rsidR="004859D7">
        <w:rPr>
          <w:szCs w:val="22"/>
        </w:rPr>
        <w:t>the simultaneous</w:t>
      </w:r>
      <w:r w:rsidR="004859D7" w:rsidRPr="00586237">
        <w:rPr>
          <w:szCs w:val="22"/>
        </w:rPr>
        <w:t xml:space="preserve"> assign</w:t>
      </w:r>
      <w:r w:rsidR="004859D7">
        <w:rPr>
          <w:szCs w:val="22"/>
        </w:rPr>
        <w:t>ments and exchanges of</w:t>
      </w:r>
      <w:r w:rsidR="007A67C8" w:rsidRPr="00586237">
        <w:rPr>
          <w:szCs w:val="22"/>
        </w:rPr>
        <w:t xml:space="preserve"> </w:t>
      </w:r>
      <w:r w:rsidR="004859D7">
        <w:rPr>
          <w:szCs w:val="22"/>
        </w:rPr>
        <w:t>full and</w:t>
      </w:r>
      <w:r w:rsidR="003378B4">
        <w:rPr>
          <w:szCs w:val="22"/>
        </w:rPr>
        <w:t xml:space="preserve"> partitioned </w:t>
      </w:r>
      <w:r w:rsidR="004859D7">
        <w:rPr>
          <w:szCs w:val="22"/>
        </w:rPr>
        <w:t>Personal Communications Service (PCS) licenses</w:t>
      </w:r>
      <w:r w:rsidR="007A67C8">
        <w:rPr>
          <w:szCs w:val="22"/>
        </w:rPr>
        <w:t xml:space="preserve"> </w:t>
      </w:r>
      <w:r w:rsidR="004859D7">
        <w:rPr>
          <w:szCs w:val="22"/>
        </w:rPr>
        <w:t xml:space="preserve">by and among certain wholly-owned subsidiaries of </w:t>
      </w:r>
      <w:r w:rsidR="002A4341">
        <w:rPr>
          <w:szCs w:val="22"/>
        </w:rPr>
        <w:t>Sprint</w:t>
      </w:r>
      <w:r w:rsidR="007A67C8">
        <w:rPr>
          <w:szCs w:val="22"/>
        </w:rPr>
        <w:t xml:space="preserve"> </w:t>
      </w:r>
      <w:r w:rsidR="002A4341">
        <w:rPr>
          <w:szCs w:val="22"/>
        </w:rPr>
        <w:t>and T-Mobile.</w:t>
      </w:r>
      <w:r w:rsidR="002A4341" w:rsidRPr="002A4341">
        <w:rPr>
          <w:rStyle w:val="FootnoteReference"/>
          <w:sz w:val="20"/>
        </w:rPr>
        <w:footnoteReference w:id="2"/>
      </w:r>
      <w:r w:rsidR="002A4341">
        <w:rPr>
          <w:szCs w:val="22"/>
        </w:rPr>
        <w:t xml:space="preserve">  The subject licenses cover geographic areas </w:t>
      </w:r>
      <w:r w:rsidR="00203F37">
        <w:rPr>
          <w:szCs w:val="22"/>
        </w:rPr>
        <w:t xml:space="preserve">scattered </w:t>
      </w:r>
      <w:r w:rsidR="002A4341">
        <w:rPr>
          <w:szCs w:val="22"/>
        </w:rPr>
        <w:t xml:space="preserve">throughout the </w:t>
      </w:r>
      <w:r w:rsidR="00203F37">
        <w:rPr>
          <w:szCs w:val="22"/>
        </w:rPr>
        <w:t>country</w:t>
      </w:r>
      <w:r w:rsidR="002A4341">
        <w:rPr>
          <w:szCs w:val="22"/>
        </w:rPr>
        <w:t>.</w:t>
      </w:r>
      <w:r w:rsidR="002A4341" w:rsidRPr="00586237">
        <w:rPr>
          <w:szCs w:val="22"/>
        </w:rPr>
        <w:t xml:space="preserve">  </w:t>
      </w:r>
      <w:r w:rsidR="002A4341">
        <w:rPr>
          <w:szCs w:val="22"/>
        </w:rPr>
        <w:t>The proposed transactions involve the transfer of spectrum; no customers or networks would be transferred.</w:t>
      </w:r>
    </w:p>
    <w:p w:rsidR="008C0C9F" w:rsidRDefault="008C0C9F" w:rsidP="00F24B92">
      <w:pPr>
        <w:spacing w:after="120"/>
        <w:ind w:firstLine="720"/>
        <w:rPr>
          <w:szCs w:val="22"/>
        </w:rPr>
      </w:pPr>
      <w:r>
        <w:rPr>
          <w:szCs w:val="22"/>
        </w:rPr>
        <w:t>According to the Applicants, the proposed transaction involves only intra-market exchanges of spectrum, and in most markets the attributable spectrum holdings of Sprint and T-Mobile would be unchanged.  The Applicants indicate that the intra-market exchanges would allow for holding larger blocks of contiguous spectrum and/or aligning spectrum blocks with those already held in adjacent markets, which in turn should permit more reliable and efficient operations.</w:t>
      </w:r>
    </w:p>
    <w:p w:rsidR="00E7081A" w:rsidRDefault="00E7081A" w:rsidP="00F24B92">
      <w:pPr>
        <w:spacing w:after="120"/>
        <w:ind w:firstLine="720"/>
        <w:rPr>
          <w:szCs w:val="22"/>
        </w:rPr>
      </w:pPr>
      <w:r>
        <w:rPr>
          <w:szCs w:val="22"/>
        </w:rPr>
        <w:t>Our p</w:t>
      </w:r>
      <w:r w:rsidR="00F24B92" w:rsidRPr="009C3DE3">
        <w:rPr>
          <w:szCs w:val="22"/>
        </w:rPr>
        <w:t xml:space="preserve">reliminary review of the applications indicates that the </w:t>
      </w:r>
      <w:r w:rsidR="00F24B92">
        <w:rPr>
          <w:szCs w:val="22"/>
        </w:rPr>
        <w:t xml:space="preserve">PCS </w:t>
      </w:r>
      <w:r w:rsidR="00F24B92" w:rsidRPr="009C3DE3">
        <w:rPr>
          <w:szCs w:val="22"/>
        </w:rPr>
        <w:t xml:space="preserve">spectrum implicated by the proposed transaction covers </w:t>
      </w:r>
      <w:r w:rsidR="00F24B92">
        <w:rPr>
          <w:szCs w:val="22"/>
        </w:rPr>
        <w:t>166</w:t>
      </w:r>
      <w:r w:rsidR="00F24B92" w:rsidRPr="009C3DE3">
        <w:rPr>
          <w:szCs w:val="22"/>
        </w:rPr>
        <w:t xml:space="preserve"> counties in all or parts of </w:t>
      </w:r>
      <w:r w:rsidR="00F24B92">
        <w:rPr>
          <w:szCs w:val="22"/>
        </w:rPr>
        <w:t>65 Cellular Market Areas (CMAs</w:t>
      </w:r>
      <w:r w:rsidR="00F24B92" w:rsidRPr="009C3DE3">
        <w:rPr>
          <w:szCs w:val="22"/>
        </w:rPr>
        <w:t xml:space="preserve">), covering </w:t>
      </w:r>
      <w:r>
        <w:rPr>
          <w:szCs w:val="22"/>
        </w:rPr>
        <w:t>approximately</w:t>
      </w:r>
      <w:r w:rsidRPr="009C3DE3">
        <w:rPr>
          <w:szCs w:val="22"/>
        </w:rPr>
        <w:t xml:space="preserve"> </w:t>
      </w:r>
      <w:r w:rsidR="00F24B92">
        <w:rPr>
          <w:szCs w:val="22"/>
        </w:rPr>
        <w:t>seven</w:t>
      </w:r>
      <w:r w:rsidR="00F24B92" w:rsidRPr="009C3DE3">
        <w:rPr>
          <w:szCs w:val="22"/>
        </w:rPr>
        <w:t xml:space="preserve"> percent of the population of the United States in parts of</w:t>
      </w:r>
      <w:r w:rsidR="00F24B92">
        <w:rPr>
          <w:szCs w:val="22"/>
        </w:rPr>
        <w:t xml:space="preserve"> </w:t>
      </w:r>
      <w:r w:rsidR="00672CE0">
        <w:rPr>
          <w:szCs w:val="22"/>
        </w:rPr>
        <w:t xml:space="preserve">Florida, </w:t>
      </w:r>
      <w:r w:rsidR="007B6C44">
        <w:rPr>
          <w:szCs w:val="22"/>
        </w:rPr>
        <w:t xml:space="preserve">Georgia, Idaho, Montana, New Mexico, North Carolina, </w:t>
      </w:r>
      <w:r w:rsidR="00672CE0">
        <w:rPr>
          <w:szCs w:val="22"/>
        </w:rPr>
        <w:t xml:space="preserve">New York, Ohio, </w:t>
      </w:r>
      <w:r w:rsidR="007B6C44">
        <w:rPr>
          <w:szCs w:val="22"/>
        </w:rPr>
        <w:t xml:space="preserve">Pennsylvania, </w:t>
      </w:r>
      <w:r w:rsidR="00672CE0">
        <w:rPr>
          <w:szCs w:val="22"/>
        </w:rPr>
        <w:t xml:space="preserve">South Carolina, </w:t>
      </w:r>
      <w:r w:rsidR="007B6C44">
        <w:rPr>
          <w:szCs w:val="22"/>
        </w:rPr>
        <w:t>Texas, Washington, and West Virginia</w:t>
      </w:r>
      <w:r w:rsidR="009457E7">
        <w:rPr>
          <w:szCs w:val="22"/>
        </w:rPr>
        <w:t>.</w:t>
      </w:r>
    </w:p>
    <w:p w:rsidR="00E7081A" w:rsidRDefault="00F24B92" w:rsidP="00F24B92">
      <w:pPr>
        <w:spacing w:after="120"/>
        <w:ind w:firstLine="720"/>
        <w:rPr>
          <w:szCs w:val="22"/>
        </w:rPr>
      </w:pPr>
      <w:r w:rsidRPr="009C3DE3">
        <w:rPr>
          <w:szCs w:val="22"/>
        </w:rPr>
        <w:t xml:space="preserve">Pre-transaction, across all the CMAs involved in these transactions, </w:t>
      </w:r>
      <w:r w:rsidR="007B6C44">
        <w:rPr>
          <w:szCs w:val="22"/>
        </w:rPr>
        <w:t>Sprint</w:t>
      </w:r>
      <w:r w:rsidRPr="009C3DE3">
        <w:rPr>
          <w:szCs w:val="22"/>
        </w:rPr>
        <w:t xml:space="preserve"> holds </w:t>
      </w:r>
      <w:r w:rsidR="007B6C44">
        <w:rPr>
          <w:szCs w:val="22"/>
        </w:rPr>
        <w:t>44</w:t>
      </w:r>
      <w:r w:rsidR="00EB6FFB">
        <w:rPr>
          <w:szCs w:val="22"/>
        </w:rPr>
        <w:t xml:space="preserve"> megahertz</w:t>
      </w:r>
      <w:r w:rsidRPr="009C3DE3">
        <w:rPr>
          <w:szCs w:val="22"/>
        </w:rPr>
        <w:t xml:space="preserve"> to </w:t>
      </w:r>
      <w:r w:rsidR="00E7081A">
        <w:rPr>
          <w:szCs w:val="22"/>
        </w:rPr>
        <w:t>220.5</w:t>
      </w:r>
      <w:r w:rsidR="00E7081A" w:rsidRPr="009C3DE3">
        <w:rPr>
          <w:szCs w:val="22"/>
        </w:rPr>
        <w:t xml:space="preserve"> </w:t>
      </w:r>
      <w:r w:rsidRPr="009C3DE3">
        <w:rPr>
          <w:szCs w:val="22"/>
        </w:rPr>
        <w:t xml:space="preserve">megahertz of spectrum in </w:t>
      </w:r>
      <w:r w:rsidR="007B6C44">
        <w:rPr>
          <w:szCs w:val="22"/>
        </w:rPr>
        <w:t>total; post-transaction, Sprint</w:t>
      </w:r>
      <w:r w:rsidRPr="009C3DE3">
        <w:rPr>
          <w:szCs w:val="22"/>
        </w:rPr>
        <w:t xml:space="preserve"> would </w:t>
      </w:r>
      <w:r w:rsidR="00E7081A">
        <w:rPr>
          <w:szCs w:val="22"/>
        </w:rPr>
        <w:t xml:space="preserve">continue to </w:t>
      </w:r>
      <w:r w:rsidRPr="009C3DE3">
        <w:rPr>
          <w:szCs w:val="22"/>
        </w:rPr>
        <w:t xml:space="preserve">hold </w:t>
      </w:r>
      <w:r w:rsidR="007B6C44">
        <w:rPr>
          <w:szCs w:val="22"/>
        </w:rPr>
        <w:t>44</w:t>
      </w:r>
      <w:r w:rsidR="00EB6FFB">
        <w:rPr>
          <w:szCs w:val="22"/>
        </w:rPr>
        <w:t xml:space="preserve"> megahertz</w:t>
      </w:r>
      <w:r w:rsidRPr="009C3DE3">
        <w:rPr>
          <w:szCs w:val="22"/>
        </w:rPr>
        <w:t xml:space="preserve"> to </w:t>
      </w:r>
      <w:r w:rsidR="00E7081A">
        <w:rPr>
          <w:szCs w:val="22"/>
        </w:rPr>
        <w:t>220.5</w:t>
      </w:r>
      <w:r w:rsidR="00E7081A" w:rsidRPr="009C3DE3">
        <w:rPr>
          <w:szCs w:val="22"/>
        </w:rPr>
        <w:t xml:space="preserve"> </w:t>
      </w:r>
      <w:r w:rsidRPr="009C3DE3">
        <w:rPr>
          <w:szCs w:val="22"/>
        </w:rPr>
        <w:t xml:space="preserve">megahertz of spectrum in total.  </w:t>
      </w:r>
      <w:r w:rsidR="006248A9">
        <w:rPr>
          <w:szCs w:val="22"/>
        </w:rPr>
        <w:t xml:space="preserve">Our </w:t>
      </w:r>
      <w:r w:rsidR="00FD1AF2">
        <w:rPr>
          <w:szCs w:val="22"/>
        </w:rPr>
        <w:t xml:space="preserve">preliminary </w:t>
      </w:r>
      <w:r w:rsidR="006248A9">
        <w:rPr>
          <w:szCs w:val="22"/>
        </w:rPr>
        <w:t>review indicates that i</w:t>
      </w:r>
      <w:r w:rsidR="00E7081A">
        <w:rPr>
          <w:szCs w:val="22"/>
        </w:rPr>
        <w:t xml:space="preserve">n those counties in which Sprint </w:t>
      </w:r>
      <w:r w:rsidR="00BC0C7D">
        <w:rPr>
          <w:szCs w:val="22"/>
        </w:rPr>
        <w:t>would realize</w:t>
      </w:r>
      <w:r w:rsidR="00E7081A">
        <w:rPr>
          <w:szCs w:val="22"/>
        </w:rPr>
        <w:t xml:space="preserve"> a net gain in its PCS spectrum holdings, </w:t>
      </w:r>
      <w:r w:rsidR="00FD1AF2">
        <w:rPr>
          <w:szCs w:val="22"/>
        </w:rPr>
        <w:t xml:space="preserve">it would hold a maximum of 210.5 megahertz of spectrum in total post-transaction.  Sprint </w:t>
      </w:r>
      <w:r w:rsidR="00E7081A">
        <w:rPr>
          <w:szCs w:val="22"/>
        </w:rPr>
        <w:t xml:space="preserve">would newly trigger </w:t>
      </w:r>
      <w:r w:rsidR="00BC0C7D">
        <w:rPr>
          <w:szCs w:val="22"/>
        </w:rPr>
        <w:t xml:space="preserve">the spectrum screen in </w:t>
      </w:r>
      <w:r w:rsidR="00BC0C7D">
        <w:rPr>
          <w:szCs w:val="22"/>
        </w:rPr>
        <w:lastRenderedPageBreak/>
        <w:t>Sumter County in CMA 363 (</w:t>
      </w:r>
      <w:r w:rsidR="006248A9">
        <w:rPr>
          <w:szCs w:val="22"/>
        </w:rPr>
        <w:t>Florida 4 – Citrus</w:t>
      </w:r>
      <w:r w:rsidR="00BC0C7D">
        <w:rPr>
          <w:szCs w:val="22"/>
        </w:rPr>
        <w:t>) and Columbia County in CMA 366 (</w:t>
      </w:r>
      <w:r w:rsidR="006248A9">
        <w:rPr>
          <w:szCs w:val="22"/>
        </w:rPr>
        <w:t>Florida 7 – Hamilton</w:t>
      </w:r>
      <w:r w:rsidR="00BC0C7D">
        <w:rPr>
          <w:szCs w:val="22"/>
        </w:rPr>
        <w:t>)</w:t>
      </w:r>
      <w:r w:rsidR="00FD1AF2">
        <w:rPr>
          <w:szCs w:val="22"/>
        </w:rPr>
        <w:t xml:space="preserve">, and would </w:t>
      </w:r>
      <w:r w:rsidR="00BC0C7D">
        <w:rPr>
          <w:szCs w:val="22"/>
        </w:rPr>
        <w:t xml:space="preserve">further increase its spectrum holdings </w:t>
      </w:r>
      <w:r w:rsidR="009457E7">
        <w:rPr>
          <w:szCs w:val="22"/>
        </w:rPr>
        <w:t>that</w:t>
      </w:r>
      <w:r w:rsidR="00BC0C7D">
        <w:rPr>
          <w:szCs w:val="22"/>
        </w:rPr>
        <w:t xml:space="preserve"> are </w:t>
      </w:r>
      <w:r w:rsidR="006248A9">
        <w:rPr>
          <w:szCs w:val="22"/>
        </w:rPr>
        <w:t xml:space="preserve">currently </w:t>
      </w:r>
      <w:r w:rsidR="00BC0C7D">
        <w:rPr>
          <w:szCs w:val="22"/>
        </w:rPr>
        <w:t>already above the spectrum screen in an additional nine counties in parts of Florida.</w:t>
      </w:r>
    </w:p>
    <w:p w:rsidR="00F24B92" w:rsidRDefault="00F24B92" w:rsidP="00F24B92">
      <w:pPr>
        <w:spacing w:after="120"/>
        <w:ind w:firstLine="720"/>
        <w:rPr>
          <w:szCs w:val="22"/>
        </w:rPr>
      </w:pPr>
      <w:r w:rsidRPr="009C3DE3">
        <w:rPr>
          <w:szCs w:val="22"/>
        </w:rPr>
        <w:t xml:space="preserve">Pre-transaction, </w:t>
      </w:r>
      <w:r w:rsidR="007B6C44">
        <w:rPr>
          <w:szCs w:val="22"/>
        </w:rPr>
        <w:t>T-Mobile</w:t>
      </w:r>
      <w:r w:rsidRPr="009C3DE3">
        <w:rPr>
          <w:szCs w:val="22"/>
        </w:rPr>
        <w:t xml:space="preserve"> holds </w:t>
      </w:r>
      <w:r w:rsidR="007B6C44">
        <w:rPr>
          <w:szCs w:val="22"/>
        </w:rPr>
        <w:t>40</w:t>
      </w:r>
      <w:r w:rsidRPr="009C3DE3">
        <w:rPr>
          <w:szCs w:val="22"/>
        </w:rPr>
        <w:t xml:space="preserve"> </w:t>
      </w:r>
      <w:r w:rsidR="00E7081A">
        <w:rPr>
          <w:szCs w:val="22"/>
        </w:rPr>
        <w:t xml:space="preserve">megahertz </w:t>
      </w:r>
      <w:r w:rsidRPr="009C3DE3">
        <w:rPr>
          <w:szCs w:val="22"/>
        </w:rPr>
        <w:t xml:space="preserve">to </w:t>
      </w:r>
      <w:r w:rsidR="007B6C44">
        <w:rPr>
          <w:szCs w:val="22"/>
        </w:rPr>
        <w:t>10</w:t>
      </w:r>
      <w:r w:rsidR="00E7081A">
        <w:rPr>
          <w:szCs w:val="22"/>
        </w:rPr>
        <w:t>4.</w:t>
      </w:r>
      <w:r w:rsidR="007B6C44">
        <w:rPr>
          <w:szCs w:val="22"/>
        </w:rPr>
        <w:t>5</w:t>
      </w:r>
      <w:r w:rsidRPr="009C3DE3">
        <w:rPr>
          <w:szCs w:val="22"/>
        </w:rPr>
        <w:t xml:space="preserve"> megahertz of spectrum across all the CMAs involved in these transactions; post-transaction, </w:t>
      </w:r>
      <w:r w:rsidR="007B6C44">
        <w:rPr>
          <w:szCs w:val="22"/>
        </w:rPr>
        <w:t>T-Mobile</w:t>
      </w:r>
      <w:r w:rsidRPr="009C3DE3">
        <w:rPr>
          <w:szCs w:val="22"/>
        </w:rPr>
        <w:t xml:space="preserve"> would hold </w:t>
      </w:r>
      <w:r w:rsidR="007B6C44">
        <w:rPr>
          <w:szCs w:val="22"/>
        </w:rPr>
        <w:t>40</w:t>
      </w:r>
      <w:r w:rsidRPr="009C3DE3">
        <w:rPr>
          <w:szCs w:val="22"/>
        </w:rPr>
        <w:t xml:space="preserve"> </w:t>
      </w:r>
      <w:r w:rsidR="00E7081A">
        <w:rPr>
          <w:szCs w:val="22"/>
        </w:rPr>
        <w:t xml:space="preserve">megahertz </w:t>
      </w:r>
      <w:r w:rsidRPr="009C3DE3">
        <w:rPr>
          <w:szCs w:val="22"/>
        </w:rPr>
        <w:t xml:space="preserve">to </w:t>
      </w:r>
      <w:r w:rsidR="007B6C44">
        <w:rPr>
          <w:szCs w:val="22"/>
        </w:rPr>
        <w:t>102</w:t>
      </w:r>
      <w:r w:rsidRPr="009C3DE3">
        <w:rPr>
          <w:szCs w:val="22"/>
        </w:rPr>
        <w:t xml:space="preserve"> megahertz of spectrum in total.</w:t>
      </w:r>
      <w:r w:rsidR="00E7081A">
        <w:rPr>
          <w:szCs w:val="22"/>
        </w:rPr>
        <w:t xml:space="preserve">  In those counties in which T-Mobile would </w:t>
      </w:r>
      <w:r w:rsidR="00BC0C7D">
        <w:rPr>
          <w:szCs w:val="22"/>
        </w:rPr>
        <w:t>realize</w:t>
      </w:r>
      <w:r w:rsidR="00E7081A">
        <w:rPr>
          <w:szCs w:val="22"/>
        </w:rPr>
        <w:t xml:space="preserve"> a net gain in its PCS spectrum holdings, it</w:t>
      </w:r>
      <w:r w:rsidR="009457E7">
        <w:rPr>
          <w:szCs w:val="22"/>
        </w:rPr>
        <w:t>s spectrum holdings</w:t>
      </w:r>
      <w:r w:rsidR="00E7081A">
        <w:rPr>
          <w:szCs w:val="22"/>
        </w:rPr>
        <w:t xml:space="preserve"> </w:t>
      </w:r>
      <w:r w:rsidR="00FD1AF2">
        <w:rPr>
          <w:szCs w:val="22"/>
        </w:rPr>
        <w:t xml:space="preserve">post-transaction </w:t>
      </w:r>
      <w:r w:rsidR="00E7081A">
        <w:rPr>
          <w:szCs w:val="22"/>
        </w:rPr>
        <w:t>would not trigger the total spectrum screen.</w:t>
      </w:r>
    </w:p>
    <w:p w:rsidR="00144BD1" w:rsidRPr="0089192F" w:rsidRDefault="00144BD1" w:rsidP="00144BD1">
      <w:pPr>
        <w:keepNext/>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166A9B">
        <w:rPr>
          <w:b/>
          <w:szCs w:val="22"/>
        </w:rPr>
        <w:t>S</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203F37">
        <w:rPr>
          <w:rStyle w:val="Normal10"/>
          <w:sz w:val="22"/>
          <w:szCs w:val="22"/>
        </w:rPr>
        <w:t>s</w:t>
      </w:r>
      <w:r w:rsidRPr="00144BD1">
        <w:rPr>
          <w:rStyle w:val="Normal10"/>
          <w:sz w:val="22"/>
          <w:szCs w:val="22"/>
        </w:rPr>
        <w:t xml:space="preserve"> for the assignment of </w:t>
      </w:r>
      <w:r w:rsidRPr="00144BD1">
        <w:rPr>
          <w:szCs w:val="22"/>
        </w:rPr>
        <w:t>license</w:t>
      </w:r>
      <w:r w:rsidR="00203F37">
        <w:rPr>
          <w:szCs w:val="22"/>
        </w:rPr>
        <w:t>s</w:t>
      </w:r>
      <w:r w:rsidRPr="00144BD1">
        <w:rPr>
          <w:szCs w:val="22"/>
        </w:rPr>
        <w:t xml:space="preserve"> </w:t>
      </w:r>
      <w:r w:rsidR="00203F37">
        <w:rPr>
          <w:rStyle w:val="Normal10"/>
          <w:sz w:val="22"/>
          <w:szCs w:val="22"/>
        </w:rPr>
        <w:t>have</w:t>
      </w:r>
      <w:r w:rsidRPr="00144BD1">
        <w:rPr>
          <w:rStyle w:val="Normal10"/>
          <w:sz w:val="22"/>
          <w:szCs w:val="22"/>
        </w:rPr>
        <w:t xml:space="preserve"> the following file number</w:t>
      </w:r>
      <w:r w:rsidR="00203F37">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66A9B" w:rsidTr="000C2C86">
        <w:trPr>
          <w:cantSplit/>
          <w:trHeight w:val="173"/>
          <w:tblHeader/>
        </w:trPr>
        <w:tc>
          <w:tcPr>
            <w:tcW w:w="769" w:type="pct"/>
            <w:shd w:val="clear" w:color="C0C0C0" w:fill="auto"/>
          </w:tcPr>
          <w:p w:rsidR="00166A9B" w:rsidRDefault="00166A9B" w:rsidP="000C2C86">
            <w:pPr>
              <w:widowControl w:val="0"/>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66A9B" w:rsidRDefault="00166A9B" w:rsidP="000C2C86">
            <w:pPr>
              <w:widowControl w:val="0"/>
              <w:autoSpaceDE w:val="0"/>
              <w:autoSpaceDN w:val="0"/>
              <w:adjustRightInd w:val="0"/>
              <w:rPr>
                <w:b/>
                <w:color w:val="000000"/>
                <w:szCs w:val="22"/>
                <w:u w:val="single"/>
              </w:rPr>
            </w:pPr>
          </w:p>
        </w:tc>
        <w:tc>
          <w:tcPr>
            <w:tcW w:w="1779" w:type="pct"/>
            <w:shd w:val="clear" w:color="C0C0C0" w:fill="auto"/>
          </w:tcPr>
          <w:p w:rsidR="00166A9B" w:rsidRDefault="00255744" w:rsidP="001500CB">
            <w:pPr>
              <w:widowControl w:val="0"/>
              <w:autoSpaceDE w:val="0"/>
              <w:autoSpaceDN w:val="0"/>
              <w:adjustRightInd w:val="0"/>
              <w:ind w:left="-43"/>
              <w:rPr>
                <w:b/>
                <w:color w:val="000000"/>
                <w:szCs w:val="22"/>
                <w:u w:val="single"/>
              </w:rPr>
            </w:pPr>
            <w:r>
              <w:rPr>
                <w:b/>
                <w:color w:val="000000"/>
                <w:szCs w:val="22"/>
                <w:u w:val="single"/>
              </w:rPr>
              <w:t>Licensee/Assignor</w:t>
            </w:r>
          </w:p>
        </w:tc>
        <w:tc>
          <w:tcPr>
            <w:tcW w:w="1683" w:type="pct"/>
            <w:shd w:val="clear" w:color="C0C0C0" w:fill="auto"/>
          </w:tcPr>
          <w:p w:rsidR="00166A9B" w:rsidRDefault="00255744" w:rsidP="001500CB">
            <w:pPr>
              <w:widowControl w:val="0"/>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66A9B" w:rsidRDefault="00166A9B" w:rsidP="000C2C86">
            <w:pPr>
              <w:widowControl w:val="0"/>
              <w:autoSpaceDE w:val="0"/>
              <w:autoSpaceDN w:val="0"/>
              <w:adjustRightInd w:val="0"/>
              <w:ind w:hanging="40"/>
              <w:rPr>
                <w:b/>
                <w:color w:val="000000"/>
                <w:szCs w:val="22"/>
                <w:u w:val="single"/>
              </w:rPr>
            </w:pPr>
            <w:r>
              <w:rPr>
                <w:b/>
                <w:color w:val="000000"/>
                <w:szCs w:val="22"/>
                <w:u w:val="single"/>
              </w:rPr>
              <w:t>Lead Call Sign</w:t>
            </w:r>
          </w:p>
        </w:tc>
      </w:tr>
      <w:tr w:rsidR="00166A9B" w:rsidTr="000C2C86">
        <w:trPr>
          <w:cantSplit/>
          <w:trHeight w:val="152"/>
        </w:trPr>
        <w:tc>
          <w:tcPr>
            <w:tcW w:w="769" w:type="pct"/>
            <w:shd w:val="clear" w:color="auto" w:fill="auto"/>
          </w:tcPr>
          <w:p w:rsidR="00166A9B" w:rsidRPr="006C53BA" w:rsidRDefault="00166A9B" w:rsidP="000C2C86">
            <w:pPr>
              <w:widowControl w:val="0"/>
              <w:tabs>
                <w:tab w:val="left" w:pos="720"/>
              </w:tabs>
              <w:rPr>
                <w:color w:val="000000"/>
                <w:szCs w:val="22"/>
                <w:shd w:val="clear" w:color="auto" w:fill="F7F5FF"/>
              </w:rPr>
            </w:pPr>
            <w:r w:rsidRPr="00166A9B">
              <w:rPr>
                <w:szCs w:val="22"/>
              </w:rPr>
              <w:t>0007106958</w:t>
            </w:r>
            <w:r w:rsidRPr="009B5689">
              <w:rPr>
                <w:rStyle w:val="FootnoteReference"/>
                <w:sz w:val="20"/>
              </w:rPr>
              <w:footnoteReference w:id="3"/>
            </w:r>
          </w:p>
        </w:tc>
        <w:tc>
          <w:tcPr>
            <w:tcW w:w="1779" w:type="pct"/>
            <w:shd w:val="clear" w:color="C0C0C0" w:fill="auto"/>
          </w:tcPr>
          <w:p w:rsidR="00166A9B" w:rsidRPr="00000509" w:rsidRDefault="00166A9B" w:rsidP="001500CB">
            <w:pPr>
              <w:widowControl w:val="0"/>
              <w:ind w:left="-43"/>
              <w:rPr>
                <w:szCs w:val="22"/>
              </w:rPr>
            </w:pPr>
            <w:r>
              <w:rPr>
                <w:szCs w:val="22"/>
              </w:rPr>
              <w:t>T-Mobile License LLC</w:t>
            </w:r>
          </w:p>
        </w:tc>
        <w:tc>
          <w:tcPr>
            <w:tcW w:w="1683" w:type="pct"/>
            <w:shd w:val="clear" w:color="C0C0C0" w:fill="auto"/>
          </w:tcPr>
          <w:p w:rsidR="00166A9B" w:rsidRPr="00530B3B" w:rsidRDefault="00166A9B" w:rsidP="001500CB">
            <w:pPr>
              <w:widowControl w:val="0"/>
              <w:rPr>
                <w:szCs w:val="22"/>
              </w:rPr>
            </w:pPr>
            <w:r>
              <w:rPr>
                <w:szCs w:val="22"/>
              </w:rPr>
              <w:t>Wirelessco, LLC</w:t>
            </w:r>
          </w:p>
        </w:tc>
        <w:tc>
          <w:tcPr>
            <w:tcW w:w="769" w:type="pct"/>
            <w:shd w:val="clear" w:color="C0C0C0" w:fill="auto"/>
          </w:tcPr>
          <w:p w:rsidR="00166A9B" w:rsidRDefault="00F161F4" w:rsidP="000C2C86">
            <w:pPr>
              <w:widowControl w:val="0"/>
              <w:ind w:hanging="40"/>
              <w:rPr>
                <w:szCs w:val="22"/>
              </w:rPr>
            </w:pPr>
            <w:r>
              <w:rPr>
                <w:szCs w:val="22"/>
              </w:rPr>
              <w:t>KNLH299</w:t>
            </w:r>
          </w:p>
        </w:tc>
      </w:tr>
      <w:tr w:rsidR="00166A9B" w:rsidTr="000C2C86">
        <w:trPr>
          <w:cantSplit/>
          <w:trHeight w:hRule="exact" w:val="144"/>
        </w:trPr>
        <w:tc>
          <w:tcPr>
            <w:tcW w:w="769" w:type="pct"/>
            <w:shd w:val="clear" w:color="auto" w:fill="auto"/>
          </w:tcPr>
          <w:p w:rsidR="00166A9B" w:rsidRDefault="00166A9B" w:rsidP="000C2C86">
            <w:pPr>
              <w:widowControl w:val="0"/>
              <w:tabs>
                <w:tab w:val="left" w:pos="720"/>
              </w:tabs>
              <w:rPr>
                <w:szCs w:val="22"/>
              </w:rPr>
            </w:pPr>
          </w:p>
        </w:tc>
        <w:tc>
          <w:tcPr>
            <w:tcW w:w="1779" w:type="pct"/>
            <w:shd w:val="clear" w:color="C0C0C0" w:fill="auto"/>
          </w:tcPr>
          <w:p w:rsidR="00166A9B" w:rsidRDefault="00166A9B" w:rsidP="001500CB">
            <w:pPr>
              <w:widowControl w:val="0"/>
              <w:ind w:left="-43"/>
              <w:rPr>
                <w:szCs w:val="22"/>
              </w:rPr>
            </w:pPr>
          </w:p>
        </w:tc>
        <w:tc>
          <w:tcPr>
            <w:tcW w:w="1683" w:type="pct"/>
            <w:shd w:val="clear" w:color="C0C0C0" w:fill="auto"/>
          </w:tcPr>
          <w:p w:rsidR="00166A9B" w:rsidRDefault="00166A9B" w:rsidP="001500CB">
            <w:pPr>
              <w:widowControl w:val="0"/>
              <w:rPr>
                <w:szCs w:val="22"/>
              </w:rPr>
            </w:pPr>
          </w:p>
        </w:tc>
        <w:tc>
          <w:tcPr>
            <w:tcW w:w="769" w:type="pct"/>
            <w:shd w:val="clear" w:color="C0C0C0" w:fill="auto"/>
          </w:tcPr>
          <w:p w:rsidR="00166A9B" w:rsidRDefault="00166A9B" w:rsidP="000C2C86">
            <w:pPr>
              <w:widowControl w:val="0"/>
              <w:ind w:hanging="40"/>
              <w:rPr>
                <w:szCs w:val="22"/>
              </w:rPr>
            </w:pPr>
          </w:p>
        </w:tc>
      </w:tr>
      <w:tr w:rsidR="00CB3591" w:rsidTr="000C2C86">
        <w:trPr>
          <w:cantSplit/>
          <w:trHeight w:val="152"/>
        </w:trPr>
        <w:tc>
          <w:tcPr>
            <w:tcW w:w="769" w:type="pct"/>
            <w:shd w:val="clear" w:color="auto" w:fill="auto"/>
          </w:tcPr>
          <w:p w:rsidR="00CB3591" w:rsidRPr="006E5293" w:rsidRDefault="006E5293" w:rsidP="00CB3591">
            <w:pPr>
              <w:widowControl w:val="0"/>
              <w:tabs>
                <w:tab w:val="left" w:pos="720"/>
              </w:tabs>
              <w:rPr>
                <w:szCs w:val="22"/>
              </w:rPr>
            </w:pPr>
            <w:r w:rsidRPr="006E5293">
              <w:rPr>
                <w:szCs w:val="22"/>
              </w:rPr>
              <w:t>0007106964</w:t>
            </w:r>
          </w:p>
        </w:tc>
        <w:tc>
          <w:tcPr>
            <w:tcW w:w="1779" w:type="pct"/>
            <w:shd w:val="clear" w:color="C0C0C0" w:fill="auto"/>
          </w:tcPr>
          <w:p w:rsidR="00CB3591" w:rsidRPr="00000509" w:rsidRDefault="006E5293" w:rsidP="001500CB">
            <w:pPr>
              <w:widowControl w:val="0"/>
              <w:ind w:left="-43"/>
              <w:rPr>
                <w:szCs w:val="22"/>
              </w:rPr>
            </w:pPr>
            <w:r>
              <w:rPr>
                <w:szCs w:val="22"/>
              </w:rPr>
              <w:t>SunCom Wireless License Company, LLC</w:t>
            </w:r>
          </w:p>
        </w:tc>
        <w:tc>
          <w:tcPr>
            <w:tcW w:w="1683" w:type="pct"/>
            <w:shd w:val="clear" w:color="C0C0C0" w:fill="auto"/>
          </w:tcPr>
          <w:p w:rsidR="00CB3591" w:rsidRPr="00530B3B" w:rsidRDefault="006E5293" w:rsidP="001500CB">
            <w:pPr>
              <w:widowControl w:val="0"/>
              <w:rPr>
                <w:szCs w:val="22"/>
              </w:rPr>
            </w:pPr>
            <w:r>
              <w:rPr>
                <w:szCs w:val="22"/>
              </w:rPr>
              <w:t>SprintCom, Inc.</w:t>
            </w:r>
          </w:p>
        </w:tc>
        <w:tc>
          <w:tcPr>
            <w:tcW w:w="769" w:type="pct"/>
            <w:shd w:val="clear" w:color="C0C0C0" w:fill="auto"/>
          </w:tcPr>
          <w:p w:rsidR="00CB3591" w:rsidRDefault="006E5293" w:rsidP="00CB3591">
            <w:pPr>
              <w:widowControl w:val="0"/>
              <w:ind w:hanging="40"/>
              <w:rPr>
                <w:szCs w:val="22"/>
              </w:rPr>
            </w:pPr>
            <w:r>
              <w:rPr>
                <w:szCs w:val="22"/>
              </w:rPr>
              <w:t>WPTD222</w:t>
            </w:r>
          </w:p>
        </w:tc>
      </w:tr>
      <w:tr w:rsidR="00166A9B" w:rsidTr="000C2C86">
        <w:trPr>
          <w:cantSplit/>
          <w:trHeight w:hRule="exact" w:val="144"/>
        </w:trPr>
        <w:tc>
          <w:tcPr>
            <w:tcW w:w="769" w:type="pct"/>
            <w:shd w:val="clear" w:color="auto" w:fill="auto"/>
          </w:tcPr>
          <w:p w:rsidR="00166A9B" w:rsidRDefault="00166A9B" w:rsidP="000C2C86">
            <w:pPr>
              <w:widowControl w:val="0"/>
              <w:tabs>
                <w:tab w:val="left" w:pos="720"/>
              </w:tabs>
            </w:pPr>
          </w:p>
        </w:tc>
        <w:tc>
          <w:tcPr>
            <w:tcW w:w="1779" w:type="pct"/>
            <w:shd w:val="clear" w:color="C0C0C0" w:fill="auto"/>
          </w:tcPr>
          <w:p w:rsidR="00166A9B" w:rsidRDefault="00166A9B" w:rsidP="001500CB">
            <w:pPr>
              <w:widowControl w:val="0"/>
              <w:ind w:left="-43"/>
              <w:rPr>
                <w:szCs w:val="22"/>
              </w:rPr>
            </w:pPr>
          </w:p>
        </w:tc>
        <w:tc>
          <w:tcPr>
            <w:tcW w:w="1683" w:type="pct"/>
            <w:shd w:val="clear" w:color="C0C0C0" w:fill="auto"/>
          </w:tcPr>
          <w:p w:rsidR="00166A9B" w:rsidRDefault="00166A9B" w:rsidP="001500CB">
            <w:pPr>
              <w:widowControl w:val="0"/>
              <w:rPr>
                <w:szCs w:val="22"/>
              </w:rPr>
            </w:pPr>
          </w:p>
        </w:tc>
        <w:tc>
          <w:tcPr>
            <w:tcW w:w="769" w:type="pct"/>
            <w:shd w:val="clear" w:color="C0C0C0" w:fill="auto"/>
          </w:tcPr>
          <w:p w:rsidR="00166A9B" w:rsidRDefault="00166A9B" w:rsidP="000C2C86">
            <w:pPr>
              <w:widowControl w:val="0"/>
              <w:ind w:hanging="40"/>
              <w:rPr>
                <w:szCs w:val="22"/>
              </w:rPr>
            </w:pPr>
          </w:p>
        </w:tc>
      </w:tr>
      <w:tr w:rsidR="00C17FE7" w:rsidTr="000C2C86">
        <w:trPr>
          <w:cantSplit/>
          <w:trHeight w:val="152"/>
        </w:trPr>
        <w:tc>
          <w:tcPr>
            <w:tcW w:w="769" w:type="pct"/>
            <w:shd w:val="clear" w:color="auto" w:fill="auto"/>
          </w:tcPr>
          <w:p w:rsidR="00C17FE7" w:rsidRPr="00CB3591" w:rsidRDefault="00C17FE7" w:rsidP="00C17FE7">
            <w:pPr>
              <w:widowControl w:val="0"/>
              <w:tabs>
                <w:tab w:val="left" w:pos="720"/>
              </w:tabs>
              <w:rPr>
                <w:szCs w:val="22"/>
              </w:rPr>
            </w:pPr>
            <w:r w:rsidRPr="00CB3591">
              <w:rPr>
                <w:szCs w:val="22"/>
              </w:rPr>
              <w:t>0007106972</w:t>
            </w:r>
          </w:p>
        </w:tc>
        <w:tc>
          <w:tcPr>
            <w:tcW w:w="1779" w:type="pct"/>
            <w:shd w:val="clear" w:color="C0C0C0" w:fill="auto"/>
          </w:tcPr>
          <w:p w:rsidR="00C17FE7" w:rsidRPr="00000509" w:rsidRDefault="00C17FE7" w:rsidP="001500CB">
            <w:pPr>
              <w:widowControl w:val="0"/>
              <w:ind w:left="-43"/>
              <w:rPr>
                <w:szCs w:val="22"/>
              </w:rPr>
            </w:pPr>
            <w:r>
              <w:rPr>
                <w:szCs w:val="22"/>
              </w:rPr>
              <w:t>T-Mobile License LLC</w:t>
            </w:r>
          </w:p>
        </w:tc>
        <w:tc>
          <w:tcPr>
            <w:tcW w:w="1683" w:type="pct"/>
            <w:shd w:val="clear" w:color="C0C0C0" w:fill="auto"/>
          </w:tcPr>
          <w:p w:rsidR="00C17FE7" w:rsidRPr="00530B3B" w:rsidRDefault="00C17FE7" w:rsidP="001500CB">
            <w:pPr>
              <w:widowControl w:val="0"/>
              <w:rPr>
                <w:szCs w:val="22"/>
              </w:rPr>
            </w:pPr>
            <w:r>
              <w:rPr>
                <w:szCs w:val="22"/>
              </w:rPr>
              <w:t>Wirelessco, LLC</w:t>
            </w:r>
          </w:p>
        </w:tc>
        <w:tc>
          <w:tcPr>
            <w:tcW w:w="769" w:type="pct"/>
            <w:shd w:val="clear" w:color="C0C0C0" w:fill="auto"/>
          </w:tcPr>
          <w:p w:rsidR="00C17FE7" w:rsidRDefault="00C17FE7" w:rsidP="00C17FE7">
            <w:pPr>
              <w:widowControl w:val="0"/>
              <w:ind w:hanging="40"/>
              <w:rPr>
                <w:szCs w:val="22"/>
              </w:rPr>
            </w:pPr>
            <w:r>
              <w:rPr>
                <w:szCs w:val="22"/>
              </w:rPr>
              <w:t>KNLF480</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C67D0B" w:rsidRDefault="00C17FE7" w:rsidP="00C17FE7">
            <w:pPr>
              <w:widowControl w:val="0"/>
              <w:tabs>
                <w:tab w:val="left" w:pos="720"/>
              </w:tabs>
            </w:pPr>
            <w:r w:rsidRPr="00C67D0B">
              <w:rPr>
                <w:szCs w:val="22"/>
              </w:rPr>
              <w:t>0007106988</w:t>
            </w:r>
          </w:p>
        </w:tc>
        <w:tc>
          <w:tcPr>
            <w:tcW w:w="1779" w:type="pct"/>
            <w:shd w:val="clear" w:color="C0C0C0" w:fill="auto"/>
          </w:tcPr>
          <w:p w:rsidR="00C17FE7" w:rsidRDefault="00C17FE7" w:rsidP="001500CB">
            <w:pPr>
              <w:widowControl w:val="0"/>
              <w:ind w:left="-43"/>
              <w:rPr>
                <w:szCs w:val="22"/>
              </w:rPr>
            </w:pPr>
            <w:r>
              <w:rPr>
                <w:szCs w:val="22"/>
              </w:rPr>
              <w:t>T-Mobile License LLC</w:t>
            </w:r>
          </w:p>
        </w:tc>
        <w:tc>
          <w:tcPr>
            <w:tcW w:w="1683" w:type="pct"/>
            <w:shd w:val="clear" w:color="C0C0C0" w:fill="auto"/>
          </w:tcPr>
          <w:p w:rsidR="00C17FE7" w:rsidRDefault="00C17FE7" w:rsidP="001500CB">
            <w:pPr>
              <w:widowControl w:val="0"/>
              <w:rPr>
                <w:szCs w:val="22"/>
              </w:rPr>
            </w:pPr>
            <w:r>
              <w:rPr>
                <w:szCs w:val="22"/>
              </w:rPr>
              <w:t>SprintCom, Inc.</w:t>
            </w:r>
          </w:p>
        </w:tc>
        <w:tc>
          <w:tcPr>
            <w:tcW w:w="769" w:type="pct"/>
            <w:shd w:val="clear" w:color="C0C0C0" w:fill="auto"/>
          </w:tcPr>
          <w:p w:rsidR="00C17FE7" w:rsidRDefault="00C17FE7" w:rsidP="00C17FE7">
            <w:pPr>
              <w:widowControl w:val="0"/>
              <w:ind w:hanging="40"/>
              <w:rPr>
                <w:szCs w:val="22"/>
              </w:rPr>
            </w:pPr>
            <w:r>
              <w:rPr>
                <w:szCs w:val="22"/>
              </w:rPr>
              <w:t>KNLF680</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336875" w:rsidRDefault="00C17FE7" w:rsidP="00C17FE7">
            <w:pPr>
              <w:widowControl w:val="0"/>
              <w:tabs>
                <w:tab w:val="left" w:pos="720"/>
              </w:tabs>
            </w:pPr>
            <w:r w:rsidRPr="00336875">
              <w:rPr>
                <w:szCs w:val="22"/>
              </w:rPr>
              <w:t>0007106992</w:t>
            </w:r>
          </w:p>
        </w:tc>
        <w:tc>
          <w:tcPr>
            <w:tcW w:w="1779" w:type="pct"/>
            <w:shd w:val="clear" w:color="C0C0C0" w:fill="auto"/>
          </w:tcPr>
          <w:p w:rsidR="00C17FE7" w:rsidRDefault="00C17FE7" w:rsidP="001500CB">
            <w:pPr>
              <w:widowControl w:val="0"/>
              <w:ind w:left="-43"/>
              <w:rPr>
                <w:szCs w:val="22"/>
              </w:rPr>
            </w:pPr>
            <w:r>
              <w:rPr>
                <w:szCs w:val="22"/>
              </w:rPr>
              <w:t>T-Mobile License LLC</w:t>
            </w:r>
          </w:p>
        </w:tc>
        <w:tc>
          <w:tcPr>
            <w:tcW w:w="1683" w:type="pct"/>
            <w:shd w:val="clear" w:color="C0C0C0" w:fill="auto"/>
          </w:tcPr>
          <w:p w:rsidR="00C17FE7" w:rsidRDefault="00C17FE7" w:rsidP="001500CB">
            <w:pPr>
              <w:widowControl w:val="0"/>
              <w:rPr>
                <w:szCs w:val="22"/>
              </w:rPr>
            </w:pPr>
            <w:r>
              <w:rPr>
                <w:szCs w:val="22"/>
              </w:rPr>
              <w:t>SprintCom, Inc.</w:t>
            </w:r>
          </w:p>
        </w:tc>
        <w:tc>
          <w:tcPr>
            <w:tcW w:w="769" w:type="pct"/>
            <w:shd w:val="clear" w:color="C0C0C0" w:fill="auto"/>
          </w:tcPr>
          <w:p w:rsidR="00C17FE7" w:rsidRDefault="00C17FE7" w:rsidP="00C17FE7">
            <w:pPr>
              <w:widowControl w:val="0"/>
              <w:ind w:hanging="40"/>
              <w:rPr>
                <w:szCs w:val="22"/>
              </w:rPr>
            </w:pPr>
            <w:r>
              <w:rPr>
                <w:szCs w:val="22"/>
              </w:rPr>
              <w:t>KNLF222</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A830C2" w:rsidRDefault="00C17FE7" w:rsidP="00C17FE7">
            <w:pPr>
              <w:widowControl w:val="0"/>
              <w:tabs>
                <w:tab w:val="left" w:pos="720"/>
              </w:tabs>
            </w:pPr>
            <w:r w:rsidRPr="00A830C2">
              <w:rPr>
                <w:szCs w:val="22"/>
              </w:rPr>
              <w:t>0007106995</w:t>
            </w:r>
          </w:p>
        </w:tc>
        <w:tc>
          <w:tcPr>
            <w:tcW w:w="1779" w:type="pct"/>
            <w:shd w:val="clear" w:color="C0C0C0" w:fill="auto"/>
          </w:tcPr>
          <w:p w:rsidR="00C17FE7" w:rsidRDefault="00C17FE7" w:rsidP="001500CB">
            <w:pPr>
              <w:widowControl w:val="0"/>
              <w:ind w:left="-43"/>
              <w:rPr>
                <w:szCs w:val="22"/>
              </w:rPr>
            </w:pPr>
            <w:r>
              <w:rPr>
                <w:szCs w:val="22"/>
              </w:rPr>
              <w:t>T-Mobile License LLC</w:t>
            </w:r>
          </w:p>
        </w:tc>
        <w:tc>
          <w:tcPr>
            <w:tcW w:w="1683" w:type="pct"/>
            <w:shd w:val="clear" w:color="C0C0C0" w:fill="auto"/>
          </w:tcPr>
          <w:p w:rsidR="00C17FE7" w:rsidRDefault="00C17FE7" w:rsidP="001500CB">
            <w:pPr>
              <w:widowControl w:val="0"/>
              <w:rPr>
                <w:szCs w:val="22"/>
              </w:rPr>
            </w:pPr>
            <w:r>
              <w:rPr>
                <w:szCs w:val="22"/>
              </w:rPr>
              <w:t>PhillieCo, LLC</w:t>
            </w:r>
          </w:p>
        </w:tc>
        <w:tc>
          <w:tcPr>
            <w:tcW w:w="769" w:type="pct"/>
            <w:shd w:val="clear" w:color="C0C0C0" w:fill="auto"/>
          </w:tcPr>
          <w:p w:rsidR="00C17FE7" w:rsidRDefault="00C17FE7" w:rsidP="00C17FE7">
            <w:pPr>
              <w:widowControl w:val="0"/>
              <w:ind w:hanging="40"/>
              <w:rPr>
                <w:szCs w:val="22"/>
              </w:rPr>
            </w:pPr>
            <w:r>
              <w:rPr>
                <w:szCs w:val="22"/>
              </w:rPr>
              <w:t>WPOJ792</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AF3BE2" w:rsidRDefault="00C17FE7" w:rsidP="00C17FE7">
            <w:pPr>
              <w:widowControl w:val="0"/>
              <w:tabs>
                <w:tab w:val="left" w:pos="720"/>
              </w:tabs>
            </w:pPr>
            <w:r w:rsidRPr="00AF3BE2">
              <w:rPr>
                <w:szCs w:val="22"/>
              </w:rPr>
              <w:t>0007106997</w:t>
            </w:r>
          </w:p>
        </w:tc>
        <w:tc>
          <w:tcPr>
            <w:tcW w:w="1779" w:type="pct"/>
            <w:shd w:val="clear" w:color="C0C0C0" w:fill="auto"/>
          </w:tcPr>
          <w:p w:rsidR="00C17FE7" w:rsidRDefault="00C17FE7" w:rsidP="001500CB">
            <w:pPr>
              <w:widowControl w:val="0"/>
              <w:ind w:left="-43"/>
              <w:rPr>
                <w:szCs w:val="22"/>
              </w:rPr>
            </w:pPr>
            <w:r>
              <w:rPr>
                <w:szCs w:val="22"/>
              </w:rPr>
              <w:t>T-Mobile License LLC</w:t>
            </w:r>
          </w:p>
        </w:tc>
        <w:tc>
          <w:tcPr>
            <w:tcW w:w="1683" w:type="pct"/>
            <w:shd w:val="clear" w:color="C0C0C0" w:fill="auto"/>
          </w:tcPr>
          <w:p w:rsidR="00C17FE7" w:rsidRDefault="00C17FE7" w:rsidP="001500CB">
            <w:pPr>
              <w:widowControl w:val="0"/>
              <w:rPr>
                <w:szCs w:val="22"/>
              </w:rPr>
            </w:pPr>
            <w:r>
              <w:rPr>
                <w:szCs w:val="22"/>
              </w:rPr>
              <w:t>PhillieCo, LLC</w:t>
            </w:r>
          </w:p>
        </w:tc>
        <w:tc>
          <w:tcPr>
            <w:tcW w:w="769" w:type="pct"/>
            <w:shd w:val="clear" w:color="C0C0C0" w:fill="auto"/>
          </w:tcPr>
          <w:p w:rsidR="00C17FE7" w:rsidRDefault="00C17FE7" w:rsidP="00C17FE7">
            <w:pPr>
              <w:widowControl w:val="0"/>
              <w:ind w:hanging="40"/>
              <w:rPr>
                <w:szCs w:val="22"/>
              </w:rPr>
            </w:pPr>
            <w:r>
              <w:rPr>
                <w:szCs w:val="22"/>
              </w:rPr>
              <w:t>KNLF719</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9F4951" w:rsidRDefault="00C17FE7" w:rsidP="00C17FE7">
            <w:pPr>
              <w:widowControl w:val="0"/>
              <w:tabs>
                <w:tab w:val="left" w:pos="720"/>
              </w:tabs>
            </w:pPr>
            <w:r w:rsidRPr="009F4951">
              <w:rPr>
                <w:szCs w:val="22"/>
              </w:rPr>
              <w:t>0007106999</w:t>
            </w:r>
          </w:p>
        </w:tc>
        <w:tc>
          <w:tcPr>
            <w:tcW w:w="1779" w:type="pct"/>
            <w:shd w:val="clear" w:color="C0C0C0" w:fill="auto"/>
          </w:tcPr>
          <w:p w:rsidR="00C17FE7" w:rsidRDefault="00C17FE7" w:rsidP="001500CB">
            <w:pPr>
              <w:widowControl w:val="0"/>
              <w:ind w:left="-43"/>
              <w:rPr>
                <w:szCs w:val="22"/>
              </w:rPr>
            </w:pPr>
            <w:r>
              <w:rPr>
                <w:szCs w:val="22"/>
              </w:rPr>
              <w:t>T-Mobile License LLC</w:t>
            </w:r>
          </w:p>
        </w:tc>
        <w:tc>
          <w:tcPr>
            <w:tcW w:w="1683" w:type="pct"/>
            <w:shd w:val="clear" w:color="C0C0C0" w:fill="auto"/>
          </w:tcPr>
          <w:p w:rsidR="00C17FE7" w:rsidRDefault="00C17FE7" w:rsidP="001500CB">
            <w:pPr>
              <w:widowControl w:val="0"/>
              <w:rPr>
                <w:szCs w:val="22"/>
              </w:rPr>
            </w:pPr>
            <w:r>
              <w:rPr>
                <w:szCs w:val="22"/>
              </w:rPr>
              <w:t>APC PCS, LLC</w:t>
            </w:r>
          </w:p>
        </w:tc>
        <w:tc>
          <w:tcPr>
            <w:tcW w:w="769" w:type="pct"/>
            <w:shd w:val="clear" w:color="C0C0C0" w:fill="auto"/>
          </w:tcPr>
          <w:p w:rsidR="00C17FE7" w:rsidRDefault="00C17FE7" w:rsidP="00C17FE7">
            <w:pPr>
              <w:widowControl w:val="0"/>
              <w:ind w:hanging="40"/>
              <w:rPr>
                <w:szCs w:val="22"/>
              </w:rPr>
            </w:pPr>
            <w:r>
              <w:rPr>
                <w:szCs w:val="22"/>
              </w:rPr>
              <w:t>WQCS387</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3556E3" w:rsidTr="000C2C86">
        <w:trPr>
          <w:cantSplit/>
          <w:trHeight w:val="152"/>
        </w:trPr>
        <w:tc>
          <w:tcPr>
            <w:tcW w:w="769" w:type="pct"/>
            <w:shd w:val="clear" w:color="auto" w:fill="auto"/>
          </w:tcPr>
          <w:p w:rsidR="003556E3" w:rsidRPr="003556E3" w:rsidRDefault="003556E3" w:rsidP="003556E3">
            <w:pPr>
              <w:widowControl w:val="0"/>
              <w:tabs>
                <w:tab w:val="left" w:pos="720"/>
              </w:tabs>
            </w:pPr>
            <w:r w:rsidRPr="003556E3">
              <w:rPr>
                <w:szCs w:val="22"/>
              </w:rPr>
              <w:t>0007128075</w:t>
            </w:r>
          </w:p>
        </w:tc>
        <w:tc>
          <w:tcPr>
            <w:tcW w:w="1779" w:type="pct"/>
            <w:shd w:val="clear" w:color="C0C0C0" w:fill="auto"/>
          </w:tcPr>
          <w:p w:rsidR="003556E3" w:rsidRDefault="003556E3" w:rsidP="001500CB">
            <w:pPr>
              <w:widowControl w:val="0"/>
              <w:ind w:left="-43"/>
              <w:rPr>
                <w:szCs w:val="22"/>
              </w:rPr>
            </w:pPr>
            <w:r>
              <w:rPr>
                <w:szCs w:val="22"/>
              </w:rPr>
              <w:t>SprintCom, Inc.</w:t>
            </w:r>
          </w:p>
        </w:tc>
        <w:tc>
          <w:tcPr>
            <w:tcW w:w="1683" w:type="pct"/>
            <w:shd w:val="clear" w:color="C0C0C0" w:fill="auto"/>
          </w:tcPr>
          <w:p w:rsidR="003556E3" w:rsidRPr="00000509" w:rsidRDefault="003556E3" w:rsidP="001500CB">
            <w:pPr>
              <w:widowControl w:val="0"/>
              <w:rPr>
                <w:szCs w:val="22"/>
              </w:rPr>
            </w:pPr>
            <w:r>
              <w:rPr>
                <w:szCs w:val="22"/>
              </w:rPr>
              <w:t>SunCom Wireless License Company, LLC</w:t>
            </w:r>
          </w:p>
        </w:tc>
        <w:tc>
          <w:tcPr>
            <w:tcW w:w="769" w:type="pct"/>
            <w:shd w:val="clear" w:color="C0C0C0" w:fill="auto"/>
          </w:tcPr>
          <w:p w:rsidR="003556E3" w:rsidRDefault="003556E3" w:rsidP="003556E3">
            <w:pPr>
              <w:widowControl w:val="0"/>
              <w:ind w:hanging="40"/>
              <w:rPr>
                <w:szCs w:val="22"/>
              </w:rPr>
            </w:pPr>
            <w:r>
              <w:rPr>
                <w:szCs w:val="22"/>
              </w:rPr>
              <w:t>KNLH531</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C17FE7" w:rsidTr="000C2C86">
        <w:trPr>
          <w:cantSplit/>
          <w:trHeight w:val="152"/>
        </w:trPr>
        <w:tc>
          <w:tcPr>
            <w:tcW w:w="769" w:type="pct"/>
            <w:shd w:val="clear" w:color="auto" w:fill="auto"/>
          </w:tcPr>
          <w:p w:rsidR="00C17FE7" w:rsidRPr="00DA14B4" w:rsidRDefault="00DA14B4" w:rsidP="00C17FE7">
            <w:pPr>
              <w:widowControl w:val="0"/>
              <w:tabs>
                <w:tab w:val="left" w:pos="720"/>
              </w:tabs>
            </w:pPr>
            <w:r w:rsidRPr="00DA14B4">
              <w:rPr>
                <w:szCs w:val="22"/>
              </w:rPr>
              <w:t>0007128083</w:t>
            </w:r>
          </w:p>
        </w:tc>
        <w:tc>
          <w:tcPr>
            <w:tcW w:w="1779" w:type="pct"/>
            <w:shd w:val="clear" w:color="C0C0C0" w:fill="auto"/>
          </w:tcPr>
          <w:p w:rsidR="00C17FE7" w:rsidRDefault="00DA14B4" w:rsidP="001500CB">
            <w:pPr>
              <w:widowControl w:val="0"/>
              <w:ind w:left="-43"/>
              <w:rPr>
                <w:szCs w:val="22"/>
              </w:rPr>
            </w:pPr>
            <w:r>
              <w:rPr>
                <w:szCs w:val="22"/>
              </w:rPr>
              <w:t>APC PCS, LLC</w:t>
            </w:r>
          </w:p>
        </w:tc>
        <w:tc>
          <w:tcPr>
            <w:tcW w:w="1683" w:type="pct"/>
            <w:shd w:val="clear" w:color="C0C0C0" w:fill="auto"/>
          </w:tcPr>
          <w:p w:rsidR="00C17FE7" w:rsidRDefault="00C17FE7" w:rsidP="001500CB">
            <w:pPr>
              <w:widowControl w:val="0"/>
              <w:rPr>
                <w:szCs w:val="22"/>
              </w:rPr>
            </w:pPr>
            <w:r>
              <w:rPr>
                <w:szCs w:val="22"/>
              </w:rPr>
              <w:t>T-Mobile License LLC</w:t>
            </w:r>
          </w:p>
        </w:tc>
        <w:tc>
          <w:tcPr>
            <w:tcW w:w="769" w:type="pct"/>
            <w:shd w:val="clear" w:color="C0C0C0" w:fill="auto"/>
          </w:tcPr>
          <w:p w:rsidR="00C17FE7" w:rsidRDefault="00DA14B4" w:rsidP="00C17FE7">
            <w:pPr>
              <w:widowControl w:val="0"/>
              <w:ind w:hanging="40"/>
              <w:rPr>
                <w:szCs w:val="22"/>
              </w:rPr>
            </w:pPr>
            <w:r>
              <w:rPr>
                <w:szCs w:val="22"/>
              </w:rPr>
              <w:t>WPZR323</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06603C" w:rsidTr="000C2C86">
        <w:trPr>
          <w:cantSplit/>
          <w:trHeight w:val="152"/>
        </w:trPr>
        <w:tc>
          <w:tcPr>
            <w:tcW w:w="769" w:type="pct"/>
            <w:shd w:val="clear" w:color="auto" w:fill="auto"/>
          </w:tcPr>
          <w:p w:rsidR="0006603C" w:rsidRPr="0006603C" w:rsidRDefault="0006603C" w:rsidP="0006603C">
            <w:pPr>
              <w:widowControl w:val="0"/>
              <w:tabs>
                <w:tab w:val="left" w:pos="720"/>
              </w:tabs>
            </w:pPr>
            <w:r w:rsidRPr="0006603C">
              <w:rPr>
                <w:szCs w:val="22"/>
              </w:rPr>
              <w:t>0007128088</w:t>
            </w:r>
          </w:p>
        </w:tc>
        <w:tc>
          <w:tcPr>
            <w:tcW w:w="1779" w:type="pct"/>
            <w:shd w:val="clear" w:color="C0C0C0" w:fill="auto"/>
          </w:tcPr>
          <w:p w:rsidR="0006603C" w:rsidRDefault="0006603C" w:rsidP="001500CB">
            <w:pPr>
              <w:widowControl w:val="0"/>
              <w:ind w:left="-43"/>
              <w:rPr>
                <w:szCs w:val="22"/>
              </w:rPr>
            </w:pPr>
            <w:r>
              <w:rPr>
                <w:szCs w:val="22"/>
              </w:rPr>
              <w:t>PhillieCo, LLC</w:t>
            </w:r>
          </w:p>
        </w:tc>
        <w:tc>
          <w:tcPr>
            <w:tcW w:w="1683" w:type="pct"/>
            <w:shd w:val="clear" w:color="C0C0C0" w:fill="auto"/>
          </w:tcPr>
          <w:p w:rsidR="0006603C" w:rsidRDefault="0006603C" w:rsidP="001500CB">
            <w:pPr>
              <w:widowControl w:val="0"/>
              <w:rPr>
                <w:szCs w:val="22"/>
              </w:rPr>
            </w:pPr>
            <w:r>
              <w:rPr>
                <w:szCs w:val="22"/>
              </w:rPr>
              <w:t>T-Mobile License LLC</w:t>
            </w:r>
          </w:p>
        </w:tc>
        <w:tc>
          <w:tcPr>
            <w:tcW w:w="769" w:type="pct"/>
            <w:shd w:val="clear" w:color="C0C0C0" w:fill="auto"/>
          </w:tcPr>
          <w:p w:rsidR="0006603C" w:rsidRDefault="0006603C" w:rsidP="0006603C">
            <w:pPr>
              <w:widowControl w:val="0"/>
              <w:ind w:hanging="40"/>
              <w:rPr>
                <w:szCs w:val="22"/>
              </w:rPr>
            </w:pPr>
            <w:r>
              <w:rPr>
                <w:szCs w:val="22"/>
              </w:rPr>
              <w:t>WQHB680</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EA60FB" w:rsidTr="000C2C86">
        <w:trPr>
          <w:cantSplit/>
          <w:trHeight w:val="152"/>
        </w:trPr>
        <w:tc>
          <w:tcPr>
            <w:tcW w:w="769" w:type="pct"/>
            <w:shd w:val="clear" w:color="auto" w:fill="auto"/>
          </w:tcPr>
          <w:p w:rsidR="00EA60FB" w:rsidRPr="00EA60FB" w:rsidRDefault="00EA60FB" w:rsidP="00EA60FB">
            <w:pPr>
              <w:widowControl w:val="0"/>
              <w:tabs>
                <w:tab w:val="left" w:pos="720"/>
              </w:tabs>
            </w:pPr>
            <w:r w:rsidRPr="00EA60FB">
              <w:rPr>
                <w:szCs w:val="22"/>
              </w:rPr>
              <w:t>0007128116</w:t>
            </w:r>
          </w:p>
        </w:tc>
        <w:tc>
          <w:tcPr>
            <w:tcW w:w="1779" w:type="pct"/>
            <w:shd w:val="clear" w:color="C0C0C0" w:fill="auto"/>
          </w:tcPr>
          <w:p w:rsidR="00EA60FB" w:rsidRDefault="00EA60FB" w:rsidP="001500CB">
            <w:pPr>
              <w:widowControl w:val="0"/>
              <w:ind w:left="-43"/>
              <w:rPr>
                <w:szCs w:val="22"/>
              </w:rPr>
            </w:pPr>
            <w:r>
              <w:rPr>
                <w:szCs w:val="22"/>
              </w:rPr>
              <w:t>PhillieCo, LLC</w:t>
            </w:r>
          </w:p>
        </w:tc>
        <w:tc>
          <w:tcPr>
            <w:tcW w:w="1683" w:type="pct"/>
            <w:shd w:val="clear" w:color="C0C0C0" w:fill="auto"/>
          </w:tcPr>
          <w:p w:rsidR="00EA60FB" w:rsidRDefault="00EA60FB" w:rsidP="001500CB">
            <w:pPr>
              <w:widowControl w:val="0"/>
              <w:rPr>
                <w:szCs w:val="22"/>
              </w:rPr>
            </w:pPr>
            <w:r>
              <w:rPr>
                <w:szCs w:val="22"/>
              </w:rPr>
              <w:t>T-Mobile License LLC</w:t>
            </w:r>
          </w:p>
        </w:tc>
        <w:tc>
          <w:tcPr>
            <w:tcW w:w="769" w:type="pct"/>
            <w:shd w:val="clear" w:color="C0C0C0" w:fill="auto"/>
          </w:tcPr>
          <w:p w:rsidR="00EA60FB" w:rsidRDefault="00EA60FB" w:rsidP="00EA60FB">
            <w:pPr>
              <w:widowControl w:val="0"/>
              <w:ind w:hanging="40"/>
              <w:rPr>
                <w:szCs w:val="22"/>
              </w:rPr>
            </w:pPr>
            <w:r>
              <w:rPr>
                <w:szCs w:val="22"/>
              </w:rPr>
              <w:t>KNLF219</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A12BAB" w:rsidTr="000C2C86">
        <w:trPr>
          <w:cantSplit/>
          <w:trHeight w:val="152"/>
        </w:trPr>
        <w:tc>
          <w:tcPr>
            <w:tcW w:w="769" w:type="pct"/>
            <w:shd w:val="clear" w:color="auto" w:fill="auto"/>
          </w:tcPr>
          <w:p w:rsidR="00A12BAB" w:rsidRPr="00A12BAB" w:rsidRDefault="00A12BAB" w:rsidP="00A12BAB">
            <w:pPr>
              <w:widowControl w:val="0"/>
              <w:tabs>
                <w:tab w:val="left" w:pos="720"/>
              </w:tabs>
            </w:pPr>
            <w:r w:rsidRPr="00A12BAB">
              <w:rPr>
                <w:szCs w:val="22"/>
              </w:rPr>
              <w:t>0007128119</w:t>
            </w:r>
          </w:p>
        </w:tc>
        <w:tc>
          <w:tcPr>
            <w:tcW w:w="1779" w:type="pct"/>
            <w:shd w:val="clear" w:color="C0C0C0" w:fill="auto"/>
          </w:tcPr>
          <w:p w:rsidR="00A12BAB" w:rsidRDefault="00A12BAB" w:rsidP="001500CB">
            <w:pPr>
              <w:widowControl w:val="0"/>
              <w:ind w:left="-43"/>
              <w:rPr>
                <w:szCs w:val="22"/>
              </w:rPr>
            </w:pPr>
            <w:r>
              <w:rPr>
                <w:szCs w:val="22"/>
              </w:rPr>
              <w:t>SprintCom, Inc.</w:t>
            </w:r>
          </w:p>
        </w:tc>
        <w:tc>
          <w:tcPr>
            <w:tcW w:w="1683" w:type="pct"/>
            <w:shd w:val="clear" w:color="C0C0C0" w:fill="auto"/>
          </w:tcPr>
          <w:p w:rsidR="00A12BAB" w:rsidRDefault="00A12BAB" w:rsidP="001500CB">
            <w:pPr>
              <w:widowControl w:val="0"/>
              <w:rPr>
                <w:szCs w:val="22"/>
              </w:rPr>
            </w:pPr>
            <w:r>
              <w:rPr>
                <w:szCs w:val="22"/>
              </w:rPr>
              <w:t>T-Mobile License LLC</w:t>
            </w:r>
          </w:p>
        </w:tc>
        <w:tc>
          <w:tcPr>
            <w:tcW w:w="769" w:type="pct"/>
            <w:shd w:val="clear" w:color="C0C0C0" w:fill="auto"/>
          </w:tcPr>
          <w:p w:rsidR="00A12BAB" w:rsidRDefault="00A12BAB" w:rsidP="00A12BAB">
            <w:pPr>
              <w:widowControl w:val="0"/>
              <w:ind w:hanging="40"/>
              <w:rPr>
                <w:szCs w:val="22"/>
              </w:rPr>
            </w:pPr>
            <w:r>
              <w:rPr>
                <w:szCs w:val="22"/>
              </w:rPr>
              <w:t>KNLF523</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9659BE" w:rsidTr="000C2C86">
        <w:trPr>
          <w:cantSplit/>
          <w:trHeight w:val="152"/>
        </w:trPr>
        <w:tc>
          <w:tcPr>
            <w:tcW w:w="769" w:type="pct"/>
            <w:shd w:val="clear" w:color="auto" w:fill="auto"/>
          </w:tcPr>
          <w:p w:rsidR="009659BE" w:rsidRPr="009659BE" w:rsidRDefault="009659BE" w:rsidP="009659BE">
            <w:pPr>
              <w:widowControl w:val="0"/>
              <w:tabs>
                <w:tab w:val="left" w:pos="720"/>
              </w:tabs>
            </w:pPr>
            <w:r w:rsidRPr="009659BE">
              <w:rPr>
                <w:szCs w:val="22"/>
              </w:rPr>
              <w:t>0007128127</w:t>
            </w:r>
          </w:p>
        </w:tc>
        <w:tc>
          <w:tcPr>
            <w:tcW w:w="1779" w:type="pct"/>
            <w:shd w:val="clear" w:color="C0C0C0" w:fill="auto"/>
          </w:tcPr>
          <w:p w:rsidR="009659BE" w:rsidRDefault="009659BE" w:rsidP="001500CB">
            <w:pPr>
              <w:widowControl w:val="0"/>
              <w:ind w:left="-43"/>
              <w:rPr>
                <w:szCs w:val="22"/>
              </w:rPr>
            </w:pPr>
            <w:r>
              <w:rPr>
                <w:szCs w:val="22"/>
              </w:rPr>
              <w:t>SprintCom, Inc.</w:t>
            </w:r>
          </w:p>
        </w:tc>
        <w:tc>
          <w:tcPr>
            <w:tcW w:w="1683" w:type="pct"/>
            <w:shd w:val="clear" w:color="C0C0C0" w:fill="auto"/>
          </w:tcPr>
          <w:p w:rsidR="009659BE" w:rsidRDefault="009659BE" w:rsidP="001500CB">
            <w:pPr>
              <w:widowControl w:val="0"/>
              <w:rPr>
                <w:szCs w:val="22"/>
              </w:rPr>
            </w:pPr>
            <w:r>
              <w:rPr>
                <w:szCs w:val="22"/>
              </w:rPr>
              <w:t>T-Mobile License LLC</w:t>
            </w:r>
          </w:p>
        </w:tc>
        <w:tc>
          <w:tcPr>
            <w:tcW w:w="769" w:type="pct"/>
            <w:shd w:val="clear" w:color="C0C0C0" w:fill="auto"/>
          </w:tcPr>
          <w:p w:rsidR="009659BE" w:rsidRDefault="009659BE" w:rsidP="009659BE">
            <w:pPr>
              <w:widowControl w:val="0"/>
              <w:ind w:hanging="40"/>
              <w:rPr>
                <w:szCs w:val="22"/>
              </w:rPr>
            </w:pPr>
            <w:r>
              <w:rPr>
                <w:szCs w:val="22"/>
              </w:rPr>
              <w:t>KNLH470</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E779F0" w:rsidTr="000C2C86">
        <w:trPr>
          <w:cantSplit/>
          <w:trHeight w:val="152"/>
        </w:trPr>
        <w:tc>
          <w:tcPr>
            <w:tcW w:w="769" w:type="pct"/>
            <w:shd w:val="clear" w:color="auto" w:fill="auto"/>
          </w:tcPr>
          <w:p w:rsidR="00E779F0" w:rsidRPr="00E779F0" w:rsidRDefault="00E779F0" w:rsidP="00E779F0">
            <w:pPr>
              <w:widowControl w:val="0"/>
              <w:tabs>
                <w:tab w:val="left" w:pos="720"/>
              </w:tabs>
            </w:pPr>
            <w:r w:rsidRPr="00E779F0">
              <w:rPr>
                <w:szCs w:val="22"/>
              </w:rPr>
              <w:t>0007128149</w:t>
            </w:r>
          </w:p>
        </w:tc>
        <w:tc>
          <w:tcPr>
            <w:tcW w:w="1779" w:type="pct"/>
            <w:shd w:val="clear" w:color="C0C0C0" w:fill="auto"/>
          </w:tcPr>
          <w:p w:rsidR="00E779F0" w:rsidRPr="00530B3B" w:rsidRDefault="00E779F0" w:rsidP="001500CB">
            <w:pPr>
              <w:widowControl w:val="0"/>
              <w:ind w:left="-43"/>
              <w:rPr>
                <w:szCs w:val="22"/>
              </w:rPr>
            </w:pPr>
            <w:r>
              <w:rPr>
                <w:szCs w:val="22"/>
              </w:rPr>
              <w:t>Wirelessco, LLC</w:t>
            </w:r>
          </w:p>
        </w:tc>
        <w:tc>
          <w:tcPr>
            <w:tcW w:w="1683" w:type="pct"/>
            <w:shd w:val="clear" w:color="C0C0C0" w:fill="auto"/>
          </w:tcPr>
          <w:p w:rsidR="00E779F0" w:rsidRDefault="00E779F0" w:rsidP="001500CB">
            <w:pPr>
              <w:widowControl w:val="0"/>
              <w:rPr>
                <w:szCs w:val="22"/>
              </w:rPr>
            </w:pPr>
            <w:r>
              <w:rPr>
                <w:szCs w:val="22"/>
              </w:rPr>
              <w:t>T-Mobile License LLC</w:t>
            </w:r>
          </w:p>
        </w:tc>
        <w:tc>
          <w:tcPr>
            <w:tcW w:w="769" w:type="pct"/>
            <w:shd w:val="clear" w:color="C0C0C0" w:fill="auto"/>
          </w:tcPr>
          <w:p w:rsidR="00E779F0" w:rsidRDefault="00E779F0" w:rsidP="00E779F0">
            <w:pPr>
              <w:widowControl w:val="0"/>
              <w:ind w:hanging="40"/>
              <w:rPr>
                <w:szCs w:val="22"/>
              </w:rPr>
            </w:pPr>
            <w:r>
              <w:rPr>
                <w:szCs w:val="22"/>
              </w:rPr>
              <w:t>KNLF211</w:t>
            </w:r>
          </w:p>
        </w:tc>
      </w:tr>
      <w:tr w:rsidR="00C17FE7" w:rsidTr="000C2C86">
        <w:trPr>
          <w:cantSplit/>
          <w:trHeight w:hRule="exact" w:val="144"/>
        </w:trPr>
        <w:tc>
          <w:tcPr>
            <w:tcW w:w="769" w:type="pct"/>
            <w:shd w:val="clear" w:color="auto" w:fill="auto"/>
          </w:tcPr>
          <w:p w:rsidR="00C17FE7" w:rsidRDefault="00C17FE7" w:rsidP="00C17FE7">
            <w:pPr>
              <w:widowControl w:val="0"/>
              <w:tabs>
                <w:tab w:val="left" w:pos="720"/>
              </w:tabs>
            </w:pPr>
          </w:p>
        </w:tc>
        <w:tc>
          <w:tcPr>
            <w:tcW w:w="1779" w:type="pct"/>
            <w:shd w:val="clear" w:color="C0C0C0" w:fill="auto"/>
          </w:tcPr>
          <w:p w:rsidR="00C17FE7" w:rsidRDefault="00C17FE7" w:rsidP="001500CB">
            <w:pPr>
              <w:widowControl w:val="0"/>
              <w:ind w:left="-43"/>
              <w:rPr>
                <w:szCs w:val="22"/>
              </w:rPr>
            </w:pPr>
          </w:p>
        </w:tc>
        <w:tc>
          <w:tcPr>
            <w:tcW w:w="1683" w:type="pct"/>
            <w:shd w:val="clear" w:color="C0C0C0" w:fill="auto"/>
          </w:tcPr>
          <w:p w:rsidR="00C17FE7" w:rsidRDefault="00C17FE7" w:rsidP="001500CB">
            <w:pPr>
              <w:widowControl w:val="0"/>
              <w:rPr>
                <w:szCs w:val="22"/>
              </w:rPr>
            </w:pPr>
          </w:p>
        </w:tc>
        <w:tc>
          <w:tcPr>
            <w:tcW w:w="769" w:type="pct"/>
            <w:shd w:val="clear" w:color="C0C0C0" w:fill="auto"/>
          </w:tcPr>
          <w:p w:rsidR="00C17FE7" w:rsidRDefault="00C17FE7" w:rsidP="00C17FE7">
            <w:pPr>
              <w:widowControl w:val="0"/>
              <w:ind w:hanging="40"/>
              <w:rPr>
                <w:szCs w:val="22"/>
              </w:rPr>
            </w:pPr>
          </w:p>
        </w:tc>
      </w:tr>
      <w:tr w:rsidR="007E4D75" w:rsidTr="000C2C86">
        <w:trPr>
          <w:cantSplit/>
          <w:trHeight w:val="152"/>
        </w:trPr>
        <w:tc>
          <w:tcPr>
            <w:tcW w:w="769" w:type="pct"/>
            <w:shd w:val="clear" w:color="auto" w:fill="auto"/>
          </w:tcPr>
          <w:p w:rsidR="007E4D75" w:rsidRPr="007E4D75" w:rsidRDefault="007E4D75" w:rsidP="007E4D75">
            <w:pPr>
              <w:widowControl w:val="0"/>
              <w:tabs>
                <w:tab w:val="left" w:pos="720"/>
              </w:tabs>
            </w:pPr>
            <w:r w:rsidRPr="007E4D75">
              <w:rPr>
                <w:szCs w:val="22"/>
              </w:rPr>
              <w:t>0007128154</w:t>
            </w:r>
          </w:p>
        </w:tc>
        <w:tc>
          <w:tcPr>
            <w:tcW w:w="1779" w:type="pct"/>
            <w:shd w:val="clear" w:color="C0C0C0" w:fill="auto"/>
          </w:tcPr>
          <w:p w:rsidR="007E4D75" w:rsidRPr="00530B3B" w:rsidRDefault="007E4D75" w:rsidP="001500CB">
            <w:pPr>
              <w:widowControl w:val="0"/>
              <w:ind w:left="-43"/>
              <w:rPr>
                <w:szCs w:val="22"/>
              </w:rPr>
            </w:pPr>
            <w:r>
              <w:rPr>
                <w:szCs w:val="22"/>
              </w:rPr>
              <w:t>Wirelessco, LLC</w:t>
            </w:r>
          </w:p>
        </w:tc>
        <w:tc>
          <w:tcPr>
            <w:tcW w:w="1683" w:type="pct"/>
            <w:shd w:val="clear" w:color="C0C0C0" w:fill="auto"/>
          </w:tcPr>
          <w:p w:rsidR="007E4D75" w:rsidRDefault="007E4D75" w:rsidP="001500CB">
            <w:pPr>
              <w:widowControl w:val="0"/>
              <w:rPr>
                <w:szCs w:val="22"/>
              </w:rPr>
            </w:pPr>
            <w:r>
              <w:rPr>
                <w:szCs w:val="22"/>
              </w:rPr>
              <w:t>T-Mobile License LLC</w:t>
            </w:r>
          </w:p>
        </w:tc>
        <w:tc>
          <w:tcPr>
            <w:tcW w:w="769" w:type="pct"/>
            <w:shd w:val="clear" w:color="C0C0C0" w:fill="auto"/>
          </w:tcPr>
          <w:p w:rsidR="007E4D75" w:rsidRDefault="007E4D75" w:rsidP="007E4D75">
            <w:pPr>
              <w:widowControl w:val="0"/>
              <w:ind w:hanging="40"/>
              <w:rPr>
                <w:szCs w:val="22"/>
              </w:rPr>
            </w:pPr>
            <w:r>
              <w:rPr>
                <w:szCs w:val="22"/>
              </w:rPr>
              <w:t>WPXG237</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4"/>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5"/>
      </w:r>
    </w:p>
    <w:p w:rsidR="00144BD1" w:rsidRDefault="00144BD1" w:rsidP="00CF1545">
      <w:pPr>
        <w:spacing w:after="220"/>
        <w:ind w:firstLine="720"/>
        <w:rPr>
          <w:rStyle w:val="Normal10"/>
          <w:sz w:val="22"/>
          <w:szCs w:val="22"/>
        </w:rPr>
      </w:pPr>
      <w:r w:rsidRPr="00144BD1">
        <w:rPr>
          <w:rStyle w:val="Normal10"/>
          <w:sz w:val="22"/>
          <w:szCs w:val="22"/>
        </w:rPr>
        <w:lastRenderedPageBreak/>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6"/>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7"/>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8"/>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w:t>
      </w:r>
      <w:r w:rsidR="00494CFB">
        <w:rPr>
          <w:szCs w:val="22"/>
        </w:rPr>
        <w:t>s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EB6FFB">
        <w:rPr>
          <w:b/>
          <w:spacing w:val="-2"/>
          <w:szCs w:val="22"/>
        </w:rPr>
        <w:t>June 3</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EB6FFB">
        <w:rPr>
          <w:b/>
          <w:spacing w:val="-2"/>
          <w:szCs w:val="22"/>
        </w:rPr>
        <w:t>June 10</w:t>
      </w:r>
      <w:r>
        <w:rPr>
          <w:b/>
          <w:spacing w:val="-2"/>
          <w:szCs w:val="22"/>
        </w:rPr>
        <w:t>, 2016</w:t>
      </w:r>
      <w:r>
        <w:rPr>
          <w:szCs w:val="22"/>
        </w:rPr>
        <w:t xml:space="preserve">.  Replies to such pleadings must be filed no later than </w:t>
      </w:r>
      <w:r w:rsidR="00EB6FFB">
        <w:rPr>
          <w:b/>
          <w:spacing w:val="-2"/>
          <w:szCs w:val="22"/>
        </w:rPr>
        <w:t>June 17</w:t>
      </w:r>
      <w:r>
        <w:rPr>
          <w:b/>
          <w:szCs w:val="22"/>
        </w:rPr>
        <w:t>, 2016</w:t>
      </w:r>
      <w:r>
        <w:rPr>
          <w:szCs w:val="22"/>
        </w:rPr>
        <w:t xml:space="preserve">.  All filings concerning matters referenced in this Public Notice should refer to </w:t>
      </w:r>
      <w:r w:rsidR="00494CFB">
        <w:rPr>
          <w:szCs w:val="22"/>
        </w:rPr>
        <w:t xml:space="preserve">ULS File Nos. </w:t>
      </w:r>
      <w:r w:rsidR="004A4D87" w:rsidRPr="004A4D87">
        <w:rPr>
          <w:szCs w:val="22"/>
        </w:rPr>
        <w:t>0007106958, 0007106964, 0007106972, 0007106988, 0007106992, 0007106995, 0007106997, 0007106999, 0007128075, 0007128083, 0007128088, 0007128116, 0007128119, 0007128127, 0007128149, and/or 0007128154, as appropriate</w:t>
      </w:r>
      <w:r w:rsidRPr="006C4A65">
        <w:rPr>
          <w:szCs w:val="22"/>
        </w:rPr>
        <w:t>.</w:t>
      </w:r>
    </w:p>
    <w:p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9A145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9"/>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0"/>
      </w:r>
      <w:r>
        <w:rPr>
          <w:szCs w:val="22"/>
        </w:rPr>
        <w:t xml:space="preserve"> submissions in this matter may be filed electronically through the Commission’s </w:t>
      </w:r>
      <w:r w:rsidR="001A074C">
        <w:rPr>
          <w:szCs w:val="22"/>
        </w:rPr>
        <w:t xml:space="preserve">Universal Licensing System (ULS) </w:t>
      </w:r>
      <w:r>
        <w:rPr>
          <w:szCs w:val="22"/>
        </w:rPr>
        <w:t>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1"/>
      </w:r>
      <w:r w:rsidRPr="006C4A65">
        <w:rPr>
          <w:szCs w:val="22"/>
        </w:rPr>
        <w:t xml:space="preserve"> </w:t>
      </w:r>
      <w:r>
        <w:rPr>
          <w:szCs w:val="22"/>
        </w:rPr>
        <w:t xml:space="preserve">access </w:t>
      </w:r>
      <w:r w:rsidR="001A074C">
        <w:rPr>
          <w:szCs w:val="22"/>
        </w:rPr>
        <w:t>ULS</w:t>
      </w:r>
      <w:r>
        <w:rPr>
          <w:szCs w:val="22"/>
        </w:rPr>
        <w:t xml:space="preserve"> via the Internet at </w:t>
      </w:r>
      <w:r w:rsidR="001A074C" w:rsidRPr="007D6670">
        <w:rPr>
          <w:szCs w:val="22"/>
        </w:rPr>
        <w:t>http://wireless.fcc.gov/uls/</w:t>
      </w:r>
      <w:r w:rsidR="001A074C" w:rsidRPr="001A074C">
        <w:rPr>
          <w:szCs w:val="22"/>
        </w:rPr>
        <w:t xml:space="preserve"> </w:t>
      </w:r>
      <w:r w:rsidR="001A074C" w:rsidRPr="007D6670">
        <w:rPr>
          <w:szCs w:val="22"/>
        </w:rPr>
        <w:t xml:space="preserve">and click on the “Submit a Pleading” </w:t>
      </w:r>
      <w:r w:rsidR="001A074C">
        <w:rPr>
          <w:szCs w:val="22"/>
        </w:rPr>
        <w:t xml:space="preserve">quick </w:t>
      </w:r>
      <w:r w:rsidR="001A074C" w:rsidRPr="007D6670">
        <w:rPr>
          <w:szCs w:val="22"/>
        </w:rPr>
        <w:t xml:space="preserve">link, complete the administrative information, and upload </w:t>
      </w:r>
      <w:r w:rsidR="001A074C">
        <w:rPr>
          <w:szCs w:val="22"/>
        </w:rPr>
        <w:t>the</w:t>
      </w:r>
      <w:r w:rsidR="001A074C" w:rsidRPr="007D6670">
        <w:rPr>
          <w:szCs w:val="22"/>
        </w:rPr>
        <w:t xml:space="preserve"> pleading.</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w:t>
      </w:r>
      <w:r w:rsidR="009A1451">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9A1451">
        <w:rPr>
          <w:color w:val="000000"/>
          <w:szCs w:val="22"/>
        </w:rPr>
        <w:t>s</w:t>
      </w:r>
      <w:r>
        <w:rPr>
          <w:color w:val="000000"/>
          <w:szCs w:val="22"/>
        </w:rPr>
        <w:t xml:space="preserve"> also </w:t>
      </w:r>
      <w:r w:rsidR="009A1451">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D3" w:rsidRDefault="00EE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643A8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D3" w:rsidRDefault="00EE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2A4341" w:rsidRDefault="002A4341">
      <w:pPr>
        <w:pStyle w:val="FootnoteText"/>
      </w:pPr>
      <w:r>
        <w:rPr>
          <w:rStyle w:val="FootnoteReference"/>
        </w:rPr>
        <w:footnoteRef/>
      </w:r>
      <w:r>
        <w:t xml:space="preserve"> </w:t>
      </w:r>
      <w:r w:rsidR="00203F37">
        <w:t xml:space="preserve">The Sprint subsidiaries are:  </w:t>
      </w:r>
      <w:r w:rsidR="00203F37">
        <w:rPr>
          <w:szCs w:val="22"/>
        </w:rPr>
        <w:t>APC PCS, LLC, PhillieCo, LLC, SprintCom, In</w:t>
      </w:r>
      <w:r w:rsidR="00720EFA">
        <w:rPr>
          <w:szCs w:val="22"/>
        </w:rPr>
        <w:t>c., and Wirelessco, LLC.  The T</w:t>
      </w:r>
      <w:r w:rsidR="00720EFA">
        <w:rPr>
          <w:szCs w:val="22"/>
        </w:rPr>
        <w:noBreakHyphen/>
      </w:r>
      <w:r w:rsidR="00203F37">
        <w:rPr>
          <w:szCs w:val="22"/>
        </w:rPr>
        <w:t xml:space="preserve">Mobile subsidiaries are:  </w:t>
      </w:r>
      <w:r>
        <w:rPr>
          <w:szCs w:val="22"/>
        </w:rPr>
        <w:t xml:space="preserve">SunCom Wireless License Company, LLC and </w:t>
      </w:r>
      <w:r>
        <w:t>T-Mobile License LLC.</w:t>
      </w:r>
    </w:p>
  </w:footnote>
  <w:footnote w:id="3">
    <w:p w:rsidR="00166A9B" w:rsidRDefault="00166A9B" w:rsidP="00166A9B">
      <w:pPr>
        <w:pStyle w:val="FootnoteText"/>
      </w:pPr>
      <w:r>
        <w:rPr>
          <w:rStyle w:val="FootnoteReference"/>
        </w:rPr>
        <w:footnoteRef/>
      </w:r>
      <w:r w:rsidR="001F1582">
        <w:t xml:space="preserve"> The Applicants</w:t>
      </w:r>
      <w:r>
        <w:t xml:space="preserve"> have designated this the lead application.</w:t>
      </w:r>
    </w:p>
  </w:footnote>
  <w:footnote w:id="4">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5">
    <w:p w:rsidR="00144BD1" w:rsidRDefault="00144BD1" w:rsidP="00144BD1">
      <w:pPr>
        <w:pStyle w:val="FootnoteText"/>
      </w:pPr>
      <w:r>
        <w:rPr>
          <w:rStyle w:val="FootnoteReference"/>
        </w:rPr>
        <w:footnoteRef/>
      </w:r>
      <w:r>
        <w:t xml:space="preserve"> 47 C.F.R. § 1.1206.</w:t>
      </w:r>
    </w:p>
  </w:footnote>
  <w:footnote w:id="6">
    <w:p w:rsidR="00144BD1" w:rsidRDefault="00144BD1" w:rsidP="00144BD1">
      <w:pPr>
        <w:pStyle w:val="FootnoteText"/>
      </w:pPr>
      <w:r>
        <w:rPr>
          <w:rStyle w:val="FootnoteReference"/>
        </w:rPr>
        <w:footnoteRef/>
      </w:r>
      <w:r>
        <w:t xml:space="preserve"> 47 C.F.R. § 1.1206(b)(1).</w:t>
      </w:r>
    </w:p>
  </w:footnote>
  <w:footnote w:id="7">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8">
    <w:p w:rsidR="00144BD1" w:rsidRDefault="00144BD1" w:rsidP="00144BD1">
      <w:pPr>
        <w:pStyle w:val="FootnoteText"/>
      </w:pPr>
      <w:r>
        <w:rPr>
          <w:rStyle w:val="FootnoteReference"/>
        </w:rPr>
        <w:footnoteRef/>
      </w:r>
      <w:r>
        <w:t xml:space="preserve"> </w:t>
      </w:r>
      <w:r w:rsidRPr="00984C82">
        <w:t>47</w:t>
      </w:r>
      <w:r>
        <w:t xml:space="preserve"> C.F.R. § 1.1206(b).</w:t>
      </w:r>
    </w:p>
  </w:footnote>
  <w:footnote w:id="9">
    <w:p w:rsidR="00144BD1" w:rsidRDefault="00144BD1" w:rsidP="00144BD1">
      <w:pPr>
        <w:pStyle w:val="FootnoteText"/>
      </w:pPr>
      <w:r>
        <w:rPr>
          <w:rStyle w:val="FootnoteReference"/>
        </w:rPr>
        <w:footnoteRef/>
      </w:r>
      <w:r>
        <w:t xml:space="preserve"> 47 C.F.R. § 1.45(c).</w:t>
      </w:r>
    </w:p>
  </w:footnote>
  <w:footnote w:id="10">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1">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D3" w:rsidRDefault="00EE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D3" w:rsidRDefault="00EE2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6603C"/>
    <w:rsid w:val="000B654E"/>
    <w:rsid w:val="000C728D"/>
    <w:rsid w:val="000D3979"/>
    <w:rsid w:val="000D5731"/>
    <w:rsid w:val="00112BBE"/>
    <w:rsid w:val="001370AC"/>
    <w:rsid w:val="00144BD1"/>
    <w:rsid w:val="001500CB"/>
    <w:rsid w:val="00166A9B"/>
    <w:rsid w:val="0017015E"/>
    <w:rsid w:val="001A074C"/>
    <w:rsid w:val="001D2E9E"/>
    <w:rsid w:val="001F1582"/>
    <w:rsid w:val="001F3955"/>
    <w:rsid w:val="00203F37"/>
    <w:rsid w:val="00231A2C"/>
    <w:rsid w:val="00235C25"/>
    <w:rsid w:val="00255744"/>
    <w:rsid w:val="002A4341"/>
    <w:rsid w:val="002B6478"/>
    <w:rsid w:val="002E1372"/>
    <w:rsid w:val="002F3210"/>
    <w:rsid w:val="00310E62"/>
    <w:rsid w:val="00336875"/>
    <w:rsid w:val="003378B4"/>
    <w:rsid w:val="00354A0A"/>
    <w:rsid w:val="003556E3"/>
    <w:rsid w:val="003C5B79"/>
    <w:rsid w:val="004010F3"/>
    <w:rsid w:val="00467FDD"/>
    <w:rsid w:val="004859D7"/>
    <w:rsid w:val="00494CFB"/>
    <w:rsid w:val="004967B3"/>
    <w:rsid w:val="004A4D87"/>
    <w:rsid w:val="004A5B3B"/>
    <w:rsid w:val="004C7188"/>
    <w:rsid w:val="004E0875"/>
    <w:rsid w:val="00517D1E"/>
    <w:rsid w:val="005377B1"/>
    <w:rsid w:val="005618BE"/>
    <w:rsid w:val="00596439"/>
    <w:rsid w:val="005D73A0"/>
    <w:rsid w:val="00602577"/>
    <w:rsid w:val="00602DD9"/>
    <w:rsid w:val="00604777"/>
    <w:rsid w:val="006248A9"/>
    <w:rsid w:val="00643A8C"/>
    <w:rsid w:val="00672CE0"/>
    <w:rsid w:val="006B0B8D"/>
    <w:rsid w:val="006C4A65"/>
    <w:rsid w:val="006C79CB"/>
    <w:rsid w:val="006E5293"/>
    <w:rsid w:val="00701D32"/>
    <w:rsid w:val="00720EFA"/>
    <w:rsid w:val="007665F9"/>
    <w:rsid w:val="007A67C8"/>
    <w:rsid w:val="007B00E4"/>
    <w:rsid w:val="007B3539"/>
    <w:rsid w:val="007B6C44"/>
    <w:rsid w:val="007B79E1"/>
    <w:rsid w:val="007E4D75"/>
    <w:rsid w:val="0081025A"/>
    <w:rsid w:val="008979AB"/>
    <w:rsid w:val="008B470E"/>
    <w:rsid w:val="008C0C9F"/>
    <w:rsid w:val="008D1CA6"/>
    <w:rsid w:val="00923A25"/>
    <w:rsid w:val="009457E7"/>
    <w:rsid w:val="00946884"/>
    <w:rsid w:val="009659BE"/>
    <w:rsid w:val="009A1451"/>
    <w:rsid w:val="009B35EB"/>
    <w:rsid w:val="009F22C4"/>
    <w:rsid w:val="009F23A9"/>
    <w:rsid w:val="009F4951"/>
    <w:rsid w:val="00A12BAB"/>
    <w:rsid w:val="00A3716E"/>
    <w:rsid w:val="00A830C2"/>
    <w:rsid w:val="00AF167D"/>
    <w:rsid w:val="00AF3BE2"/>
    <w:rsid w:val="00B10477"/>
    <w:rsid w:val="00B5085D"/>
    <w:rsid w:val="00B63AD7"/>
    <w:rsid w:val="00BB493B"/>
    <w:rsid w:val="00BC0C7D"/>
    <w:rsid w:val="00BC47CF"/>
    <w:rsid w:val="00BF7452"/>
    <w:rsid w:val="00C11519"/>
    <w:rsid w:val="00C14A30"/>
    <w:rsid w:val="00C17FE7"/>
    <w:rsid w:val="00C244DD"/>
    <w:rsid w:val="00C25018"/>
    <w:rsid w:val="00C67D0B"/>
    <w:rsid w:val="00CA6A5F"/>
    <w:rsid w:val="00CB3591"/>
    <w:rsid w:val="00CD20F2"/>
    <w:rsid w:val="00CF1545"/>
    <w:rsid w:val="00D07B74"/>
    <w:rsid w:val="00D17DC0"/>
    <w:rsid w:val="00D60EFF"/>
    <w:rsid w:val="00D64966"/>
    <w:rsid w:val="00DA14B4"/>
    <w:rsid w:val="00DD62EB"/>
    <w:rsid w:val="00E0560A"/>
    <w:rsid w:val="00E7081A"/>
    <w:rsid w:val="00E72D84"/>
    <w:rsid w:val="00E779F0"/>
    <w:rsid w:val="00E85F2E"/>
    <w:rsid w:val="00E86F74"/>
    <w:rsid w:val="00EA506D"/>
    <w:rsid w:val="00EA60FB"/>
    <w:rsid w:val="00EB6FFB"/>
    <w:rsid w:val="00EC34C1"/>
    <w:rsid w:val="00EC3E86"/>
    <w:rsid w:val="00EE25D3"/>
    <w:rsid w:val="00EE70F7"/>
    <w:rsid w:val="00EE71C2"/>
    <w:rsid w:val="00F00C1B"/>
    <w:rsid w:val="00F01F23"/>
    <w:rsid w:val="00F161F4"/>
    <w:rsid w:val="00F24B92"/>
    <w:rsid w:val="00F74333"/>
    <w:rsid w:val="00F8410B"/>
    <w:rsid w:val="00FD1AF2"/>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1466</Words>
  <Characters>8744</Characters>
  <Application>Microsoft Office Word</Application>
  <DocSecurity>0</DocSecurity>
  <Lines>243</Lines>
  <Paragraphs>99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10151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2016-05-13T17:12:00Z</dcterms:created>
  <dcterms:modified xsi:type="dcterms:W3CDTF">2016-05-13T17:12:00Z</dcterms:modified>
  <cp:category> </cp:category>
  <cp:contentStatus> </cp:contentStatus>
</cp:coreProperties>
</file>