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75A61" w:rsidRDefault="002C1AB3" w:rsidP="00375A61">
            <w:pPr>
              <w:tabs>
                <w:tab w:val="center" w:pos="4680"/>
              </w:tabs>
              <w:suppressAutoHyphens/>
              <w:rPr>
                <w:spacing w:val="-2"/>
              </w:rPr>
            </w:pPr>
            <w:r>
              <w:rPr>
                <w:spacing w:val="-2"/>
              </w:rPr>
              <w:t xml:space="preserve">ZGS </w:t>
            </w:r>
            <w:r w:rsidR="003B6B68">
              <w:rPr>
                <w:spacing w:val="-2"/>
              </w:rPr>
              <w:t>Hartford</w:t>
            </w:r>
            <w:r>
              <w:rPr>
                <w:spacing w:val="-2"/>
              </w:rPr>
              <w:t>, Inc.</w:t>
            </w:r>
          </w:p>
          <w:p w:rsidR="002C1AB3" w:rsidRDefault="00375A61" w:rsidP="00375A61">
            <w:pPr>
              <w:tabs>
                <w:tab w:val="center" w:pos="4680"/>
              </w:tabs>
              <w:suppressAutoHyphens/>
            </w:pPr>
            <w:r w:rsidRPr="00912E96">
              <w:rPr>
                <w:spacing w:val="-2"/>
              </w:rPr>
              <w:t xml:space="preserve">Licensee of Station </w:t>
            </w:r>
            <w:r w:rsidR="000E6CB8">
              <w:t>WRDM</w:t>
            </w:r>
            <w:r w:rsidR="002C1AB3">
              <w:t>-CD</w:t>
            </w:r>
          </w:p>
          <w:p w:rsidR="004C2EE3" w:rsidRPr="007115F7" w:rsidRDefault="000E6CB8" w:rsidP="009D4102">
            <w:pPr>
              <w:tabs>
                <w:tab w:val="center" w:pos="4680"/>
              </w:tabs>
              <w:suppressAutoHyphens/>
              <w:rPr>
                <w:spacing w:val="-2"/>
              </w:rPr>
            </w:pPr>
            <w:r>
              <w:t>Hartford</w:t>
            </w:r>
            <w:r w:rsidR="002C1AB3">
              <w:t xml:space="preserve">, </w:t>
            </w:r>
            <w:r>
              <w:t>C</w:t>
            </w:r>
            <w:r w:rsidR="009D4102">
              <w:t xml:space="preserve">onnecticut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834D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75A61" w:rsidRPr="00912E96" w:rsidRDefault="00375A61" w:rsidP="00375A61">
            <w:pPr>
              <w:tabs>
                <w:tab w:val="center" w:pos="4680"/>
              </w:tabs>
              <w:suppressAutoHyphens/>
              <w:rPr>
                <w:spacing w:val="-2"/>
              </w:rPr>
            </w:pPr>
            <w:r w:rsidRPr="00912E96">
              <w:rPr>
                <w:spacing w:val="-2"/>
              </w:rPr>
              <w:t xml:space="preserve">Facility ID No. </w:t>
            </w:r>
            <w:r w:rsidR="003B6B68">
              <w:rPr>
                <w:spacing w:val="-2"/>
              </w:rPr>
              <w:t>10153</w:t>
            </w:r>
          </w:p>
          <w:p w:rsidR="00375A61" w:rsidRPr="00912E96" w:rsidRDefault="00A94F44" w:rsidP="00375A61">
            <w:pPr>
              <w:tabs>
                <w:tab w:val="center" w:pos="4680"/>
              </w:tabs>
              <w:suppressAutoHyphens/>
              <w:rPr>
                <w:spacing w:val="-2"/>
              </w:rPr>
            </w:pPr>
            <w:r>
              <w:rPr>
                <w:spacing w:val="-2"/>
              </w:rPr>
              <w:t>NAL/Acct. No.:  201641420013</w:t>
            </w:r>
          </w:p>
          <w:p w:rsidR="004C2EE3" w:rsidRDefault="003B6B68" w:rsidP="002C1AB3">
            <w:pPr>
              <w:tabs>
                <w:tab w:val="center" w:pos="4680"/>
              </w:tabs>
              <w:suppressAutoHyphens/>
              <w:rPr>
                <w:spacing w:val="-2"/>
              </w:rPr>
            </w:pPr>
            <w:r>
              <w:rPr>
                <w:spacing w:val="-2"/>
              </w:rPr>
              <w:t>FRN: 0010070225</w:t>
            </w:r>
          </w:p>
        </w:tc>
      </w:tr>
    </w:tbl>
    <w:p w:rsidR="004C2EE3" w:rsidRDefault="004C2EE3" w:rsidP="0070224F"/>
    <w:p w:rsidR="00841AB1" w:rsidRDefault="00375A61"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525A2">
        <w:rPr>
          <w:b/>
          <w:spacing w:val="-2"/>
        </w:rPr>
        <w:t xml:space="preserve">May </w:t>
      </w:r>
      <w:r w:rsidR="000A2BF6">
        <w:rPr>
          <w:b/>
          <w:spacing w:val="-2"/>
        </w:rPr>
        <w:t>18</w:t>
      </w:r>
      <w:r w:rsidR="00D525A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25A2">
        <w:rPr>
          <w:b/>
          <w:spacing w:val="-2"/>
        </w:rPr>
        <w:t xml:space="preserve">May </w:t>
      </w:r>
      <w:r w:rsidR="000A2BF6">
        <w:rPr>
          <w:b/>
          <w:spacing w:val="-2"/>
        </w:rPr>
        <w:t>18</w:t>
      </w:r>
      <w:r w:rsidR="00D525A2">
        <w:rPr>
          <w:b/>
          <w:spacing w:val="-2"/>
        </w:rPr>
        <w:t>, 2016</w:t>
      </w:r>
    </w:p>
    <w:p w:rsidR="00822CE0" w:rsidRDefault="00822CE0"/>
    <w:p w:rsidR="004C2EE3" w:rsidRDefault="004C2EE3">
      <w:pPr>
        <w:rPr>
          <w:spacing w:val="-2"/>
        </w:rPr>
      </w:pPr>
      <w:r>
        <w:t xml:space="preserve">By </w:t>
      </w:r>
      <w:r w:rsidR="004E4A22">
        <w:t>the</w:t>
      </w:r>
      <w:r w:rsidR="002A2D2E">
        <w:t xml:space="preserve"> </w:t>
      </w:r>
      <w:r w:rsidR="00375A61">
        <w:rPr>
          <w:spacing w:val="-2"/>
        </w:rPr>
        <w:t>Chief, Video Division, Media Bureau</w:t>
      </w:r>
      <w:r>
        <w:rPr>
          <w:spacing w:val="-2"/>
        </w:rPr>
        <w:t>:</w:t>
      </w:r>
    </w:p>
    <w:p w:rsidR="00375A61" w:rsidRPr="00912E96" w:rsidRDefault="00375A61" w:rsidP="00375A61"/>
    <w:p w:rsidR="00375A61" w:rsidRPr="00912E96" w:rsidRDefault="00375A61" w:rsidP="00492EA1">
      <w:pPr>
        <w:pStyle w:val="Heading1"/>
      </w:pPr>
      <w:r w:rsidRPr="00912E96">
        <w:t>Introduction</w:t>
      </w:r>
    </w:p>
    <w:p w:rsidR="00375A61" w:rsidRPr="00912E96" w:rsidRDefault="00375A61" w:rsidP="00492EA1">
      <w:pPr>
        <w:pStyle w:val="ParaNum"/>
      </w:pPr>
      <w:r w:rsidRPr="00912E96">
        <w:t xml:space="preserve">In this </w:t>
      </w:r>
      <w:r w:rsidRPr="00912E96">
        <w:rPr>
          <w:i/>
        </w:rPr>
        <w:t>Notice of Apparent</w:t>
      </w:r>
      <w:r w:rsidRPr="00912E96">
        <w:t xml:space="preserve"> </w:t>
      </w:r>
      <w:r w:rsidRPr="00912E96">
        <w:rPr>
          <w:i/>
        </w:rPr>
        <w:t xml:space="preserve">Liability for Forfeiture </w:t>
      </w:r>
      <w:r w:rsidR="009D4102">
        <w:t>(NAL</w:t>
      </w:r>
      <w:r w:rsidRPr="00912E96">
        <w:t>) issued pursuant to Section 503(b) of the Communications Act</w:t>
      </w:r>
      <w:r w:rsidR="009D4102">
        <w:t xml:space="preserve"> of 1934, as amended, (Act</w:t>
      </w:r>
      <w:r w:rsidRPr="00912E96">
        <w:t>) and Section 1.80 of the</w:t>
      </w:r>
      <w:r w:rsidR="009D4102">
        <w:t xml:space="preserve"> Commission’s Rules (Rules</w:t>
      </w:r>
      <w:r w:rsidRPr="00912E96">
        <w:t>),</w:t>
      </w:r>
      <w:r w:rsidRPr="003C57D4">
        <w:rPr>
          <w:rStyle w:val="FootnoteReference"/>
        </w:rPr>
        <w:footnoteReference w:id="2"/>
      </w:r>
      <w:r w:rsidRPr="00912E96">
        <w:t xml:space="preserve"> we find that </w:t>
      </w:r>
      <w:r w:rsidR="002C1AB3">
        <w:t xml:space="preserve">ZGS </w:t>
      </w:r>
      <w:r w:rsidR="003B6B68">
        <w:t>Hartford</w:t>
      </w:r>
      <w:r w:rsidR="002C1AB3">
        <w:t>, Inc.</w:t>
      </w:r>
      <w:r w:rsidR="009D4102">
        <w:t xml:space="preserve"> (</w:t>
      </w:r>
      <w:r w:rsidRPr="00912E96">
        <w:t xml:space="preserve">Licensee), licensee of Station </w:t>
      </w:r>
      <w:r w:rsidR="000E6CB8">
        <w:t>WRDM</w:t>
      </w:r>
      <w:r w:rsidR="002C1AB3">
        <w:t xml:space="preserve">-CD, </w:t>
      </w:r>
      <w:r w:rsidR="000E6CB8">
        <w:t xml:space="preserve">Hartford, Connecticut </w:t>
      </w:r>
      <w:r w:rsidR="009D4102">
        <w:t>(Station</w:t>
      </w:r>
      <w:r w:rsidRPr="00912E96">
        <w:t>), apparently willfully and/or repeatedly violated Section 73.3526(e)(11)(iii) of the Rules</w:t>
      </w:r>
      <w:r w:rsidRPr="003C57D4">
        <w:rPr>
          <w:rStyle w:val="FootnoteReference"/>
        </w:rPr>
        <w:footnoteReference w:id="3"/>
      </w:r>
      <w:r w:rsidR="00AB3688">
        <w:t xml:space="preserve"> </w:t>
      </w:r>
      <w:r w:rsidRPr="00912E96">
        <w:t xml:space="preserve">by failing to file with the Commission in a timely manner its Children’s Television Programming Reports for </w:t>
      </w:r>
      <w:r w:rsidR="002C1AB3">
        <w:t>six</w:t>
      </w:r>
      <w:r w:rsidR="0019393A">
        <w:t xml:space="preserve"> (</w:t>
      </w:r>
      <w:r w:rsidR="002C1AB3">
        <w:t>6</w:t>
      </w:r>
      <w:r w:rsidRPr="00912E96">
        <w:t>) quarters</w:t>
      </w:r>
      <w:r w:rsidR="002C1AB3">
        <w:t>.</w:t>
      </w:r>
      <w:r>
        <w:t xml:space="preserve">  </w:t>
      </w:r>
      <w:r w:rsidRPr="00912E96">
        <w:t xml:space="preserve">Based upon our review of the facts and circumstances before us, we conclude that the Licensee is apparently liable for a monetary forfeiture in the amount of </w:t>
      </w:r>
      <w:r w:rsidR="002C1AB3">
        <w:t>three</w:t>
      </w:r>
      <w:r w:rsidRPr="00912E96">
        <w:t xml:space="preserve"> thousand </w:t>
      </w:r>
      <w:r w:rsidR="002C1AB3">
        <w:t>dollars ($3</w:t>
      </w:r>
      <w:r w:rsidRPr="00912E96">
        <w:t>,000).</w:t>
      </w:r>
      <w:r w:rsidR="002C1AB3">
        <w:t xml:space="preserve">  </w:t>
      </w:r>
    </w:p>
    <w:p w:rsidR="00375A61" w:rsidRPr="00912E96" w:rsidRDefault="00375A61" w:rsidP="00492EA1">
      <w:pPr>
        <w:pStyle w:val="Heading1"/>
      </w:pPr>
      <w:r w:rsidRPr="00912E96">
        <w:t>Background</w:t>
      </w:r>
    </w:p>
    <w:p w:rsidR="00AB3688" w:rsidRDefault="00375A61" w:rsidP="00492EA1">
      <w:pPr>
        <w:pStyle w:val="ParaNum"/>
      </w:pPr>
      <w:r w:rsidRPr="00912E96">
        <w:t>Section 73.3526 of the Rules requires each commercial broadcast licensee to maintain a public inspection file containing specific types of information related to station operations.</w:t>
      </w:r>
      <w:r w:rsidRPr="003C57D4">
        <w:rPr>
          <w:rStyle w:val="FootnoteReference"/>
        </w:rPr>
        <w:footnoteReference w:id="4"/>
      </w:r>
      <w:r w:rsidRPr="00912E96">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i/>
        </w:rPr>
        <w:t>inter alia</w:t>
      </w:r>
      <w:r w:rsidRPr="00912E96">
        <w:t>, the efforts that it made during that quarter to serve the educational and informational needs of children.</w:t>
      </w:r>
      <w:r>
        <w:rPr>
          <w:rStyle w:val="FootnoteReference"/>
        </w:rPr>
        <w:footnoteReference w:id="5"/>
      </w:r>
      <w:r w:rsidRPr="00912E96">
        <w:t xml:space="preserve"> That subsection also requires licensees to file the reports with the Commission</w:t>
      </w:r>
      <w:r>
        <w:t>,</w:t>
      </w:r>
      <w:r w:rsidRPr="00912E96">
        <w:t xml:space="preserve"> place them in their public file by the tenth day of the succeeding calendar quarter</w:t>
      </w:r>
      <w:r w:rsidR="009D4102">
        <w:t>.</w:t>
      </w:r>
      <w:r w:rsidR="009D4102">
        <w:rPr>
          <w:rStyle w:val="FootnoteReference"/>
        </w:rPr>
        <w:footnoteReference w:id="6"/>
      </w:r>
      <w:r w:rsidR="009D4102">
        <w:t xml:space="preserve">  That subsection also requires that licensee’s</w:t>
      </w:r>
      <w:r>
        <w:t xml:space="preserve"> </w:t>
      </w:r>
      <w:r w:rsidRPr="00912E96">
        <w:t>publicize the existence and location of the reports.</w:t>
      </w:r>
      <w:r w:rsidRPr="003C57D4">
        <w:rPr>
          <w:rStyle w:val="FootnoteReference"/>
        </w:rPr>
        <w:footnoteReference w:id="7"/>
      </w:r>
      <w:r w:rsidR="00AB3688">
        <w:t xml:space="preserve">  </w:t>
      </w:r>
    </w:p>
    <w:p w:rsidR="00375A61" w:rsidRPr="00451F76" w:rsidRDefault="00375A61" w:rsidP="001719AC">
      <w:pPr>
        <w:pStyle w:val="ParaNum"/>
        <w:widowControl/>
      </w:pPr>
      <w:r w:rsidRPr="00912E96">
        <w:t xml:space="preserve">On </w:t>
      </w:r>
      <w:r w:rsidR="002C1AB3">
        <w:t>November 20, 2014</w:t>
      </w:r>
      <w:r>
        <w:t>, t</w:t>
      </w:r>
      <w:r w:rsidRPr="00912E96">
        <w:t>he Licensee filed its license renewal application (FCC Form 303-S) for the Station.</w:t>
      </w:r>
      <w:r w:rsidRPr="003C57D4">
        <w:rPr>
          <w:rStyle w:val="FootnoteReference"/>
        </w:rPr>
        <w:footnoteReference w:id="8"/>
      </w:r>
      <w:r w:rsidRPr="00912E96">
        <w:t xml:space="preserve">  </w:t>
      </w:r>
      <w:r w:rsidR="002C1AB3">
        <w:t>On May 21, 2015, t</w:t>
      </w:r>
      <w:r w:rsidRPr="00571AB6">
        <w:t xml:space="preserve">he Licensee </w:t>
      </w:r>
      <w:r w:rsidR="002C1AB3">
        <w:t xml:space="preserve">amended its license renewal application to </w:t>
      </w:r>
      <w:r w:rsidR="002C1AB3">
        <w:lastRenderedPageBreak/>
        <w:t xml:space="preserve">disclose that it failed to file </w:t>
      </w:r>
      <w:r w:rsidRPr="00912E96">
        <w:t xml:space="preserve">Children’s Television Programming Reports for </w:t>
      </w:r>
      <w:r w:rsidR="002C1AB3">
        <w:t>six (6</w:t>
      </w:r>
      <w:r w:rsidRPr="00912E96">
        <w:t>) quarters in a timely manner.</w:t>
      </w:r>
      <w:r w:rsidRPr="003C57D4">
        <w:rPr>
          <w:rStyle w:val="FootnoteReference"/>
        </w:rPr>
        <w:footnoteReference w:id="9"/>
      </w:r>
    </w:p>
    <w:p w:rsidR="00375A61" w:rsidRPr="00912E96" w:rsidRDefault="00375A61" w:rsidP="00492EA1">
      <w:pPr>
        <w:pStyle w:val="Heading1"/>
      </w:pPr>
      <w:r w:rsidRPr="00912E96">
        <w:t>Discussion</w:t>
      </w:r>
    </w:p>
    <w:p w:rsidR="00375A61" w:rsidRPr="00912E96" w:rsidRDefault="00375A61" w:rsidP="00492EA1">
      <w:pPr>
        <w:pStyle w:val="ParaNum"/>
      </w:pPr>
      <w:r w:rsidRPr="009E66E5">
        <w:t xml:space="preserve">The Licensee’s failure to file electronically the Station’s Children’s Television Programming Reports in a timely manner for </w:t>
      </w:r>
      <w:r w:rsidR="002C1AB3">
        <w:t>six</w:t>
      </w:r>
      <w:r w:rsidRPr="009E66E5">
        <w:t xml:space="preserve"> (</w:t>
      </w:r>
      <w:r w:rsidR="002C1AB3">
        <w:t>6</w:t>
      </w:r>
      <w:r w:rsidRPr="009E66E5">
        <w:t>) quarters constitutes an apparent willful and/or repeated violation of Section 73.3526(e)(11)(iii) of the Rules.</w:t>
      </w:r>
      <w:r>
        <w:rPr>
          <w:rStyle w:val="FootnoteReference"/>
        </w:rPr>
        <w:footnoteReference w:id="10"/>
      </w:r>
      <w:r>
        <w:t xml:space="preserve"> </w:t>
      </w:r>
    </w:p>
    <w:p w:rsidR="00375A61" w:rsidRPr="00912E96" w:rsidRDefault="00375A61" w:rsidP="00492EA1">
      <w:pPr>
        <w:pStyle w:val="ParaNum"/>
      </w:pPr>
      <w:r w:rsidRPr="00912E96">
        <w:t xml:space="preserve">This </w:t>
      </w:r>
      <w:r w:rsidRPr="00912E96">
        <w:rPr>
          <w:i/>
        </w:rPr>
        <w:t>NAL</w:t>
      </w:r>
      <w:r w:rsidRPr="00912E96">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Pr>
        <w:footnoteReference w:id="11"/>
      </w:r>
      <w:r w:rsidRPr="00912E96">
        <w:t xml:space="preserve">  Section 312(f)(1) of the Act defines willful as “the conscious and deliberate commission or omission of [any] act, irrespective of any intent to violate” the law.</w:t>
      </w:r>
      <w:r w:rsidRPr="003C57D4">
        <w:rPr>
          <w:rStyle w:val="FootnoteReference"/>
        </w:rPr>
        <w:footnoteReference w:id="12"/>
      </w:r>
      <w:r w:rsidRPr="00912E96">
        <w:t xml:space="preserve">  The legislative history to Section 312(f)(1) of the Act clarifies that this definition of willful applies to both Sections 312 and 503(b) of the Act,</w:t>
      </w:r>
      <w:r w:rsidRPr="003C57D4">
        <w:rPr>
          <w:rStyle w:val="FootnoteReference"/>
        </w:rPr>
        <w:footnoteReference w:id="13"/>
      </w:r>
      <w:r w:rsidRPr="00912E96">
        <w:t xml:space="preserve"> and the Commission has so interpreted the term in the Section 503(b) context.</w:t>
      </w:r>
      <w:r w:rsidRPr="003C57D4">
        <w:rPr>
          <w:rStyle w:val="FootnoteReference"/>
        </w:rPr>
        <w:footnoteReference w:id="14"/>
      </w:r>
      <w:r w:rsidRPr="00912E96">
        <w:t xml:space="preserve">  Section 312(f)(2) of the Act provides that “[t]he term ‘repeated,’ when used with reference to the commission or omission of any act, means the commission or omission of such act more</w:t>
      </w:r>
      <w:r>
        <w:t xml:space="preserve"> than</w:t>
      </w:r>
      <w:r w:rsidRPr="00912E96">
        <w:t xml:space="preserve"> once or, if such commission or omission is continuous, for more than one day.”</w:t>
      </w:r>
      <w:r w:rsidRPr="003C57D4">
        <w:rPr>
          <w:rStyle w:val="FootnoteReference"/>
        </w:rPr>
        <w:footnoteReference w:id="15"/>
      </w:r>
      <w:r w:rsidRPr="00912E96">
        <w:t xml:space="preserve">  </w:t>
      </w:r>
    </w:p>
    <w:p w:rsidR="00375A61" w:rsidRPr="00912E96" w:rsidRDefault="00375A61" w:rsidP="00492EA1">
      <w:pPr>
        <w:pStyle w:val="ParaNum"/>
      </w:pPr>
      <w:r w:rsidRPr="00912E96">
        <w:t>The</w:t>
      </w:r>
      <w:r w:rsidRPr="00912E96">
        <w:rPr>
          <w:i/>
        </w:rPr>
        <w:t xml:space="preserve"> </w:t>
      </w:r>
      <w:r w:rsidRPr="00912E96">
        <w:t>Commission’s</w:t>
      </w:r>
      <w:r w:rsidRPr="00912E96">
        <w:rPr>
          <w:i/>
        </w:rPr>
        <w:t xml:space="preserve"> Forfeiture Policy Statement</w:t>
      </w:r>
      <w:r w:rsidRPr="00912E96">
        <w:t xml:space="preserve"> and the note to Section 1.80(b)(8) of the Rules establishes a base forfeiture amount of $3,000 for failure to file a required form or information.</w:t>
      </w:r>
      <w:r w:rsidRPr="003C57D4">
        <w:rPr>
          <w:rStyle w:val="FootnoteReference"/>
        </w:rPr>
        <w:footnoteReference w:id="16"/>
      </w:r>
      <w:r w:rsidRPr="00912E96">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Pr>
        <w:footnoteReference w:id="17"/>
      </w:r>
    </w:p>
    <w:p w:rsidR="00375A61" w:rsidRPr="00912E96" w:rsidRDefault="00375A61" w:rsidP="00414FCC">
      <w:pPr>
        <w:pStyle w:val="ParaNum"/>
        <w:widowControl/>
      </w:pPr>
      <w:r w:rsidRPr="00912E96">
        <w:lastRenderedPageBreak/>
        <w:t xml:space="preserve">Based on our review of the facts and circumstances before us, we find </w:t>
      </w:r>
      <w:r>
        <w:t>that a forfeiture in the amount of $</w:t>
      </w:r>
      <w:r w:rsidR="00E77C25">
        <w:t>3</w:t>
      </w:r>
      <w:r>
        <w:t>,000 for</w:t>
      </w:r>
      <w:r w:rsidRPr="00912E96">
        <w:t xml:space="preserve"> </w:t>
      </w:r>
      <w:r>
        <w:t>failing to</w:t>
      </w:r>
      <w:r w:rsidRPr="00912E96">
        <w:t xml:space="preserve"> file its Children’s Television Programming Reports in a timely manner fo</w:t>
      </w:r>
      <w:r>
        <w:t xml:space="preserve">r </w:t>
      </w:r>
      <w:r w:rsidR="00E77C25">
        <w:t>six</w:t>
      </w:r>
      <w:r>
        <w:t xml:space="preserve"> (</w:t>
      </w:r>
      <w:r w:rsidR="00E77C25">
        <w:t>6</w:t>
      </w:r>
      <w:r w:rsidRPr="00912E96">
        <w:t>) quarters</w:t>
      </w:r>
      <w:r>
        <w:t xml:space="preserve"> is appropriate.  Accordingly</w:t>
      </w:r>
      <w:r w:rsidRPr="00EE4202">
        <w:t xml:space="preserve">, we find that the Licensee is </w:t>
      </w:r>
      <w:r>
        <w:t xml:space="preserve">apparently </w:t>
      </w:r>
      <w:r w:rsidRPr="00EE4202">
        <w:t xml:space="preserve">liable </w:t>
      </w:r>
      <w:r w:rsidR="009D4102">
        <w:t>in the amount of $3</w:t>
      </w:r>
      <w:r w:rsidRPr="00EE4202">
        <w:t>,000 for its willful and</w:t>
      </w:r>
      <w:r>
        <w:t>/or</w:t>
      </w:r>
      <w:r w:rsidRPr="00EE4202">
        <w:t xml:space="preserve"> repeate</w:t>
      </w:r>
      <w:r>
        <w:t>d violations of Section 73.3526</w:t>
      </w:r>
      <w:r w:rsidRPr="00EE4202">
        <w:t>(e)(11)(iii)</w:t>
      </w:r>
      <w:r w:rsidR="009D4102">
        <w:t>.</w:t>
      </w:r>
      <w:r w:rsidRPr="003C57D4">
        <w:rPr>
          <w:rStyle w:val="FootnoteReference"/>
        </w:rPr>
        <w:footnoteReference w:id="18"/>
      </w:r>
    </w:p>
    <w:p w:rsidR="00375A61" w:rsidRPr="00912E96" w:rsidRDefault="00375A61" w:rsidP="00492EA1">
      <w:pPr>
        <w:pStyle w:val="ParaNum"/>
      </w:pPr>
      <w:r w:rsidRPr="00912E96">
        <w:t>We also find, pursuant to Section 309(k) of the Act,</w:t>
      </w:r>
      <w:r w:rsidRPr="003C57D4">
        <w:rPr>
          <w:rStyle w:val="FootnoteReference"/>
        </w:rPr>
        <w:footnoteReference w:id="19"/>
      </w:r>
      <w:r w:rsidRPr="00912E96">
        <w:t xml:space="preserve"> that the Licensee's apparent violation does not constitute a “serious violation” warranting designation for evidentiary hearing.  Moreover, we find no evidence that the violations, when considered together, evidence a pattern of abuse.  </w:t>
      </w:r>
      <w:r w:rsidR="00492EA1" w:rsidRPr="00BC6B6D">
        <w:t xml:space="preserve">Further, we find that the Station </w:t>
      </w:r>
      <w:r w:rsidR="00492EA1">
        <w:t xml:space="preserve">has </w:t>
      </w:r>
      <w:r w:rsidR="00492EA1" w:rsidRPr="00BC6B6D">
        <w:t>served the public interest, convenience, and necessity du</w:t>
      </w:r>
      <w:r w:rsidR="00492EA1">
        <w:t>ring the subject license term.</w:t>
      </w:r>
    </w:p>
    <w:p w:rsidR="00375A61" w:rsidRPr="00912E96" w:rsidRDefault="00375A61" w:rsidP="00492EA1">
      <w:pPr>
        <w:pStyle w:val="Heading1"/>
      </w:pPr>
      <w:r w:rsidRPr="00912E96">
        <w:t>Ordering clauses</w:t>
      </w:r>
    </w:p>
    <w:p w:rsidR="00375A61" w:rsidRPr="009D4102" w:rsidRDefault="00375A61" w:rsidP="00492EA1">
      <w:pPr>
        <w:pStyle w:val="ParaNum"/>
      </w:pPr>
      <w:r w:rsidRPr="009D4102">
        <w:t xml:space="preserve">Accordingly, IT IS ORDERED, pursuant to Section 503(b) of the Communications Act of 1934, as amended, 47 U.S.C. § 503(b), and Section 1.80 of the Commission’s Rules, 47 C.F.R. § 1.80, that </w:t>
      </w:r>
      <w:r w:rsidR="00E77C25" w:rsidRPr="009D4102">
        <w:t xml:space="preserve">ZGS </w:t>
      </w:r>
      <w:r w:rsidR="009D4102" w:rsidRPr="009D4102">
        <w:t>Hartford</w:t>
      </w:r>
      <w:r w:rsidR="00E77C25" w:rsidRPr="009D4102">
        <w:t>, Inc.</w:t>
      </w:r>
      <w:r w:rsidRPr="009D4102">
        <w:t xml:space="preserve">, the licensee of Station </w:t>
      </w:r>
      <w:r w:rsidR="009D4102" w:rsidRPr="009D4102">
        <w:t>WRDM</w:t>
      </w:r>
      <w:r w:rsidR="00E77C25" w:rsidRPr="009D4102">
        <w:t xml:space="preserve">-CD, </w:t>
      </w:r>
      <w:r w:rsidR="009D4102" w:rsidRPr="009D4102">
        <w:t>Hartford, Connecticut</w:t>
      </w:r>
      <w:r w:rsidR="00E77C25" w:rsidRPr="009D4102">
        <w:t xml:space="preserve">, </w:t>
      </w:r>
      <w:r w:rsidRPr="009D4102">
        <w:t xml:space="preserve">is hereby NOTIFIED of its APPARENT LIABILITY FOR FORFEITURE in the amount of </w:t>
      </w:r>
      <w:r w:rsidR="00E77C25" w:rsidRPr="009D4102">
        <w:t>three thousand dollars ($3</w:t>
      </w:r>
      <w:r w:rsidRPr="009D4102">
        <w:t xml:space="preserve">,000) for its apparent willful and/or repeated violations of Sections 73.3526(e)(11)(iii) </w:t>
      </w:r>
      <w:r w:rsidR="00E77C25" w:rsidRPr="009D4102">
        <w:t xml:space="preserve">of </w:t>
      </w:r>
      <w:r w:rsidRPr="009D4102">
        <w:t>the Commission’s Rules, 47 C.F.R. §§ 73.3526(e)(11)(iii)</w:t>
      </w:r>
      <w:r w:rsidR="00E77C25" w:rsidRPr="009D4102">
        <w:t>.</w:t>
      </w:r>
    </w:p>
    <w:p w:rsidR="00375A61" w:rsidRPr="009D4102" w:rsidRDefault="00375A61" w:rsidP="00492EA1">
      <w:pPr>
        <w:pStyle w:val="ParaNum"/>
      </w:pPr>
      <w:r w:rsidRPr="009D4102">
        <w:t xml:space="preserve">IT IS FURTHER ORDERED, pursuant to Section 1.80 of the Commission’s Rules, 47 C.F.R. § 1.80, that within thirty (30) days of the release date of this </w:t>
      </w:r>
      <w:r w:rsidRPr="009D4102">
        <w:rPr>
          <w:i/>
        </w:rPr>
        <w:t>NAL</w:t>
      </w:r>
      <w:r w:rsidRPr="009D4102">
        <w:t xml:space="preserve"> </w:t>
      </w:r>
      <w:r w:rsidR="00E77C25" w:rsidRPr="009D4102">
        <w:t xml:space="preserve">ZGS </w:t>
      </w:r>
      <w:r w:rsidR="009D4102" w:rsidRPr="009D4102">
        <w:t>Hartford</w:t>
      </w:r>
      <w:r w:rsidR="00E77C25" w:rsidRPr="009D4102">
        <w:t>, Inc.</w:t>
      </w:r>
      <w:r w:rsidRPr="009D4102">
        <w:t>, SHALL PAY the full amount of the proposed forfeiture or SHALL FILE a written statement seeking reduction or cancellation of the proposed forfeiture.</w:t>
      </w:r>
    </w:p>
    <w:p w:rsidR="00375A61" w:rsidRPr="009D4102" w:rsidRDefault="00375A61" w:rsidP="00492EA1">
      <w:pPr>
        <w:pStyle w:val="ParaNum"/>
      </w:pPr>
      <w:r w:rsidRPr="009D4102">
        <w:t>In the event that the Licensee wishes to revert the Station to low power television status, the Licensee need only notify us of this election and request a change in status for the station.</w:t>
      </w:r>
      <w:r w:rsidRPr="009D4102">
        <w:rPr>
          <w:rStyle w:val="FootnoteReference"/>
          <w:sz w:val="22"/>
        </w:rPr>
        <w:footnoteReference w:id="20"/>
      </w:r>
      <w:r w:rsidR="00D616DA" w:rsidRPr="009D4102">
        <w:t xml:space="preserve">  Should </w:t>
      </w:r>
      <w:r w:rsidRPr="009D4102">
        <w:t>the Licensee elect to revert the Station to low power status, the Licensee would no longer be apparently liable for the forfeiture amount described herein.</w:t>
      </w:r>
    </w:p>
    <w:p w:rsidR="00492EA1" w:rsidRPr="00337FE3" w:rsidRDefault="00492EA1" w:rsidP="00492EA1">
      <w:pPr>
        <w:pStyle w:val="ParaNum"/>
      </w:pPr>
      <w:r w:rsidRPr="00337FE3">
        <w:t xml:space="preserve">Payments of the </w:t>
      </w:r>
      <w:r w:rsidRPr="0005179A">
        <w:t xml:space="preserve">proposed forfeiture must be made by check or similar instrument, wire transfer, or credit card, and must include the FRN referenced above.  </w:t>
      </w:r>
      <w:r w:rsidRPr="0005179A">
        <w:rPr>
          <w:iCs/>
        </w:rPr>
        <w:t>An FCC Form 159 (Remittance Advice) must be submitted with payment unless payment is made online at the Commission’s Fee Filer website</w:t>
      </w:r>
      <w:r w:rsidRPr="0005179A">
        <w:t>.</w:t>
      </w:r>
      <w:r w:rsidRPr="0005179A">
        <w:rPr>
          <w:rStyle w:val="FootnoteReference"/>
          <w:sz w:val="22"/>
          <w:szCs w:val="22"/>
        </w:rPr>
        <w:footnoteReference w:id="21"/>
      </w:r>
      <w:r w:rsidRPr="0005179A">
        <w:t xml:space="preserve">   When completing the FCC Form 159, enter the Account Number in block number 23A (call sign/other ID) and enter the letters “FORF” in block number 24A (payment type code).  Below are additional instructions you should follow based on the form of payment </w:t>
      </w:r>
      <w:r w:rsidRPr="00337FE3">
        <w:t>you select:</w:t>
      </w:r>
      <w:r w:rsidRPr="00337FE3">
        <w:rPr>
          <w:rStyle w:val="FootnoteReference"/>
          <w:sz w:val="22"/>
          <w:szCs w:val="22"/>
        </w:rPr>
        <w:footnoteReference w:id="22"/>
      </w:r>
      <w:r w:rsidRPr="00337FE3">
        <w:t xml:space="preserve"> </w:t>
      </w:r>
    </w:p>
    <w:p w:rsidR="00492EA1" w:rsidRPr="00337FE3" w:rsidRDefault="00492EA1" w:rsidP="00492EA1">
      <w:pPr>
        <w:pStyle w:val="ParaNum"/>
        <w:widowControl/>
        <w:numPr>
          <w:ilvl w:val="0"/>
          <w:numId w:val="7"/>
        </w:numPr>
        <w:rPr>
          <w:spacing w:val="-2"/>
          <w:szCs w:val="22"/>
        </w:rPr>
      </w:pPr>
      <w:r w:rsidRPr="00337FE3">
        <w:rPr>
          <w:spacing w:val="-2"/>
          <w:szCs w:val="22"/>
        </w:rPr>
        <w:t xml:space="preserve">Payment by check or money order must be made payable to the order of the Federal Communications Commission.  Such payments (along with the completed Form 159) must be </w:t>
      </w:r>
      <w:r w:rsidRPr="00337FE3">
        <w:rPr>
          <w:spacing w:val="-2"/>
          <w:szCs w:val="22"/>
        </w:rPr>
        <w:lastRenderedPageBreak/>
        <w:t xml:space="preserve">mailed to Federal Communications Commission, P.O. Box 979088, St. Louis, MO 63197-9000, or sent via overnight mail to U.S. Bank – Government Lockbox #979088, SL-MO-C2-GL, 1005 Convention Plaza, St. Louis, MO 63101.  </w:t>
      </w:r>
    </w:p>
    <w:p w:rsidR="00492EA1" w:rsidRPr="00337FE3" w:rsidRDefault="00492EA1" w:rsidP="00492EA1">
      <w:pPr>
        <w:pStyle w:val="ParaNum"/>
        <w:widowControl/>
        <w:numPr>
          <w:ilvl w:val="0"/>
          <w:numId w:val="7"/>
        </w:numPr>
        <w:rPr>
          <w:spacing w:val="-2"/>
          <w:szCs w:val="22"/>
        </w:rPr>
      </w:pPr>
      <w:r w:rsidRPr="00337FE3">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92EA1" w:rsidRPr="00337FE3" w:rsidRDefault="00492EA1" w:rsidP="00492EA1">
      <w:pPr>
        <w:pStyle w:val="ParaNum"/>
        <w:numPr>
          <w:ilvl w:val="0"/>
          <w:numId w:val="7"/>
        </w:numPr>
        <w:rPr>
          <w:spacing w:val="-2"/>
          <w:szCs w:val="22"/>
        </w:rPr>
      </w:pPr>
      <w:r w:rsidRPr="00337FE3">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92EA1" w:rsidRPr="00912E96" w:rsidRDefault="00492EA1" w:rsidP="00492EA1">
      <w:pPr>
        <w:pStyle w:val="ParaNum"/>
      </w:pPr>
      <w:r w:rsidRPr="00912E96">
        <w:t xml:space="preserve"> The response, if any, must be mailed to Office of the Secretary, Federal Communications Commission, 445 12</w:t>
      </w:r>
      <w:r w:rsidRPr="00912E96">
        <w:rPr>
          <w:vertAlign w:val="superscript"/>
        </w:rPr>
        <w:t>th</w:t>
      </w:r>
      <w:r w:rsidRPr="00912E96">
        <w:t xml:space="preserve"> Street, S.W., Washington, D.C. 20554, ATTN:  Evan S. Morris, Attorney-Advisor, Room 2-C827, Video Division, Media Bureau, and MUST INCLUDE the NAL/Acct. No. referenced above.</w:t>
      </w:r>
    </w:p>
    <w:p w:rsidR="00492EA1" w:rsidRPr="00912E96" w:rsidRDefault="00492EA1" w:rsidP="00492EA1">
      <w:pPr>
        <w:pStyle w:val="ParaNum"/>
      </w:pPr>
      <w:r w:rsidRPr="00912E96">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Pr>
        <w:footnoteReference w:id="23"/>
      </w:r>
      <w:r w:rsidRPr="00912E96">
        <w:t xml:space="preserve"> </w:t>
      </w:r>
    </w:p>
    <w:p w:rsidR="00AF0D12" w:rsidRDefault="00492EA1" w:rsidP="00AF0D12">
      <w:pPr>
        <w:pStyle w:val="ParaNum"/>
      </w:pPr>
      <w:r w:rsidRPr="00912E96">
        <w:t xml:space="preserve">Requests for full payment of the forfeiture proposed in this </w:t>
      </w:r>
      <w:r w:rsidRPr="00912E96">
        <w:rPr>
          <w:i/>
        </w:rPr>
        <w:t>NAL</w:t>
      </w:r>
      <w:r w:rsidRPr="00912E96">
        <w:t xml:space="preserve"> under the installment plan should be sent to:  Associate Managing Director- Financial Operations, 445 12th Street, S.W., Room 1-A625, Washington, D.C. 20554.</w:t>
      </w:r>
      <w:r w:rsidRPr="003C57D4">
        <w:rPr>
          <w:rStyle w:val="FootnoteReference"/>
        </w:rPr>
        <w:footnoteReference w:id="24"/>
      </w:r>
    </w:p>
    <w:p w:rsidR="00375A61" w:rsidRPr="00AF0D12" w:rsidRDefault="00375A61" w:rsidP="00AF0D12">
      <w:pPr>
        <w:pStyle w:val="ParaNum"/>
      </w:pPr>
      <w:r w:rsidRPr="009D4102">
        <w:t>IT IS FURTHER ORDERED that</w:t>
      </w:r>
      <w:r w:rsidRPr="002834D0">
        <w:t xml:space="preserve"> copies of this </w:t>
      </w:r>
      <w:r w:rsidRPr="00AF0D12">
        <w:rPr>
          <w:i/>
        </w:rPr>
        <w:t>NAL</w:t>
      </w:r>
      <w:r w:rsidRPr="002834D0">
        <w:t xml:space="preserve"> shall be sent by First Class and Certified Mail, Return Receipt Requested, to </w:t>
      </w:r>
      <w:r w:rsidR="00E77C25">
        <w:t xml:space="preserve">ZGS </w:t>
      </w:r>
      <w:r w:rsidR="001719AC">
        <w:t>Hartford</w:t>
      </w:r>
      <w:r w:rsidR="00E77C25">
        <w:t>, Inc. 2000 North 14</w:t>
      </w:r>
      <w:r w:rsidR="00E77C25" w:rsidRPr="00AF0D12">
        <w:rPr>
          <w:vertAlign w:val="superscript"/>
        </w:rPr>
        <w:t>th</w:t>
      </w:r>
      <w:r w:rsidR="00E77C25">
        <w:t xml:space="preserve"> Street, Suite 400, Arlington, VA 22201,</w:t>
      </w:r>
      <w:r w:rsidR="002834D0">
        <w:t xml:space="preserve"> and to its</w:t>
      </w:r>
      <w:r w:rsidR="0019393A" w:rsidRPr="002834D0">
        <w:t xml:space="preserve"> </w:t>
      </w:r>
      <w:r w:rsidR="00E77C25">
        <w:t>counsel</w:t>
      </w:r>
      <w:r w:rsidR="0019393A" w:rsidRPr="002834D0">
        <w:t xml:space="preserve"> </w:t>
      </w:r>
      <w:r w:rsidR="00E77C25">
        <w:t>David M. Silverman, Esq., Davis Wright Tremaine LLP, 1919</w:t>
      </w:r>
      <w:r w:rsidR="00CC089B">
        <w:t xml:space="preserve"> </w:t>
      </w:r>
      <w:r w:rsidR="00E77C25">
        <w:t>Pennsylvani</w:t>
      </w:r>
      <w:r w:rsidR="00CC089B">
        <w:t>a</w:t>
      </w:r>
      <w:r w:rsidR="00E77C25">
        <w:t>, Avenue, NW,</w:t>
      </w:r>
      <w:r w:rsidR="009D4102">
        <w:t xml:space="preserve"> Suite 800,</w:t>
      </w:r>
      <w:r w:rsidR="00E77C25">
        <w:t xml:space="preserve"> Washington DC 20006-3401.</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r w:rsidRPr="003C57D4">
        <w:tab/>
      </w:r>
      <w:r w:rsidRPr="003C57D4">
        <w:tab/>
      </w:r>
    </w:p>
    <w:p w:rsidR="00375A61" w:rsidRDefault="00375A61" w:rsidP="00375A61">
      <w:pPr>
        <w:tabs>
          <w:tab w:val="left" w:pos="0"/>
        </w:tabs>
        <w:jc w:val="both"/>
      </w:pPr>
    </w:p>
    <w:p w:rsidR="00375A61" w:rsidRPr="003C57D4" w:rsidRDefault="00375A61" w:rsidP="00375A61">
      <w:pPr>
        <w:tabs>
          <w:tab w:val="left" w:pos="0"/>
        </w:tabs>
        <w:jc w:val="both"/>
      </w:pPr>
      <w:r>
        <w:tab/>
      </w:r>
      <w:r>
        <w:tab/>
      </w:r>
      <w:r>
        <w:tab/>
      </w:r>
      <w:r>
        <w:tab/>
      </w:r>
      <w:r>
        <w:tab/>
      </w:r>
      <w:r>
        <w:tab/>
      </w:r>
      <w:r w:rsidRPr="003C57D4">
        <w:t>FEDERAL COMMUNICATIONS COMMISSION</w:t>
      </w:r>
    </w:p>
    <w:p w:rsidR="00375A61" w:rsidRPr="003C57D4" w:rsidRDefault="00375A61" w:rsidP="00375A61">
      <w:pPr>
        <w:tabs>
          <w:tab w:val="left" w:pos="0"/>
        </w:tabs>
        <w:jc w:val="both"/>
      </w:pPr>
    </w:p>
    <w:p w:rsidR="00375A61" w:rsidRDefault="00375A61" w:rsidP="00375A61">
      <w:pPr>
        <w:tabs>
          <w:tab w:val="left" w:pos="0"/>
        </w:tabs>
        <w:jc w:val="both"/>
      </w:pPr>
      <w:r w:rsidRPr="003C57D4">
        <w:tab/>
      </w:r>
      <w:r w:rsidRPr="003C57D4">
        <w:tab/>
      </w:r>
      <w:r w:rsidRPr="003C57D4">
        <w:tab/>
      </w:r>
      <w:r w:rsidRPr="003C57D4">
        <w:tab/>
      </w:r>
    </w:p>
    <w:p w:rsidR="00375A61" w:rsidRPr="003C57D4" w:rsidRDefault="00375A61" w:rsidP="00375A61">
      <w:pPr>
        <w:tabs>
          <w:tab w:val="left" w:pos="0"/>
        </w:tabs>
        <w:jc w:val="both"/>
      </w:pP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Barbara A. Kreisman</w:t>
      </w:r>
    </w:p>
    <w:p w:rsidR="00375A61" w:rsidRPr="003C57D4" w:rsidRDefault="00375A61" w:rsidP="00375A61">
      <w:pPr>
        <w:tabs>
          <w:tab w:val="left" w:pos="0"/>
        </w:tabs>
        <w:jc w:val="both"/>
      </w:pPr>
      <w:r w:rsidRPr="003C57D4">
        <w:tab/>
      </w:r>
      <w:r w:rsidRPr="003C57D4">
        <w:tab/>
      </w:r>
      <w:r w:rsidRPr="003C57D4">
        <w:tab/>
      </w:r>
      <w:r w:rsidRPr="003C57D4">
        <w:tab/>
      </w:r>
      <w:r w:rsidRPr="003C57D4">
        <w:tab/>
      </w:r>
      <w:r w:rsidRPr="003C57D4">
        <w:tab/>
        <w:t>Chief, Video Division</w:t>
      </w:r>
    </w:p>
    <w:p w:rsidR="002C00E8" w:rsidRPr="002C00E8" w:rsidRDefault="00375A61" w:rsidP="00492EA1">
      <w:pPr>
        <w:tabs>
          <w:tab w:val="left" w:pos="0"/>
        </w:tabs>
        <w:jc w:val="both"/>
      </w:pPr>
      <w:r w:rsidRPr="003C57D4">
        <w:tab/>
      </w:r>
      <w:r w:rsidRPr="003C57D4">
        <w:tab/>
      </w:r>
      <w:r w:rsidRPr="003C57D4">
        <w:tab/>
      </w:r>
      <w:r w:rsidRPr="003C57D4">
        <w:tab/>
      </w:r>
      <w:r w:rsidRPr="003C57D4">
        <w:tab/>
      </w:r>
      <w:r w:rsidRPr="003C57D4">
        <w:tab/>
        <w:t>Media Bureau</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61" w:rsidRDefault="00375A61">
      <w:pPr>
        <w:spacing w:line="20" w:lineRule="exact"/>
      </w:pPr>
    </w:p>
  </w:endnote>
  <w:endnote w:type="continuationSeparator" w:id="0">
    <w:p w:rsidR="00375A61" w:rsidRDefault="00375A61">
      <w:r>
        <w:t xml:space="preserve"> </w:t>
      </w:r>
    </w:p>
  </w:endnote>
  <w:endnote w:type="continuationNotice" w:id="1">
    <w:p w:rsidR="00375A61" w:rsidRDefault="00375A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62AE7">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61" w:rsidRDefault="00375A61">
      <w:r>
        <w:separator/>
      </w:r>
    </w:p>
  </w:footnote>
  <w:footnote w:type="continuationSeparator" w:id="0">
    <w:p w:rsidR="00375A61" w:rsidRDefault="00375A61" w:rsidP="00C721AC">
      <w:pPr>
        <w:spacing w:before="120"/>
        <w:rPr>
          <w:sz w:val="20"/>
        </w:rPr>
      </w:pPr>
      <w:r>
        <w:rPr>
          <w:sz w:val="20"/>
        </w:rPr>
        <w:t xml:space="preserve">(Continued from previous page)  </w:t>
      </w:r>
      <w:r>
        <w:rPr>
          <w:sz w:val="20"/>
        </w:rPr>
        <w:separator/>
      </w:r>
    </w:p>
  </w:footnote>
  <w:footnote w:type="continuationNotice" w:id="1">
    <w:p w:rsidR="00375A61" w:rsidRDefault="00375A61" w:rsidP="00C721AC">
      <w:pPr>
        <w:jc w:val="right"/>
        <w:rPr>
          <w:sz w:val="20"/>
        </w:rPr>
      </w:pPr>
      <w:r>
        <w:rPr>
          <w:sz w:val="20"/>
        </w:rPr>
        <w:t>(continued….)</w:t>
      </w:r>
    </w:p>
  </w:footnote>
  <w:footnote w:id="2">
    <w:p w:rsidR="00375A61" w:rsidRDefault="00375A61" w:rsidP="00D616DA">
      <w:pPr>
        <w:pStyle w:val="FootnoteText"/>
        <w:widowControl w:val="0"/>
      </w:pPr>
      <w:r>
        <w:rPr>
          <w:rStyle w:val="FootnoteReference"/>
        </w:rPr>
        <w:footnoteRef/>
      </w:r>
      <w:r>
        <w:t xml:space="preserve"> 47 U.S.C. § 503(b); 47 C.F.R. § 1.80.</w:t>
      </w:r>
    </w:p>
  </w:footnote>
  <w:footnote w:id="3">
    <w:p w:rsidR="00375A61" w:rsidRDefault="00375A61" w:rsidP="00D616DA">
      <w:pPr>
        <w:pStyle w:val="FootnoteText"/>
        <w:widowControl w:val="0"/>
      </w:pPr>
      <w:r>
        <w:rPr>
          <w:rStyle w:val="FootnoteReference"/>
        </w:rPr>
        <w:footnoteRef/>
      </w:r>
      <w:r>
        <w:t xml:space="preserve"> 47 C.F.R. § 73.3526(e)(11)(iii).</w:t>
      </w:r>
    </w:p>
  </w:footnote>
  <w:footnote w:id="4">
    <w:p w:rsidR="00375A61" w:rsidRDefault="00375A61" w:rsidP="00D616DA">
      <w:pPr>
        <w:pStyle w:val="FootnoteText"/>
        <w:widowControl w:val="0"/>
      </w:pPr>
      <w:r>
        <w:rPr>
          <w:rStyle w:val="FootnoteReference"/>
        </w:rPr>
        <w:footnoteRef/>
      </w:r>
      <w:r>
        <w:t xml:space="preserve"> </w:t>
      </w:r>
      <w:r w:rsidRPr="007D100B">
        <w:rPr>
          <w:i/>
        </w:rPr>
        <w:t>See generally</w:t>
      </w:r>
      <w:r>
        <w:t>, 47 C.F.R. § 73.3526.</w:t>
      </w:r>
    </w:p>
  </w:footnote>
  <w:footnote w:id="5">
    <w:p w:rsidR="00375A61" w:rsidRDefault="00375A61" w:rsidP="00D616DA">
      <w:pPr>
        <w:pStyle w:val="FootnoteText"/>
        <w:widowControl w:val="0"/>
      </w:pPr>
      <w:r>
        <w:rPr>
          <w:rStyle w:val="FootnoteReference"/>
        </w:rPr>
        <w:footnoteRef/>
      </w:r>
      <w:r>
        <w:t xml:space="preserve"> 47 C.F.R. § 73.3526(e)(11)(iii).</w:t>
      </w:r>
    </w:p>
  </w:footnote>
  <w:footnote w:id="6">
    <w:p w:rsidR="009D4102" w:rsidRDefault="009D4102">
      <w:pPr>
        <w:pStyle w:val="FootnoteText"/>
      </w:pPr>
      <w:r>
        <w:rPr>
          <w:rStyle w:val="FootnoteReference"/>
        </w:rPr>
        <w:footnoteRef/>
      </w:r>
      <w:r>
        <w:t xml:space="preserve"> Starting March 31, 2016,</w:t>
      </w:r>
      <w:r w:rsidRPr="00B17646">
        <w:t xml:space="preserve"> broadcasters were required to </w:t>
      </w:r>
      <w:r>
        <w:t xml:space="preserve">file their quarterly </w:t>
      </w:r>
      <w:r w:rsidRPr="00B17646">
        <w:t>Children’s Television Programming Reports</w:t>
      </w:r>
      <w:r>
        <w:t xml:space="preserve"> using the Commission’s Licensing and Management System (LMS)</w:t>
      </w:r>
      <w:r w:rsidRPr="00B17646">
        <w:t xml:space="preserve">.  </w:t>
      </w:r>
      <w:r w:rsidRPr="00B17646">
        <w:rPr>
          <w:i/>
        </w:rPr>
        <w:t>See</w:t>
      </w:r>
      <w:r w:rsidRPr="00B17646">
        <w:t xml:space="preserve"> </w:t>
      </w:r>
      <w:r w:rsidRPr="00B17646">
        <w:rPr>
          <w:i/>
        </w:rPr>
        <w:t>All Children's Television Programming Reports Must Be Filed Using the Commission's Licensing and Management System</w:t>
      </w:r>
      <w:r w:rsidRPr="00B17646">
        <w:t xml:space="preserve">, Public Notice, 31 FCC Rcd 1104 (MB 2016). </w:t>
      </w:r>
      <w:r>
        <w:t xml:space="preserve">  Prior to that date, </w:t>
      </w:r>
      <w:r w:rsidRPr="00B17646">
        <w:t>all</w:t>
      </w:r>
      <w:r>
        <w:t xml:space="preserve"> quarterly</w:t>
      </w:r>
      <w:r w:rsidRPr="00B17646">
        <w:t xml:space="preserve"> Children’s Television Programming Reports were filed</w:t>
      </w:r>
      <w:r>
        <w:t xml:space="preserve"> </w:t>
      </w:r>
      <w:r w:rsidRPr="00B17646">
        <w:t xml:space="preserve">using the Commission’s </w:t>
      </w:r>
      <w:r>
        <w:rPr>
          <w:szCs w:val="22"/>
        </w:rPr>
        <w:t>KidVid</w:t>
      </w:r>
      <w:r w:rsidRPr="00B17646">
        <w:rPr>
          <w:szCs w:val="22"/>
        </w:rPr>
        <w:t xml:space="preserve"> Online Filing System</w:t>
      </w:r>
      <w:r>
        <w:rPr>
          <w:szCs w:val="22"/>
        </w:rPr>
        <w:t>.</w:t>
      </w:r>
    </w:p>
  </w:footnote>
  <w:footnote w:id="7">
    <w:p w:rsidR="00375A61" w:rsidRDefault="00375A61" w:rsidP="00D616DA">
      <w:pPr>
        <w:pStyle w:val="FootnoteText"/>
        <w:widowControl w:val="0"/>
      </w:pPr>
      <w:r>
        <w:rPr>
          <w:rStyle w:val="FootnoteReference"/>
        </w:rPr>
        <w:footnoteRef/>
      </w:r>
      <w:r>
        <w:t xml:space="preserve"> </w:t>
      </w:r>
      <w:r w:rsidR="009D4102">
        <w:t>47 C.F.R. § 73.3526(e)(11)(iii).</w:t>
      </w:r>
    </w:p>
  </w:footnote>
  <w:footnote w:id="8">
    <w:p w:rsidR="00375A61" w:rsidRPr="003C136D" w:rsidRDefault="00375A61" w:rsidP="00D616DA">
      <w:pPr>
        <w:pStyle w:val="FootnoteText"/>
        <w:widowControl w:val="0"/>
      </w:pPr>
      <w:r w:rsidRPr="003C136D">
        <w:rPr>
          <w:rStyle w:val="FootnoteReference"/>
        </w:rPr>
        <w:footnoteRef/>
      </w:r>
      <w:r w:rsidRPr="003C136D">
        <w:t xml:space="preserve"> </w:t>
      </w:r>
      <w:r>
        <w:t>File No. BR</w:t>
      </w:r>
      <w:r w:rsidR="0019393A">
        <w:t>D</w:t>
      </w:r>
      <w:r w:rsidR="001719AC">
        <w:t>TA-20141120AHM (WRDM-CD Renewal).</w:t>
      </w:r>
      <w:r>
        <w:t xml:space="preserve">  </w:t>
      </w:r>
    </w:p>
  </w:footnote>
  <w:footnote w:id="9">
    <w:p w:rsidR="00375A61" w:rsidRPr="00E40715" w:rsidRDefault="00375A61" w:rsidP="00414FCC">
      <w:pPr>
        <w:pStyle w:val="FootnoteText"/>
        <w:rPr>
          <w:b/>
        </w:rPr>
      </w:pPr>
      <w:r>
        <w:rPr>
          <w:rStyle w:val="FootnoteReference"/>
        </w:rPr>
        <w:footnoteRef/>
      </w:r>
      <w:r>
        <w:t xml:space="preserve"> </w:t>
      </w:r>
      <w:r w:rsidR="001719AC">
        <w:t xml:space="preserve">WRDM-CD Renewal, Exhibit 20.  </w:t>
      </w:r>
      <w:r>
        <w:t xml:space="preserve">According to </w:t>
      </w:r>
      <w:r w:rsidR="002C1AB3">
        <w:t>the Licensee and as v</w:t>
      </w:r>
      <w:r w:rsidR="009D4102">
        <w:t xml:space="preserve">erified by Video Division staff, </w:t>
      </w:r>
      <w:r>
        <w:t>Children’s Television Programming Reports</w:t>
      </w:r>
      <w:r w:rsidR="002C1AB3">
        <w:t xml:space="preserve"> were filed </w:t>
      </w:r>
      <w:r>
        <w:t xml:space="preserve">late for the following </w:t>
      </w:r>
      <w:r w:rsidR="002C1AB3">
        <w:t xml:space="preserve">six </w:t>
      </w:r>
      <w:r>
        <w:t xml:space="preserve">quarters: (1) second quarter </w:t>
      </w:r>
      <w:r w:rsidR="00492EA1">
        <w:t xml:space="preserve">of </w:t>
      </w:r>
      <w:r>
        <w:t>20</w:t>
      </w:r>
      <w:r w:rsidR="002C1AB3">
        <w:t>07</w:t>
      </w:r>
      <w:r>
        <w:t xml:space="preserve"> (</w:t>
      </w:r>
      <w:r w:rsidR="001719AC">
        <w:t>years</w:t>
      </w:r>
      <w:r>
        <w:t xml:space="preserve"> late); (2) </w:t>
      </w:r>
      <w:r w:rsidR="001719AC">
        <w:t>third</w:t>
      </w:r>
      <w:r>
        <w:t xml:space="preserve"> quarter </w:t>
      </w:r>
      <w:r w:rsidR="00492EA1">
        <w:t xml:space="preserve">of </w:t>
      </w:r>
      <w:r>
        <w:t>20</w:t>
      </w:r>
      <w:r w:rsidR="002C1AB3">
        <w:t>07</w:t>
      </w:r>
      <w:r>
        <w:t xml:space="preserve"> (</w:t>
      </w:r>
      <w:r w:rsidR="001719AC">
        <w:t>days</w:t>
      </w:r>
      <w:r>
        <w:t xml:space="preserve"> late); (3) </w:t>
      </w:r>
      <w:r w:rsidR="002C1AB3">
        <w:t>third</w:t>
      </w:r>
      <w:r>
        <w:t xml:space="preserve"> quarter</w:t>
      </w:r>
      <w:r w:rsidR="00492EA1">
        <w:t xml:space="preserve"> of</w:t>
      </w:r>
      <w:r>
        <w:t xml:space="preserve"> 20</w:t>
      </w:r>
      <w:r w:rsidR="002C1AB3">
        <w:t>08</w:t>
      </w:r>
      <w:r>
        <w:t xml:space="preserve"> (</w:t>
      </w:r>
      <w:r w:rsidR="001719AC">
        <w:t>months</w:t>
      </w:r>
      <w:r w:rsidR="002C1AB3">
        <w:t xml:space="preserve"> late</w:t>
      </w:r>
      <w:r>
        <w:t xml:space="preserve">); (4) </w:t>
      </w:r>
      <w:r w:rsidR="001719AC">
        <w:t xml:space="preserve">third quarter of 2010 (over one month late); (5) fourth quarter of 2011 (days late); and (6) </w:t>
      </w:r>
      <w:r>
        <w:t>first quarter</w:t>
      </w:r>
      <w:r w:rsidR="00492EA1">
        <w:t xml:space="preserve"> of</w:t>
      </w:r>
      <w:r>
        <w:t xml:space="preserve"> 2012</w:t>
      </w:r>
      <w:r w:rsidRPr="00173086">
        <w:t xml:space="preserve"> </w:t>
      </w:r>
      <w:r w:rsidR="002C1AB3">
        <w:t>(day</w:t>
      </w:r>
      <w:r w:rsidR="001719AC">
        <w:t>s</w:t>
      </w:r>
      <w:r>
        <w:t xml:space="preserve"> late</w:t>
      </w:r>
      <w:r w:rsidR="001719AC">
        <w:t>)</w:t>
      </w:r>
      <w:r w:rsidR="002C1AB3">
        <w:t>.</w:t>
      </w:r>
      <w:r w:rsidR="000F23F2">
        <w:t xml:space="preserve">  The licensee disclosed these late filings in its amended license renewal application while staff review was </w:t>
      </w:r>
      <w:r w:rsidR="00F71058">
        <w:t xml:space="preserve">still </w:t>
      </w:r>
      <w:r w:rsidR="000F23F2">
        <w:t xml:space="preserve">ongoing.  Section 1.65(a) of the Rules </w:t>
      </w:r>
      <w:r w:rsidR="00F71058">
        <w:t>requires applicants to</w:t>
      </w:r>
      <w:r w:rsidR="000F23F2">
        <w:t xml:space="preserve"> maintain a complete and accurate application.  </w:t>
      </w:r>
      <w:r w:rsidR="00F71058">
        <w:t xml:space="preserve">47 C.F.R. § 1.65(a).  Upon discovering the late filed Children’s Television Programming Reports the Licensee amended its license application.  </w:t>
      </w:r>
      <w:r w:rsidR="000F23F2">
        <w:t xml:space="preserve">We want to encourage </w:t>
      </w:r>
      <w:r w:rsidR="00F71058">
        <w:t>licensees</w:t>
      </w:r>
      <w:r w:rsidR="000F23F2">
        <w:t xml:space="preserve"> to</w:t>
      </w:r>
      <w:r w:rsidR="00F71058">
        <w:t xml:space="preserve"> proactively</w:t>
      </w:r>
      <w:r w:rsidR="000F23F2">
        <w:t xml:space="preserve"> amend their application when </w:t>
      </w:r>
      <w:r w:rsidR="00F71058">
        <w:t>a licensee discovers an error or omission</w:t>
      </w:r>
      <w:r w:rsidR="000F23F2">
        <w:t xml:space="preserve"> </w:t>
      </w:r>
      <w:r w:rsidR="00F71058">
        <w:t xml:space="preserve">and not simply wait for staff to discover such deficiencies.  </w:t>
      </w:r>
      <w:r w:rsidR="000F23F2">
        <w:t>Based on the</w:t>
      </w:r>
      <w:r w:rsidR="00F71058">
        <w:t>se</w:t>
      </w:r>
      <w:r w:rsidR="000F23F2">
        <w:t xml:space="preserve"> unique facts and circumstances we </w:t>
      </w:r>
      <w:r w:rsidR="00F71058">
        <w:t>will not</w:t>
      </w:r>
      <w:r w:rsidR="000F23F2">
        <w:t xml:space="preserve"> </w:t>
      </w:r>
      <w:r w:rsidR="00F71058">
        <w:t xml:space="preserve">propose a forfeiture against the licensee </w:t>
      </w:r>
      <w:r w:rsidR="000F23F2">
        <w:t>for failing to properly disclose its violations when it initial</w:t>
      </w:r>
      <w:r w:rsidR="00F71058">
        <w:t>ly</w:t>
      </w:r>
      <w:r w:rsidR="000F23F2">
        <w:t xml:space="preserve"> </w:t>
      </w:r>
      <w:r w:rsidR="00F71058">
        <w:t>filed the Station’s</w:t>
      </w:r>
      <w:r w:rsidR="000F23F2">
        <w:t xml:space="preserve"> license renewal application.</w:t>
      </w:r>
      <w:r w:rsidR="00F71058">
        <w:t xml:space="preserve">  </w:t>
      </w:r>
      <w:r w:rsidR="000F23F2" w:rsidRPr="000F23F2">
        <w:rPr>
          <w:i/>
        </w:rPr>
        <w:t>Cf.</w:t>
      </w:r>
      <w:r w:rsidR="00F71058">
        <w:t xml:space="preserve"> </w:t>
      </w:r>
      <w:r w:rsidR="000F23F2" w:rsidRPr="00F71058">
        <w:rPr>
          <w:i/>
        </w:rPr>
        <w:t xml:space="preserve">Dilip Viswanath </w:t>
      </w:r>
      <w:r w:rsidR="00F71058" w:rsidRPr="00F71058">
        <w:rPr>
          <w:i/>
        </w:rPr>
        <w:t>Licensee</w:t>
      </w:r>
      <w:r w:rsidR="000F23F2" w:rsidRPr="00F71058">
        <w:rPr>
          <w:i/>
        </w:rPr>
        <w:t xml:space="preserve"> of Station KLEG-CD, Dallas, Texas</w:t>
      </w:r>
      <w:r w:rsidR="000F23F2">
        <w:t xml:space="preserve">, Notice of Apparent </w:t>
      </w:r>
      <w:r w:rsidR="00F71058">
        <w:t>Liability</w:t>
      </w:r>
      <w:r w:rsidR="000F23F2">
        <w:t xml:space="preserve"> for Forfeiture, 29 FCC Rcd 11364 (Vid. Div. 2014)(</w:t>
      </w:r>
      <w:r w:rsidR="00F71058">
        <w:t>finding that a $3,000 forfeiture was warranted for a licensee’s failure to report its violations in its renewal application).</w:t>
      </w:r>
      <w:r w:rsidR="000F23F2">
        <w:t xml:space="preserve"> </w:t>
      </w:r>
    </w:p>
  </w:footnote>
  <w:footnote w:id="10">
    <w:p w:rsidR="00375A61" w:rsidRDefault="00375A61" w:rsidP="00D616DA">
      <w:pPr>
        <w:pStyle w:val="FootnoteText"/>
        <w:widowControl w:val="0"/>
      </w:pPr>
      <w:r>
        <w:rPr>
          <w:rStyle w:val="FootnoteReference"/>
        </w:rPr>
        <w:footnoteRef/>
      </w:r>
      <w:r>
        <w:t xml:space="preserve"> 47 C.F.R. § </w:t>
      </w:r>
      <w:r w:rsidRPr="00F42D6B">
        <w:t>73.3526(e)(11)(iii)</w:t>
      </w:r>
      <w:r>
        <w:t>.</w:t>
      </w:r>
    </w:p>
  </w:footnote>
  <w:footnote w:id="11">
    <w:p w:rsidR="00375A61" w:rsidRDefault="00375A61" w:rsidP="00D616DA">
      <w:pPr>
        <w:pStyle w:val="FootnoteText"/>
        <w:widowControl w:val="0"/>
      </w:pPr>
      <w:r>
        <w:rPr>
          <w:rStyle w:val="FootnoteReference"/>
        </w:rPr>
        <w:footnoteRef/>
      </w:r>
      <w:r>
        <w:t xml:space="preserve"> 47 U.S.C. § 503(b)(1)(B); s</w:t>
      </w:r>
      <w:r>
        <w:rPr>
          <w:i/>
          <w:iCs/>
        </w:rPr>
        <w:t>ee also</w:t>
      </w:r>
      <w:r>
        <w:t xml:space="preserve"> 47 C.F.R. § 1.80(a)(2).</w:t>
      </w:r>
    </w:p>
  </w:footnote>
  <w:footnote w:id="12">
    <w:p w:rsidR="00375A61" w:rsidRDefault="00375A61" w:rsidP="00D616DA">
      <w:pPr>
        <w:pStyle w:val="FootnoteText"/>
        <w:widowControl w:val="0"/>
      </w:pPr>
      <w:r>
        <w:rPr>
          <w:rStyle w:val="FootnoteReference"/>
        </w:rPr>
        <w:footnoteRef/>
      </w:r>
      <w:r>
        <w:t xml:space="preserve"> 47 U.S.C. § 312(f)(1).</w:t>
      </w:r>
    </w:p>
  </w:footnote>
  <w:footnote w:id="13">
    <w:p w:rsidR="00375A61" w:rsidRDefault="00375A61" w:rsidP="00D616DA">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4">
    <w:p w:rsidR="00375A61" w:rsidRDefault="00375A61" w:rsidP="00D616DA">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5">
    <w:p w:rsidR="00375A61" w:rsidRDefault="00375A61" w:rsidP="00D616DA">
      <w:pPr>
        <w:pStyle w:val="FootnoteText"/>
        <w:widowControl w:val="0"/>
      </w:pPr>
      <w:r>
        <w:rPr>
          <w:rStyle w:val="FootnoteReference"/>
        </w:rPr>
        <w:footnoteRef/>
      </w:r>
      <w:r>
        <w:t xml:space="preserve"> 47 U.S.C. § 312(f)(2). </w:t>
      </w:r>
    </w:p>
  </w:footnote>
  <w:footnote w:id="16">
    <w:p w:rsidR="00375A61" w:rsidRDefault="00375A61" w:rsidP="00D616DA">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Report and Order, 12 FCC Rcd 17087, 1711</w:t>
      </w:r>
      <w:r w:rsidR="000C4A18">
        <w:t>3-15 (1997)</w:t>
      </w:r>
      <w:r w:rsidRPr="000C4A18">
        <w:t>(</w:t>
      </w:r>
      <w:r>
        <w:rPr>
          <w:i/>
        </w:rPr>
        <w:t>“Forfeiture Policy Statement”),</w:t>
      </w:r>
      <w:r>
        <w:t xml:space="preserve"> </w:t>
      </w:r>
      <w:r>
        <w:rPr>
          <w:i/>
        </w:rPr>
        <w:t>recon. denied</w:t>
      </w:r>
      <w:r>
        <w:t>, 15 FCC Rcd 303 (1999); 47 C.F.R. § 1.80(b)(8), note to paragraph (b)(8), Section I.</w:t>
      </w:r>
    </w:p>
  </w:footnote>
  <w:footnote w:id="17">
    <w:p w:rsidR="00375A61" w:rsidRPr="000752EC" w:rsidRDefault="00375A61" w:rsidP="00F71058">
      <w:pPr>
        <w:pStyle w:val="FootnoteText"/>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18">
    <w:p w:rsidR="00375A61" w:rsidRDefault="00375A61" w:rsidP="00D616DA">
      <w:pPr>
        <w:pStyle w:val="FootnoteText"/>
        <w:widowControl w:val="0"/>
      </w:pPr>
      <w:r>
        <w:rPr>
          <w:rStyle w:val="FootnoteReference"/>
        </w:rPr>
        <w:footnoteRef/>
      </w:r>
      <w:r>
        <w:t xml:space="preserve"> 4</w:t>
      </w:r>
      <w:r w:rsidR="009D4102">
        <w:t>7 C.F.R. §§ 73.3526(e)(11)(iii).</w:t>
      </w:r>
    </w:p>
  </w:footnote>
  <w:footnote w:id="19">
    <w:p w:rsidR="00375A61" w:rsidRPr="00C6545E" w:rsidRDefault="00375A61" w:rsidP="00D616DA">
      <w:pPr>
        <w:spacing w:after="120"/>
        <w:rPr>
          <w:sz w:val="20"/>
        </w:rPr>
      </w:pPr>
      <w:r w:rsidRPr="001C14CC">
        <w:rPr>
          <w:rStyle w:val="FootnoteReference"/>
        </w:rPr>
        <w:footnoteRef/>
      </w:r>
      <w:r w:rsidRPr="00C6545E">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sz w:val="20"/>
        </w:rPr>
        <w:t>ion may deny the application—</w:t>
      </w:r>
      <w:r w:rsidRPr="00C6545E">
        <w:rPr>
          <w:sz w:val="20"/>
        </w:rPr>
        <w:t>after notice and opportunity for a hearing under Section 309(e) of</w:t>
      </w:r>
      <w:r>
        <w:rPr>
          <w:sz w:val="20"/>
        </w:rPr>
        <w:t xml:space="preserve"> the Act, 47 U.S.C. § 309(e)—</w:t>
      </w:r>
      <w:r w:rsidRPr="00C6545E">
        <w:rPr>
          <w:sz w:val="20"/>
        </w:rPr>
        <w:t>or grant the application “on terms and conditions that are appropriate, including a renewal for a term less than the maximum otherwise permitted.”  47 U.S.C. § 309(k)(2).</w:t>
      </w:r>
    </w:p>
  </w:footnote>
  <w:footnote w:id="20">
    <w:p w:rsidR="00375A61" w:rsidRDefault="00375A61" w:rsidP="00D616DA">
      <w:pPr>
        <w:pStyle w:val="FootnoteText"/>
        <w:widowControl w:val="0"/>
      </w:pPr>
      <w:r>
        <w:rPr>
          <w:rStyle w:val="FootnoteReference"/>
        </w:rPr>
        <w:footnoteRef/>
      </w:r>
      <w:r>
        <w:t xml:space="preserve"> </w:t>
      </w:r>
      <w:r>
        <w:rPr>
          <w:i/>
        </w:rPr>
        <w:t>See</w:t>
      </w:r>
      <w:r>
        <w:t xml:space="preserve"> 47 C.F.R. § 73.6001(d).</w:t>
      </w:r>
    </w:p>
  </w:footnote>
  <w:footnote w:id="21">
    <w:p w:rsidR="00492EA1" w:rsidRDefault="00492EA1" w:rsidP="00492EA1">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2">
    <w:p w:rsidR="00492EA1" w:rsidRDefault="00492EA1" w:rsidP="00492EA1">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3">
    <w:p w:rsidR="00492EA1" w:rsidRDefault="00492EA1" w:rsidP="00492EA1">
      <w:pPr>
        <w:pStyle w:val="FootnoteText"/>
      </w:pPr>
      <w:r>
        <w:rPr>
          <w:rStyle w:val="FootnoteReference"/>
        </w:rPr>
        <w:footnoteRef/>
      </w:r>
      <w:r>
        <w:t xml:space="preserve"> </w:t>
      </w:r>
      <w:r w:rsidRPr="00BC1979">
        <w:rPr>
          <w:i/>
        </w:rPr>
        <w:t>See</w:t>
      </w:r>
      <w:r w:rsidRPr="00BC1979">
        <w:t xml:space="preserve"> </w:t>
      </w:r>
      <w:r w:rsidRPr="00BC1979">
        <w:rPr>
          <w:i/>
        </w:rPr>
        <w:t>San Jose State Univ.</w:t>
      </w:r>
      <w:r>
        <w:t>, 26 FCC Rcd</w:t>
      </w:r>
      <w:r w:rsidRPr="00BC1979">
        <w:t xml:space="preserve"> 5</w:t>
      </w:r>
      <w:r w:rsidR="000C4A18">
        <w:t>908 (2011)</w:t>
      </w:r>
      <w:r w:rsidRPr="00BC1979">
        <w:t>(noting that</w:t>
      </w:r>
      <w:r>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4">
    <w:p w:rsidR="00492EA1" w:rsidRDefault="00492EA1" w:rsidP="00492EA1">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45" w:rsidRDefault="00B2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75A61">
      <w:t>DA 16-</w:t>
    </w:r>
    <w:r w:rsidR="000A2BF6">
      <w:t>551</w:t>
    </w:r>
  </w:p>
  <w:p w:rsidR="00D25FB5" w:rsidRDefault="00835C5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54965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35C5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4E649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75A61">
      <w:rPr>
        <w:spacing w:val="-2"/>
      </w:rPr>
      <w:t>DA 16-</w:t>
    </w:r>
    <w:r w:rsidR="000A2BF6">
      <w:rPr>
        <w:spacing w:val="-2"/>
      </w:rPr>
      <w:t>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61"/>
    <w:rsid w:val="00036039"/>
    <w:rsid w:val="00037F90"/>
    <w:rsid w:val="000875BF"/>
    <w:rsid w:val="00096D8C"/>
    <w:rsid w:val="000A2BF6"/>
    <w:rsid w:val="000C0B65"/>
    <w:rsid w:val="000C4A18"/>
    <w:rsid w:val="000E05FE"/>
    <w:rsid w:val="000E3D42"/>
    <w:rsid w:val="000E6CB8"/>
    <w:rsid w:val="000F23F2"/>
    <w:rsid w:val="00122BD5"/>
    <w:rsid w:val="00133F79"/>
    <w:rsid w:val="001719AC"/>
    <w:rsid w:val="0019393A"/>
    <w:rsid w:val="00194A66"/>
    <w:rsid w:val="001D6BCF"/>
    <w:rsid w:val="001E01CA"/>
    <w:rsid w:val="00275CF5"/>
    <w:rsid w:val="0028301F"/>
    <w:rsid w:val="002834D0"/>
    <w:rsid w:val="00285017"/>
    <w:rsid w:val="002A2D2E"/>
    <w:rsid w:val="002C00E8"/>
    <w:rsid w:val="002C1AB3"/>
    <w:rsid w:val="00305E1A"/>
    <w:rsid w:val="00314775"/>
    <w:rsid w:val="00343749"/>
    <w:rsid w:val="003660ED"/>
    <w:rsid w:val="00375A61"/>
    <w:rsid w:val="003B0550"/>
    <w:rsid w:val="003B694F"/>
    <w:rsid w:val="003B6B68"/>
    <w:rsid w:val="003F171C"/>
    <w:rsid w:val="00412FC5"/>
    <w:rsid w:val="00414FCC"/>
    <w:rsid w:val="00422276"/>
    <w:rsid w:val="004242F1"/>
    <w:rsid w:val="00445A00"/>
    <w:rsid w:val="00451B0F"/>
    <w:rsid w:val="004753E1"/>
    <w:rsid w:val="00492EA1"/>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5C51"/>
    <w:rsid w:val="00841AB1"/>
    <w:rsid w:val="00862AE7"/>
    <w:rsid w:val="0087052A"/>
    <w:rsid w:val="008C68F1"/>
    <w:rsid w:val="00921803"/>
    <w:rsid w:val="00926503"/>
    <w:rsid w:val="009726D8"/>
    <w:rsid w:val="009D4102"/>
    <w:rsid w:val="009F76DB"/>
    <w:rsid w:val="00A32C3B"/>
    <w:rsid w:val="00A45F4F"/>
    <w:rsid w:val="00A600A9"/>
    <w:rsid w:val="00A94F44"/>
    <w:rsid w:val="00A94F72"/>
    <w:rsid w:val="00AA55B7"/>
    <w:rsid w:val="00AA5B9E"/>
    <w:rsid w:val="00AB2407"/>
    <w:rsid w:val="00AB3688"/>
    <w:rsid w:val="00AB53DF"/>
    <w:rsid w:val="00AF0D12"/>
    <w:rsid w:val="00B07E5C"/>
    <w:rsid w:val="00B27C45"/>
    <w:rsid w:val="00B811F7"/>
    <w:rsid w:val="00BA5DC6"/>
    <w:rsid w:val="00BA6196"/>
    <w:rsid w:val="00BC6D8C"/>
    <w:rsid w:val="00C34006"/>
    <w:rsid w:val="00C426B1"/>
    <w:rsid w:val="00C66160"/>
    <w:rsid w:val="00C721AC"/>
    <w:rsid w:val="00C90D6A"/>
    <w:rsid w:val="00CA247E"/>
    <w:rsid w:val="00CC089B"/>
    <w:rsid w:val="00CC72B6"/>
    <w:rsid w:val="00D0218D"/>
    <w:rsid w:val="00D25FB5"/>
    <w:rsid w:val="00D44223"/>
    <w:rsid w:val="00D525A2"/>
    <w:rsid w:val="00D616DA"/>
    <w:rsid w:val="00DA2529"/>
    <w:rsid w:val="00DB130A"/>
    <w:rsid w:val="00DB2EBB"/>
    <w:rsid w:val="00DC10A1"/>
    <w:rsid w:val="00DC655F"/>
    <w:rsid w:val="00DD0B59"/>
    <w:rsid w:val="00DD7EBD"/>
    <w:rsid w:val="00DF62B6"/>
    <w:rsid w:val="00E07225"/>
    <w:rsid w:val="00E5409F"/>
    <w:rsid w:val="00E77C25"/>
    <w:rsid w:val="00EE6488"/>
    <w:rsid w:val="00F021FA"/>
    <w:rsid w:val="00F62E97"/>
    <w:rsid w:val="00F64209"/>
    <w:rsid w:val="00F71058"/>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E7"/>
    <w:pPr>
      <w:widowControl w:val="0"/>
    </w:pPr>
    <w:rPr>
      <w:snapToGrid w:val="0"/>
      <w:kern w:val="28"/>
      <w:sz w:val="22"/>
    </w:rPr>
  </w:style>
  <w:style w:type="paragraph" w:styleId="Heading1">
    <w:name w:val="heading 1"/>
    <w:basedOn w:val="Normal"/>
    <w:next w:val="ParaNum"/>
    <w:qFormat/>
    <w:rsid w:val="00862A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2AE7"/>
    <w:pPr>
      <w:keepNext/>
      <w:numPr>
        <w:ilvl w:val="1"/>
        <w:numId w:val="3"/>
      </w:numPr>
      <w:spacing w:after="120"/>
      <w:outlineLvl w:val="1"/>
    </w:pPr>
    <w:rPr>
      <w:b/>
    </w:rPr>
  </w:style>
  <w:style w:type="paragraph" w:styleId="Heading3">
    <w:name w:val="heading 3"/>
    <w:basedOn w:val="Normal"/>
    <w:next w:val="ParaNum"/>
    <w:qFormat/>
    <w:rsid w:val="00862AE7"/>
    <w:pPr>
      <w:keepNext/>
      <w:numPr>
        <w:ilvl w:val="2"/>
        <w:numId w:val="3"/>
      </w:numPr>
      <w:tabs>
        <w:tab w:val="left" w:pos="2160"/>
      </w:tabs>
      <w:spacing w:after="120"/>
      <w:outlineLvl w:val="2"/>
    </w:pPr>
    <w:rPr>
      <w:b/>
    </w:rPr>
  </w:style>
  <w:style w:type="paragraph" w:styleId="Heading4">
    <w:name w:val="heading 4"/>
    <w:basedOn w:val="Normal"/>
    <w:next w:val="ParaNum"/>
    <w:qFormat/>
    <w:rsid w:val="00862AE7"/>
    <w:pPr>
      <w:keepNext/>
      <w:numPr>
        <w:ilvl w:val="3"/>
        <w:numId w:val="3"/>
      </w:numPr>
      <w:tabs>
        <w:tab w:val="left" w:pos="2880"/>
      </w:tabs>
      <w:spacing w:after="120"/>
      <w:outlineLvl w:val="3"/>
    </w:pPr>
    <w:rPr>
      <w:b/>
    </w:rPr>
  </w:style>
  <w:style w:type="paragraph" w:styleId="Heading5">
    <w:name w:val="heading 5"/>
    <w:basedOn w:val="Normal"/>
    <w:next w:val="ParaNum"/>
    <w:qFormat/>
    <w:rsid w:val="00862A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2AE7"/>
    <w:pPr>
      <w:numPr>
        <w:ilvl w:val="5"/>
        <w:numId w:val="3"/>
      </w:numPr>
      <w:tabs>
        <w:tab w:val="left" w:pos="4320"/>
      </w:tabs>
      <w:spacing w:after="120"/>
      <w:outlineLvl w:val="5"/>
    </w:pPr>
    <w:rPr>
      <w:b/>
    </w:rPr>
  </w:style>
  <w:style w:type="paragraph" w:styleId="Heading7">
    <w:name w:val="heading 7"/>
    <w:basedOn w:val="Normal"/>
    <w:next w:val="ParaNum"/>
    <w:qFormat/>
    <w:rsid w:val="00862A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2A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2A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2A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E7"/>
  </w:style>
  <w:style w:type="paragraph" w:customStyle="1" w:styleId="ParaNum">
    <w:name w:val="ParaNum"/>
    <w:basedOn w:val="Normal"/>
    <w:link w:val="ParaNumChar"/>
    <w:rsid w:val="00862AE7"/>
    <w:pPr>
      <w:numPr>
        <w:numId w:val="2"/>
      </w:numPr>
      <w:tabs>
        <w:tab w:val="clear" w:pos="1080"/>
        <w:tab w:val="num" w:pos="1440"/>
      </w:tabs>
      <w:spacing w:after="120"/>
    </w:pPr>
  </w:style>
  <w:style w:type="paragraph" w:styleId="EndnoteText">
    <w:name w:val="endnote text"/>
    <w:basedOn w:val="Normal"/>
    <w:semiHidden/>
    <w:rsid w:val="00862AE7"/>
    <w:rPr>
      <w:sz w:val="20"/>
    </w:rPr>
  </w:style>
  <w:style w:type="character" w:styleId="EndnoteReference">
    <w:name w:val="endnote reference"/>
    <w:semiHidden/>
    <w:rsid w:val="00862AE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862AE7"/>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862AE7"/>
    <w:rPr>
      <w:rFonts w:ascii="Times New Roman" w:hAnsi="Times New Roman"/>
      <w:dstrike w:val="0"/>
      <w:color w:val="auto"/>
      <w:sz w:val="20"/>
      <w:vertAlign w:val="superscript"/>
    </w:rPr>
  </w:style>
  <w:style w:type="paragraph" w:styleId="TOC1">
    <w:name w:val="toc 1"/>
    <w:basedOn w:val="Normal"/>
    <w:next w:val="Normal"/>
    <w:semiHidden/>
    <w:rsid w:val="00862A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2AE7"/>
    <w:pPr>
      <w:tabs>
        <w:tab w:val="left" w:pos="720"/>
        <w:tab w:val="right" w:leader="dot" w:pos="9360"/>
      </w:tabs>
      <w:suppressAutoHyphens/>
      <w:ind w:left="720" w:right="720" w:hanging="360"/>
    </w:pPr>
    <w:rPr>
      <w:noProof/>
    </w:rPr>
  </w:style>
  <w:style w:type="paragraph" w:styleId="TOC3">
    <w:name w:val="toc 3"/>
    <w:basedOn w:val="Normal"/>
    <w:next w:val="Normal"/>
    <w:semiHidden/>
    <w:rsid w:val="00862A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2A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2A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A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A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A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A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AE7"/>
    <w:pPr>
      <w:tabs>
        <w:tab w:val="right" w:pos="9360"/>
      </w:tabs>
      <w:suppressAutoHyphens/>
    </w:pPr>
  </w:style>
  <w:style w:type="character" w:customStyle="1" w:styleId="EquationCaption">
    <w:name w:val="_Equation Caption"/>
    <w:rsid w:val="00862AE7"/>
  </w:style>
  <w:style w:type="paragraph" w:styleId="Header">
    <w:name w:val="header"/>
    <w:basedOn w:val="Normal"/>
    <w:autoRedefine/>
    <w:rsid w:val="00862AE7"/>
    <w:pPr>
      <w:tabs>
        <w:tab w:val="center" w:pos="4680"/>
        <w:tab w:val="right" w:pos="9360"/>
      </w:tabs>
    </w:pPr>
    <w:rPr>
      <w:b/>
    </w:rPr>
  </w:style>
  <w:style w:type="paragraph" w:styleId="Footer">
    <w:name w:val="footer"/>
    <w:basedOn w:val="Normal"/>
    <w:rsid w:val="00862AE7"/>
    <w:pPr>
      <w:tabs>
        <w:tab w:val="center" w:pos="4320"/>
        <w:tab w:val="right" w:pos="8640"/>
      </w:tabs>
    </w:pPr>
  </w:style>
  <w:style w:type="character" w:styleId="PageNumber">
    <w:name w:val="page number"/>
    <w:basedOn w:val="DefaultParagraphFont"/>
    <w:rsid w:val="00862AE7"/>
  </w:style>
  <w:style w:type="paragraph" w:styleId="BlockText">
    <w:name w:val="Block Text"/>
    <w:basedOn w:val="Normal"/>
    <w:rsid w:val="00862AE7"/>
    <w:pPr>
      <w:spacing w:after="240"/>
      <w:ind w:left="1440" w:right="1440"/>
    </w:pPr>
  </w:style>
  <w:style w:type="paragraph" w:customStyle="1" w:styleId="Paratitle">
    <w:name w:val="Para title"/>
    <w:basedOn w:val="Normal"/>
    <w:rsid w:val="00862AE7"/>
    <w:pPr>
      <w:tabs>
        <w:tab w:val="center" w:pos="9270"/>
      </w:tabs>
      <w:spacing w:after="240"/>
    </w:pPr>
    <w:rPr>
      <w:spacing w:val="-2"/>
    </w:rPr>
  </w:style>
  <w:style w:type="paragraph" w:customStyle="1" w:styleId="Bullet">
    <w:name w:val="Bullet"/>
    <w:basedOn w:val="Normal"/>
    <w:rsid w:val="00862AE7"/>
    <w:pPr>
      <w:tabs>
        <w:tab w:val="left" w:pos="2160"/>
      </w:tabs>
      <w:spacing w:after="220"/>
      <w:ind w:left="2160" w:hanging="720"/>
    </w:pPr>
  </w:style>
  <w:style w:type="paragraph" w:customStyle="1" w:styleId="TableFormat">
    <w:name w:val="TableFormat"/>
    <w:basedOn w:val="Bullet"/>
    <w:rsid w:val="00862AE7"/>
    <w:pPr>
      <w:tabs>
        <w:tab w:val="clear" w:pos="2160"/>
        <w:tab w:val="left" w:pos="5040"/>
      </w:tabs>
      <w:ind w:left="5040" w:hanging="3600"/>
    </w:pPr>
  </w:style>
  <w:style w:type="paragraph" w:customStyle="1" w:styleId="TOCTitle">
    <w:name w:val="TOC Title"/>
    <w:basedOn w:val="Normal"/>
    <w:rsid w:val="00862A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AE7"/>
    <w:pPr>
      <w:jc w:val="center"/>
    </w:pPr>
    <w:rPr>
      <w:rFonts w:ascii="Times New Roman Bold" w:hAnsi="Times New Roman Bold"/>
      <w:b/>
      <w:bCs/>
      <w:caps/>
      <w:szCs w:val="22"/>
    </w:rPr>
  </w:style>
  <w:style w:type="character" w:styleId="Hyperlink">
    <w:name w:val="Hyperlink"/>
    <w:rsid w:val="00862AE7"/>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0A2BF6"/>
    <w:rPr>
      <w:rFonts w:ascii="Segoe UI" w:hAnsi="Segoe UI" w:cs="Segoe UI"/>
      <w:sz w:val="18"/>
      <w:szCs w:val="18"/>
    </w:rPr>
  </w:style>
  <w:style w:type="character" w:customStyle="1" w:styleId="BalloonTextChar">
    <w:name w:val="Balloon Text Char"/>
    <w:basedOn w:val="DefaultParagraphFont"/>
    <w:link w:val="BalloonText"/>
    <w:rsid w:val="000A2BF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E7"/>
    <w:pPr>
      <w:widowControl w:val="0"/>
    </w:pPr>
    <w:rPr>
      <w:snapToGrid w:val="0"/>
      <w:kern w:val="28"/>
      <w:sz w:val="22"/>
    </w:rPr>
  </w:style>
  <w:style w:type="paragraph" w:styleId="Heading1">
    <w:name w:val="heading 1"/>
    <w:basedOn w:val="Normal"/>
    <w:next w:val="ParaNum"/>
    <w:qFormat/>
    <w:rsid w:val="00862A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2AE7"/>
    <w:pPr>
      <w:keepNext/>
      <w:numPr>
        <w:ilvl w:val="1"/>
        <w:numId w:val="3"/>
      </w:numPr>
      <w:spacing w:after="120"/>
      <w:outlineLvl w:val="1"/>
    </w:pPr>
    <w:rPr>
      <w:b/>
    </w:rPr>
  </w:style>
  <w:style w:type="paragraph" w:styleId="Heading3">
    <w:name w:val="heading 3"/>
    <w:basedOn w:val="Normal"/>
    <w:next w:val="ParaNum"/>
    <w:qFormat/>
    <w:rsid w:val="00862AE7"/>
    <w:pPr>
      <w:keepNext/>
      <w:numPr>
        <w:ilvl w:val="2"/>
        <w:numId w:val="3"/>
      </w:numPr>
      <w:tabs>
        <w:tab w:val="left" w:pos="2160"/>
      </w:tabs>
      <w:spacing w:after="120"/>
      <w:outlineLvl w:val="2"/>
    </w:pPr>
    <w:rPr>
      <w:b/>
    </w:rPr>
  </w:style>
  <w:style w:type="paragraph" w:styleId="Heading4">
    <w:name w:val="heading 4"/>
    <w:basedOn w:val="Normal"/>
    <w:next w:val="ParaNum"/>
    <w:qFormat/>
    <w:rsid w:val="00862AE7"/>
    <w:pPr>
      <w:keepNext/>
      <w:numPr>
        <w:ilvl w:val="3"/>
        <w:numId w:val="3"/>
      </w:numPr>
      <w:tabs>
        <w:tab w:val="left" w:pos="2880"/>
      </w:tabs>
      <w:spacing w:after="120"/>
      <w:outlineLvl w:val="3"/>
    </w:pPr>
    <w:rPr>
      <w:b/>
    </w:rPr>
  </w:style>
  <w:style w:type="paragraph" w:styleId="Heading5">
    <w:name w:val="heading 5"/>
    <w:basedOn w:val="Normal"/>
    <w:next w:val="ParaNum"/>
    <w:qFormat/>
    <w:rsid w:val="00862AE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2AE7"/>
    <w:pPr>
      <w:numPr>
        <w:ilvl w:val="5"/>
        <w:numId w:val="3"/>
      </w:numPr>
      <w:tabs>
        <w:tab w:val="left" w:pos="4320"/>
      </w:tabs>
      <w:spacing w:after="120"/>
      <w:outlineLvl w:val="5"/>
    </w:pPr>
    <w:rPr>
      <w:b/>
    </w:rPr>
  </w:style>
  <w:style w:type="paragraph" w:styleId="Heading7">
    <w:name w:val="heading 7"/>
    <w:basedOn w:val="Normal"/>
    <w:next w:val="ParaNum"/>
    <w:qFormat/>
    <w:rsid w:val="00862A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2A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2A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62A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E7"/>
  </w:style>
  <w:style w:type="paragraph" w:customStyle="1" w:styleId="ParaNum">
    <w:name w:val="ParaNum"/>
    <w:basedOn w:val="Normal"/>
    <w:link w:val="ParaNumChar"/>
    <w:rsid w:val="00862AE7"/>
    <w:pPr>
      <w:numPr>
        <w:numId w:val="2"/>
      </w:numPr>
      <w:tabs>
        <w:tab w:val="clear" w:pos="1080"/>
        <w:tab w:val="num" w:pos="1440"/>
      </w:tabs>
      <w:spacing w:after="120"/>
    </w:pPr>
  </w:style>
  <w:style w:type="paragraph" w:styleId="EndnoteText">
    <w:name w:val="endnote text"/>
    <w:basedOn w:val="Normal"/>
    <w:semiHidden/>
    <w:rsid w:val="00862AE7"/>
    <w:rPr>
      <w:sz w:val="20"/>
    </w:rPr>
  </w:style>
  <w:style w:type="character" w:styleId="EndnoteReference">
    <w:name w:val="endnote reference"/>
    <w:semiHidden/>
    <w:rsid w:val="00862AE7"/>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862AE7"/>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862AE7"/>
    <w:rPr>
      <w:rFonts w:ascii="Times New Roman" w:hAnsi="Times New Roman"/>
      <w:dstrike w:val="0"/>
      <w:color w:val="auto"/>
      <w:sz w:val="20"/>
      <w:vertAlign w:val="superscript"/>
    </w:rPr>
  </w:style>
  <w:style w:type="paragraph" w:styleId="TOC1">
    <w:name w:val="toc 1"/>
    <w:basedOn w:val="Normal"/>
    <w:next w:val="Normal"/>
    <w:semiHidden/>
    <w:rsid w:val="00862A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62AE7"/>
    <w:pPr>
      <w:tabs>
        <w:tab w:val="left" w:pos="720"/>
        <w:tab w:val="right" w:leader="dot" w:pos="9360"/>
      </w:tabs>
      <w:suppressAutoHyphens/>
      <w:ind w:left="720" w:right="720" w:hanging="360"/>
    </w:pPr>
    <w:rPr>
      <w:noProof/>
    </w:rPr>
  </w:style>
  <w:style w:type="paragraph" w:styleId="TOC3">
    <w:name w:val="toc 3"/>
    <w:basedOn w:val="Normal"/>
    <w:next w:val="Normal"/>
    <w:semiHidden/>
    <w:rsid w:val="00862A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2A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2A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2A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2A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2A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2A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2AE7"/>
    <w:pPr>
      <w:tabs>
        <w:tab w:val="right" w:pos="9360"/>
      </w:tabs>
      <w:suppressAutoHyphens/>
    </w:pPr>
  </w:style>
  <w:style w:type="character" w:customStyle="1" w:styleId="EquationCaption">
    <w:name w:val="_Equation Caption"/>
    <w:rsid w:val="00862AE7"/>
  </w:style>
  <w:style w:type="paragraph" w:styleId="Header">
    <w:name w:val="header"/>
    <w:basedOn w:val="Normal"/>
    <w:autoRedefine/>
    <w:rsid w:val="00862AE7"/>
    <w:pPr>
      <w:tabs>
        <w:tab w:val="center" w:pos="4680"/>
        <w:tab w:val="right" w:pos="9360"/>
      </w:tabs>
    </w:pPr>
    <w:rPr>
      <w:b/>
    </w:rPr>
  </w:style>
  <w:style w:type="paragraph" w:styleId="Footer">
    <w:name w:val="footer"/>
    <w:basedOn w:val="Normal"/>
    <w:rsid w:val="00862AE7"/>
    <w:pPr>
      <w:tabs>
        <w:tab w:val="center" w:pos="4320"/>
        <w:tab w:val="right" w:pos="8640"/>
      </w:tabs>
    </w:pPr>
  </w:style>
  <w:style w:type="character" w:styleId="PageNumber">
    <w:name w:val="page number"/>
    <w:basedOn w:val="DefaultParagraphFont"/>
    <w:rsid w:val="00862AE7"/>
  </w:style>
  <w:style w:type="paragraph" w:styleId="BlockText">
    <w:name w:val="Block Text"/>
    <w:basedOn w:val="Normal"/>
    <w:rsid w:val="00862AE7"/>
    <w:pPr>
      <w:spacing w:after="240"/>
      <w:ind w:left="1440" w:right="1440"/>
    </w:pPr>
  </w:style>
  <w:style w:type="paragraph" w:customStyle="1" w:styleId="Paratitle">
    <w:name w:val="Para title"/>
    <w:basedOn w:val="Normal"/>
    <w:rsid w:val="00862AE7"/>
    <w:pPr>
      <w:tabs>
        <w:tab w:val="center" w:pos="9270"/>
      </w:tabs>
      <w:spacing w:after="240"/>
    </w:pPr>
    <w:rPr>
      <w:spacing w:val="-2"/>
    </w:rPr>
  </w:style>
  <w:style w:type="paragraph" w:customStyle="1" w:styleId="Bullet">
    <w:name w:val="Bullet"/>
    <w:basedOn w:val="Normal"/>
    <w:rsid w:val="00862AE7"/>
    <w:pPr>
      <w:tabs>
        <w:tab w:val="left" w:pos="2160"/>
      </w:tabs>
      <w:spacing w:after="220"/>
      <w:ind w:left="2160" w:hanging="720"/>
    </w:pPr>
  </w:style>
  <w:style w:type="paragraph" w:customStyle="1" w:styleId="TableFormat">
    <w:name w:val="TableFormat"/>
    <w:basedOn w:val="Bullet"/>
    <w:rsid w:val="00862AE7"/>
    <w:pPr>
      <w:tabs>
        <w:tab w:val="clear" w:pos="2160"/>
        <w:tab w:val="left" w:pos="5040"/>
      </w:tabs>
      <w:ind w:left="5040" w:hanging="3600"/>
    </w:pPr>
  </w:style>
  <w:style w:type="paragraph" w:customStyle="1" w:styleId="TOCTitle">
    <w:name w:val="TOC Title"/>
    <w:basedOn w:val="Normal"/>
    <w:rsid w:val="00862A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2AE7"/>
    <w:pPr>
      <w:jc w:val="center"/>
    </w:pPr>
    <w:rPr>
      <w:rFonts w:ascii="Times New Roman Bold" w:hAnsi="Times New Roman Bold"/>
      <w:b/>
      <w:bCs/>
      <w:caps/>
      <w:szCs w:val="22"/>
    </w:rPr>
  </w:style>
  <w:style w:type="character" w:styleId="Hyperlink">
    <w:name w:val="Hyperlink"/>
    <w:rsid w:val="00862AE7"/>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75A61"/>
  </w:style>
  <w:style w:type="character" w:customStyle="1" w:styleId="ParaNumChar">
    <w:name w:val="ParaNum Char"/>
    <w:link w:val="ParaNum"/>
    <w:rsid w:val="00375A61"/>
    <w:rPr>
      <w:snapToGrid w:val="0"/>
      <w:kern w:val="28"/>
      <w:sz w:val="22"/>
    </w:rPr>
  </w:style>
  <w:style w:type="paragraph" w:styleId="BalloonText">
    <w:name w:val="Balloon Text"/>
    <w:basedOn w:val="Normal"/>
    <w:link w:val="BalloonTextChar"/>
    <w:rsid w:val="000A2BF6"/>
    <w:rPr>
      <w:rFonts w:ascii="Segoe UI" w:hAnsi="Segoe UI" w:cs="Segoe UI"/>
      <w:sz w:val="18"/>
      <w:szCs w:val="18"/>
    </w:rPr>
  </w:style>
  <w:style w:type="character" w:customStyle="1" w:styleId="BalloonTextChar">
    <w:name w:val="Balloon Text Char"/>
    <w:basedOn w:val="DefaultParagraphFont"/>
    <w:link w:val="BalloonText"/>
    <w:rsid w:val="000A2BF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1454</Words>
  <Characters>7886</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9378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2016-05-17T16:28:00Z</cp:lastPrinted>
  <dcterms:created xsi:type="dcterms:W3CDTF">2016-05-17T21:27:00Z</dcterms:created>
  <dcterms:modified xsi:type="dcterms:W3CDTF">2016-05-17T21:27:00Z</dcterms:modified>
  <cp:category> </cp:category>
  <cp:contentStatus> </cp:contentStatus>
</cp:coreProperties>
</file>