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B1CFB1" w14:textId="77777777" w:rsidR="00735B15" w:rsidRPr="009C75CA" w:rsidRDefault="00735B15" w:rsidP="00735B15">
      <w:pPr>
        <w:jc w:val="center"/>
        <w:rPr>
          <w:b/>
          <w:sz w:val="20"/>
        </w:rPr>
      </w:pPr>
      <w:bookmarkStart w:id="0" w:name="_GoBack"/>
      <w:bookmarkEnd w:id="0"/>
      <w:r w:rsidRPr="009C75CA">
        <w:rPr>
          <w:b/>
          <w:sz w:val="20"/>
        </w:rPr>
        <w:t>Before the</w:t>
      </w:r>
    </w:p>
    <w:p w14:paraId="5B799742" w14:textId="77777777" w:rsidR="00735B15" w:rsidRPr="009C75CA" w:rsidRDefault="00735B15" w:rsidP="00735B15">
      <w:pPr>
        <w:jc w:val="center"/>
        <w:rPr>
          <w:b/>
          <w:sz w:val="20"/>
        </w:rPr>
      </w:pPr>
      <w:r w:rsidRPr="009C75CA">
        <w:rPr>
          <w:b/>
          <w:sz w:val="20"/>
        </w:rPr>
        <w:t>Federal Communications Commission</w:t>
      </w:r>
    </w:p>
    <w:p w14:paraId="62ACB6A3" w14:textId="77777777" w:rsidR="00735B15" w:rsidRPr="009C75CA" w:rsidRDefault="00735B15" w:rsidP="00735B15">
      <w:pPr>
        <w:jc w:val="center"/>
        <w:rPr>
          <w:b/>
          <w:sz w:val="20"/>
        </w:rPr>
      </w:pPr>
      <w:r w:rsidRPr="009C75CA">
        <w:rPr>
          <w:b/>
          <w:sz w:val="20"/>
        </w:rPr>
        <w:t>Washington, D.C. 20554</w:t>
      </w:r>
    </w:p>
    <w:p w14:paraId="16E76821" w14:textId="77777777" w:rsidR="00735B15" w:rsidRPr="009C75CA" w:rsidRDefault="00735B15" w:rsidP="00735B15">
      <w:pPr>
        <w:rPr>
          <w:sz w:val="20"/>
        </w:rPr>
      </w:pPr>
    </w:p>
    <w:p w14:paraId="46927675" w14:textId="77777777" w:rsidR="00735B15" w:rsidRPr="009C75CA" w:rsidRDefault="00735B15" w:rsidP="00735B15">
      <w:pPr>
        <w:rPr>
          <w:sz w:val="20"/>
        </w:rPr>
      </w:pPr>
    </w:p>
    <w:tbl>
      <w:tblPr>
        <w:tblW w:w="0" w:type="auto"/>
        <w:tblLayout w:type="fixed"/>
        <w:tblLook w:val="0000" w:firstRow="0" w:lastRow="0" w:firstColumn="0" w:lastColumn="0" w:noHBand="0" w:noVBand="0"/>
      </w:tblPr>
      <w:tblGrid>
        <w:gridCol w:w="4698"/>
        <w:gridCol w:w="720"/>
        <w:gridCol w:w="4230"/>
      </w:tblGrid>
      <w:tr w:rsidR="00735B15" w:rsidRPr="00635A5F" w14:paraId="12605FA8" w14:textId="77777777" w:rsidTr="001E799E">
        <w:tc>
          <w:tcPr>
            <w:tcW w:w="4698" w:type="dxa"/>
          </w:tcPr>
          <w:p w14:paraId="7BD73061" w14:textId="77777777" w:rsidR="00735B15" w:rsidRPr="00635A5F" w:rsidRDefault="00735B15" w:rsidP="001E799E">
            <w:pPr>
              <w:ind w:right="-18"/>
              <w:rPr>
                <w:szCs w:val="22"/>
              </w:rPr>
            </w:pPr>
            <w:r w:rsidRPr="00635A5F">
              <w:rPr>
                <w:szCs w:val="22"/>
              </w:rPr>
              <w:t>In the Matter of</w:t>
            </w:r>
          </w:p>
          <w:p w14:paraId="0967FD31" w14:textId="77777777" w:rsidR="00735B15" w:rsidRPr="00635A5F" w:rsidRDefault="00735B15" w:rsidP="001E799E">
            <w:pPr>
              <w:ind w:right="-18"/>
              <w:rPr>
                <w:szCs w:val="22"/>
              </w:rPr>
            </w:pPr>
          </w:p>
          <w:p w14:paraId="7568EF54" w14:textId="77777777" w:rsidR="00735B15" w:rsidRPr="00635A5F" w:rsidRDefault="00735B15" w:rsidP="001E799E">
            <w:pPr>
              <w:ind w:right="-18"/>
              <w:rPr>
                <w:szCs w:val="22"/>
              </w:rPr>
            </w:pPr>
            <w:r w:rsidRPr="00635A5F">
              <w:rPr>
                <w:szCs w:val="22"/>
              </w:rPr>
              <w:t xml:space="preserve">Pacific Telestations, LLC </w:t>
            </w:r>
          </w:p>
          <w:p w14:paraId="55B26200" w14:textId="77777777" w:rsidR="00735B15" w:rsidRPr="00635A5F" w:rsidRDefault="00735B15" w:rsidP="001E799E">
            <w:pPr>
              <w:ind w:right="-18"/>
              <w:rPr>
                <w:szCs w:val="22"/>
              </w:rPr>
            </w:pPr>
            <w:r w:rsidRPr="00635A5F">
              <w:rPr>
                <w:szCs w:val="22"/>
              </w:rPr>
              <w:t>Licensee of Station KUAM-TV</w:t>
            </w:r>
          </w:p>
          <w:p w14:paraId="376676D6" w14:textId="77777777" w:rsidR="00735B15" w:rsidRPr="00635A5F" w:rsidRDefault="00735B15" w:rsidP="001E799E">
            <w:pPr>
              <w:ind w:right="-18"/>
              <w:rPr>
                <w:szCs w:val="22"/>
              </w:rPr>
            </w:pPr>
            <w:r w:rsidRPr="00635A5F">
              <w:rPr>
                <w:szCs w:val="22"/>
              </w:rPr>
              <w:t>Hagatna, Guam</w:t>
            </w:r>
          </w:p>
        </w:tc>
        <w:tc>
          <w:tcPr>
            <w:tcW w:w="720" w:type="dxa"/>
          </w:tcPr>
          <w:p w14:paraId="70E9CB9A" w14:textId="77777777" w:rsidR="00735B15" w:rsidRPr="00635A5F" w:rsidRDefault="00735B15" w:rsidP="001E799E">
            <w:pPr>
              <w:rPr>
                <w:b/>
                <w:szCs w:val="22"/>
              </w:rPr>
            </w:pPr>
            <w:r w:rsidRPr="00635A5F">
              <w:rPr>
                <w:b/>
                <w:szCs w:val="22"/>
              </w:rPr>
              <w:t>)</w:t>
            </w:r>
          </w:p>
          <w:p w14:paraId="5434C74F" w14:textId="77777777" w:rsidR="00735B15" w:rsidRPr="00635A5F" w:rsidRDefault="00735B15" w:rsidP="001E799E">
            <w:pPr>
              <w:rPr>
                <w:b/>
                <w:szCs w:val="22"/>
              </w:rPr>
            </w:pPr>
            <w:r w:rsidRPr="00635A5F">
              <w:rPr>
                <w:b/>
                <w:szCs w:val="22"/>
              </w:rPr>
              <w:t>)</w:t>
            </w:r>
          </w:p>
          <w:p w14:paraId="07CEFEFD" w14:textId="77777777" w:rsidR="00735B15" w:rsidRPr="00635A5F" w:rsidRDefault="00735B15" w:rsidP="001E799E">
            <w:pPr>
              <w:rPr>
                <w:b/>
                <w:szCs w:val="22"/>
              </w:rPr>
            </w:pPr>
            <w:r w:rsidRPr="00635A5F">
              <w:rPr>
                <w:b/>
                <w:szCs w:val="22"/>
              </w:rPr>
              <w:t>)</w:t>
            </w:r>
          </w:p>
          <w:p w14:paraId="2B18E8DB" w14:textId="77777777" w:rsidR="00735B15" w:rsidRPr="00635A5F" w:rsidRDefault="00735B15" w:rsidP="001E799E">
            <w:pPr>
              <w:rPr>
                <w:b/>
                <w:szCs w:val="22"/>
              </w:rPr>
            </w:pPr>
            <w:r w:rsidRPr="00635A5F">
              <w:rPr>
                <w:b/>
                <w:szCs w:val="22"/>
              </w:rPr>
              <w:t>)</w:t>
            </w:r>
          </w:p>
          <w:p w14:paraId="75A9F531" w14:textId="77777777" w:rsidR="00735B15" w:rsidRPr="00635A5F" w:rsidRDefault="00735B15" w:rsidP="001E799E">
            <w:pPr>
              <w:rPr>
                <w:b/>
                <w:szCs w:val="22"/>
              </w:rPr>
            </w:pPr>
            <w:r w:rsidRPr="00635A5F">
              <w:rPr>
                <w:b/>
                <w:szCs w:val="22"/>
              </w:rPr>
              <w:t>)</w:t>
            </w:r>
          </w:p>
        </w:tc>
        <w:tc>
          <w:tcPr>
            <w:tcW w:w="4230" w:type="dxa"/>
          </w:tcPr>
          <w:p w14:paraId="14305EA0" w14:textId="77777777" w:rsidR="00735B15" w:rsidRPr="00635A5F" w:rsidRDefault="00735B15" w:rsidP="001E799E">
            <w:pPr>
              <w:rPr>
                <w:szCs w:val="22"/>
              </w:rPr>
            </w:pPr>
          </w:p>
          <w:p w14:paraId="1EAAE37D" w14:textId="77777777" w:rsidR="00735B15" w:rsidRPr="00635A5F" w:rsidRDefault="00735B15" w:rsidP="001E799E">
            <w:pPr>
              <w:rPr>
                <w:szCs w:val="22"/>
              </w:rPr>
            </w:pPr>
          </w:p>
          <w:p w14:paraId="1CE5F134" w14:textId="77777777" w:rsidR="00735B15" w:rsidRPr="00635A5F" w:rsidRDefault="00735B15" w:rsidP="001E799E">
            <w:pPr>
              <w:rPr>
                <w:spacing w:val="-2"/>
                <w:szCs w:val="22"/>
              </w:rPr>
            </w:pPr>
            <w:r w:rsidRPr="00635A5F">
              <w:rPr>
                <w:spacing w:val="-2"/>
                <w:szCs w:val="22"/>
              </w:rPr>
              <w:t>Facility I.D. No. 51233</w:t>
            </w:r>
          </w:p>
          <w:p w14:paraId="3C63139C" w14:textId="77777777" w:rsidR="00735B15" w:rsidRPr="00635A5F" w:rsidRDefault="00735B15" w:rsidP="001E799E">
            <w:pPr>
              <w:rPr>
                <w:szCs w:val="22"/>
              </w:rPr>
            </w:pPr>
            <w:r w:rsidRPr="00635A5F">
              <w:rPr>
                <w:szCs w:val="22"/>
              </w:rPr>
              <w:t>NAL/Acct. No.: 201541420036</w:t>
            </w:r>
          </w:p>
          <w:p w14:paraId="3FF41898" w14:textId="77777777" w:rsidR="00735B15" w:rsidRPr="00635A5F" w:rsidRDefault="00735B15" w:rsidP="001E799E">
            <w:pPr>
              <w:rPr>
                <w:szCs w:val="22"/>
              </w:rPr>
            </w:pPr>
            <w:r w:rsidRPr="00635A5F">
              <w:rPr>
                <w:spacing w:val="-2"/>
                <w:szCs w:val="22"/>
              </w:rPr>
              <w:t>FRN:  0022452825</w:t>
            </w:r>
          </w:p>
        </w:tc>
      </w:tr>
    </w:tbl>
    <w:p w14:paraId="16425ABE" w14:textId="77777777" w:rsidR="00735B15" w:rsidRPr="00635A5F" w:rsidRDefault="00735B15" w:rsidP="00735B15">
      <w:pPr>
        <w:rPr>
          <w:szCs w:val="22"/>
        </w:rPr>
      </w:pPr>
    </w:p>
    <w:p w14:paraId="0A9FF308" w14:textId="77777777" w:rsidR="00735B15" w:rsidRPr="00635A5F" w:rsidRDefault="00735B15" w:rsidP="00735B15">
      <w:pPr>
        <w:rPr>
          <w:szCs w:val="22"/>
        </w:rPr>
      </w:pPr>
    </w:p>
    <w:p w14:paraId="353B42BD" w14:textId="77777777" w:rsidR="00735B15" w:rsidRPr="00635A5F" w:rsidRDefault="00735B15" w:rsidP="00735B15">
      <w:pPr>
        <w:jc w:val="center"/>
        <w:rPr>
          <w:b/>
          <w:spacing w:val="-2"/>
          <w:szCs w:val="22"/>
        </w:rPr>
      </w:pPr>
      <w:r w:rsidRPr="00635A5F">
        <w:rPr>
          <w:b/>
          <w:spacing w:val="-2"/>
          <w:szCs w:val="22"/>
        </w:rPr>
        <w:t>FORFEITURE</w:t>
      </w:r>
      <w:r w:rsidR="00E97EFE" w:rsidRPr="00635A5F">
        <w:rPr>
          <w:b/>
          <w:spacing w:val="-2"/>
          <w:szCs w:val="22"/>
        </w:rPr>
        <w:t xml:space="preserve"> ORDER</w:t>
      </w:r>
    </w:p>
    <w:p w14:paraId="3D7C156A" w14:textId="77777777" w:rsidR="004C2EE3" w:rsidRPr="00635A5F" w:rsidRDefault="004C2EE3">
      <w:pPr>
        <w:tabs>
          <w:tab w:val="left" w:pos="-720"/>
        </w:tabs>
        <w:suppressAutoHyphens/>
        <w:spacing w:line="227" w:lineRule="auto"/>
        <w:rPr>
          <w:spacing w:val="-2"/>
          <w:szCs w:val="22"/>
        </w:rPr>
      </w:pPr>
    </w:p>
    <w:p w14:paraId="5C4E6BA8" w14:textId="1DBD0D27" w:rsidR="004C2EE3" w:rsidRPr="00635A5F" w:rsidRDefault="004C2EE3" w:rsidP="00133F79">
      <w:pPr>
        <w:tabs>
          <w:tab w:val="left" w:pos="720"/>
          <w:tab w:val="right" w:pos="9360"/>
        </w:tabs>
        <w:suppressAutoHyphens/>
        <w:spacing w:line="227" w:lineRule="auto"/>
        <w:rPr>
          <w:spacing w:val="-2"/>
          <w:szCs w:val="22"/>
        </w:rPr>
      </w:pPr>
      <w:r w:rsidRPr="00635A5F">
        <w:rPr>
          <w:b/>
          <w:spacing w:val="-2"/>
          <w:szCs w:val="22"/>
        </w:rPr>
        <w:t xml:space="preserve">Adopted:  </w:t>
      </w:r>
      <w:r w:rsidR="003B0D30">
        <w:rPr>
          <w:b/>
          <w:spacing w:val="-2"/>
          <w:szCs w:val="22"/>
        </w:rPr>
        <w:t>May</w:t>
      </w:r>
      <w:r w:rsidR="009D0B9A" w:rsidRPr="00635A5F">
        <w:rPr>
          <w:b/>
          <w:spacing w:val="-2"/>
          <w:szCs w:val="22"/>
        </w:rPr>
        <w:t xml:space="preserve"> </w:t>
      </w:r>
      <w:r w:rsidR="00BA258F">
        <w:rPr>
          <w:b/>
          <w:spacing w:val="-2"/>
          <w:szCs w:val="22"/>
        </w:rPr>
        <w:t>18</w:t>
      </w:r>
      <w:r w:rsidR="009D0B9A" w:rsidRPr="00635A5F">
        <w:rPr>
          <w:b/>
          <w:spacing w:val="-2"/>
          <w:szCs w:val="22"/>
        </w:rPr>
        <w:t>, 2016</w:t>
      </w:r>
      <w:r w:rsidRPr="00635A5F">
        <w:rPr>
          <w:b/>
          <w:spacing w:val="-2"/>
          <w:szCs w:val="22"/>
        </w:rPr>
        <w:tab/>
      </w:r>
      <w:r w:rsidR="00822CE0" w:rsidRPr="00635A5F">
        <w:rPr>
          <w:b/>
          <w:spacing w:val="-2"/>
          <w:szCs w:val="22"/>
        </w:rPr>
        <w:t>Released</w:t>
      </w:r>
      <w:r w:rsidRPr="00635A5F">
        <w:rPr>
          <w:b/>
          <w:spacing w:val="-2"/>
          <w:szCs w:val="22"/>
        </w:rPr>
        <w:t>:</w:t>
      </w:r>
      <w:r w:rsidR="00822CE0" w:rsidRPr="00635A5F">
        <w:rPr>
          <w:b/>
          <w:spacing w:val="-2"/>
          <w:szCs w:val="22"/>
        </w:rPr>
        <w:t xml:space="preserve"> </w:t>
      </w:r>
      <w:r w:rsidRPr="00635A5F">
        <w:rPr>
          <w:b/>
          <w:spacing w:val="-2"/>
          <w:szCs w:val="22"/>
        </w:rPr>
        <w:t xml:space="preserve"> </w:t>
      </w:r>
      <w:r w:rsidR="003B0D30">
        <w:rPr>
          <w:b/>
          <w:spacing w:val="-2"/>
          <w:szCs w:val="22"/>
        </w:rPr>
        <w:t>May</w:t>
      </w:r>
      <w:r w:rsidR="009D0B9A" w:rsidRPr="00635A5F">
        <w:rPr>
          <w:b/>
          <w:spacing w:val="-2"/>
          <w:szCs w:val="22"/>
        </w:rPr>
        <w:t xml:space="preserve"> </w:t>
      </w:r>
      <w:r w:rsidR="00BA258F">
        <w:rPr>
          <w:b/>
          <w:spacing w:val="-2"/>
          <w:szCs w:val="22"/>
        </w:rPr>
        <w:t>18</w:t>
      </w:r>
      <w:r w:rsidR="009D0B9A" w:rsidRPr="00635A5F">
        <w:rPr>
          <w:b/>
          <w:spacing w:val="-2"/>
          <w:szCs w:val="22"/>
        </w:rPr>
        <w:t>, 2016</w:t>
      </w:r>
    </w:p>
    <w:p w14:paraId="4784F84D" w14:textId="77777777" w:rsidR="00822CE0" w:rsidRPr="00635A5F" w:rsidRDefault="00822CE0">
      <w:pPr>
        <w:rPr>
          <w:szCs w:val="22"/>
        </w:rPr>
      </w:pPr>
    </w:p>
    <w:p w14:paraId="53368DDE" w14:textId="77777777" w:rsidR="004C2EE3" w:rsidRPr="00635A5F" w:rsidRDefault="004C2EE3">
      <w:pPr>
        <w:rPr>
          <w:spacing w:val="-2"/>
          <w:szCs w:val="22"/>
        </w:rPr>
      </w:pPr>
      <w:r w:rsidRPr="00635A5F">
        <w:rPr>
          <w:szCs w:val="22"/>
        </w:rPr>
        <w:t xml:space="preserve">By </w:t>
      </w:r>
      <w:r w:rsidR="004E4A22" w:rsidRPr="00635A5F">
        <w:rPr>
          <w:szCs w:val="22"/>
        </w:rPr>
        <w:t>the</w:t>
      </w:r>
      <w:r w:rsidR="002A2D2E" w:rsidRPr="00635A5F">
        <w:rPr>
          <w:szCs w:val="22"/>
        </w:rPr>
        <w:t xml:space="preserve"> </w:t>
      </w:r>
      <w:r w:rsidR="009D0B9A" w:rsidRPr="00635A5F">
        <w:rPr>
          <w:spacing w:val="-2"/>
          <w:szCs w:val="22"/>
        </w:rPr>
        <w:t>Chief, Video Division, Media Bureau</w:t>
      </w:r>
    </w:p>
    <w:p w14:paraId="6EED6D10" w14:textId="77777777" w:rsidR="00822CE0" w:rsidRPr="00635A5F" w:rsidRDefault="00822CE0">
      <w:pPr>
        <w:rPr>
          <w:spacing w:val="-2"/>
          <w:szCs w:val="22"/>
        </w:rPr>
      </w:pPr>
    </w:p>
    <w:p w14:paraId="257E02D7" w14:textId="77777777" w:rsidR="00412FC5" w:rsidRPr="00635A5F" w:rsidRDefault="009D0B9A" w:rsidP="00253621">
      <w:pPr>
        <w:pStyle w:val="Heading1"/>
        <w:rPr>
          <w:rFonts w:ascii="Times New Roman" w:hAnsi="Times New Roman"/>
          <w:szCs w:val="22"/>
        </w:rPr>
      </w:pPr>
      <w:r w:rsidRPr="00635A5F">
        <w:rPr>
          <w:rFonts w:ascii="Times New Roman" w:hAnsi="Times New Roman"/>
          <w:szCs w:val="22"/>
        </w:rPr>
        <w:t>introduction</w:t>
      </w:r>
    </w:p>
    <w:p w14:paraId="6E3FA7AD" w14:textId="7545BE71" w:rsidR="009D0B9A" w:rsidRPr="00635A5F" w:rsidRDefault="009D0B9A" w:rsidP="00735B15">
      <w:pPr>
        <w:pStyle w:val="ParaNum"/>
        <w:rPr>
          <w:szCs w:val="22"/>
        </w:rPr>
      </w:pPr>
      <w:r w:rsidRPr="00635A5F">
        <w:rPr>
          <w:spacing w:val="-2"/>
          <w:szCs w:val="22"/>
        </w:rPr>
        <w:t xml:space="preserve">In this </w:t>
      </w:r>
      <w:r w:rsidRPr="00635A5F">
        <w:rPr>
          <w:i/>
          <w:spacing w:val="-2"/>
          <w:szCs w:val="22"/>
        </w:rPr>
        <w:t>Forfeiture Order</w:t>
      </w:r>
      <w:r w:rsidR="00024A38">
        <w:rPr>
          <w:spacing w:val="-2"/>
          <w:szCs w:val="22"/>
        </w:rPr>
        <w:t>, issued pursuant to s</w:t>
      </w:r>
      <w:r w:rsidRPr="00635A5F">
        <w:rPr>
          <w:spacing w:val="-2"/>
          <w:szCs w:val="22"/>
        </w:rPr>
        <w:t>ections 0.61(f)(1) and 1.80(a)(1),</w:t>
      </w:r>
      <w:r w:rsidR="00ED0434" w:rsidRPr="00635A5F">
        <w:rPr>
          <w:spacing w:val="-2"/>
          <w:szCs w:val="22"/>
        </w:rPr>
        <w:t xml:space="preserve"> </w:t>
      </w:r>
      <w:r w:rsidRPr="00635A5F">
        <w:rPr>
          <w:spacing w:val="-2"/>
          <w:szCs w:val="22"/>
        </w:rPr>
        <w:t>(2) of the Commission’s rules (Rules),</w:t>
      </w:r>
      <w:r w:rsidR="00A523DB" w:rsidRPr="00635A5F">
        <w:rPr>
          <w:spacing w:val="-2"/>
          <w:szCs w:val="22"/>
          <w:vertAlign w:val="superscript"/>
        </w:rPr>
        <w:footnoteReference w:id="2"/>
      </w:r>
      <w:r w:rsidRPr="00635A5F">
        <w:rPr>
          <w:spacing w:val="-2"/>
          <w:szCs w:val="22"/>
        </w:rPr>
        <w:t xml:space="preserve"> </w:t>
      </w:r>
      <w:r w:rsidRPr="00635A5F">
        <w:rPr>
          <w:szCs w:val="22"/>
        </w:rPr>
        <w:t xml:space="preserve">we find that </w:t>
      </w:r>
      <w:r w:rsidR="00735B15" w:rsidRPr="00635A5F">
        <w:rPr>
          <w:szCs w:val="22"/>
        </w:rPr>
        <w:t xml:space="preserve">Pacific Telestations, LLC </w:t>
      </w:r>
      <w:r w:rsidRPr="00635A5F">
        <w:rPr>
          <w:szCs w:val="22"/>
        </w:rPr>
        <w:t>(License</w:t>
      </w:r>
      <w:r w:rsidR="00735B15" w:rsidRPr="00635A5F">
        <w:rPr>
          <w:szCs w:val="22"/>
        </w:rPr>
        <w:t>e), licensee of Station KUAM-TV, Hagatna</w:t>
      </w:r>
      <w:r w:rsidRPr="00635A5F">
        <w:rPr>
          <w:szCs w:val="22"/>
        </w:rPr>
        <w:t>, Guam (Station or</w:t>
      </w:r>
      <w:r w:rsidR="00735B15" w:rsidRPr="00635A5F">
        <w:rPr>
          <w:szCs w:val="22"/>
        </w:rPr>
        <w:t xml:space="preserve"> KUAM</w:t>
      </w:r>
      <w:r w:rsidR="00E97EFE" w:rsidRPr="00635A5F">
        <w:rPr>
          <w:szCs w:val="22"/>
        </w:rPr>
        <w:t xml:space="preserve">) </w:t>
      </w:r>
      <w:r w:rsidR="00735B15" w:rsidRPr="00635A5F">
        <w:rPr>
          <w:szCs w:val="22"/>
        </w:rPr>
        <w:t xml:space="preserve">willfully and/or repeatedly violated </w:t>
      </w:r>
      <w:r w:rsidR="000511FB" w:rsidRPr="00635A5F">
        <w:rPr>
          <w:szCs w:val="22"/>
        </w:rPr>
        <w:t>s</w:t>
      </w:r>
      <w:r w:rsidR="00735B15" w:rsidRPr="00635A5F">
        <w:rPr>
          <w:szCs w:val="22"/>
        </w:rPr>
        <w:t xml:space="preserve">ection 73.3526(e)(11)(i) of </w:t>
      </w:r>
      <w:r w:rsidR="00574E96">
        <w:rPr>
          <w:szCs w:val="22"/>
        </w:rPr>
        <w:t xml:space="preserve">the </w:t>
      </w:r>
      <w:r w:rsidR="00735B15" w:rsidRPr="00635A5F">
        <w:rPr>
          <w:szCs w:val="22"/>
        </w:rPr>
        <w:t>Rules</w:t>
      </w:r>
      <w:r w:rsidR="00735B15" w:rsidRPr="00635A5F">
        <w:rPr>
          <w:rStyle w:val="FootnoteReference"/>
          <w:sz w:val="22"/>
          <w:szCs w:val="22"/>
        </w:rPr>
        <w:footnoteReference w:id="3"/>
      </w:r>
      <w:r w:rsidR="00735B15" w:rsidRPr="00635A5F">
        <w:rPr>
          <w:szCs w:val="22"/>
        </w:rPr>
        <w:t xml:space="preserve"> by failing to place in its</w:t>
      </w:r>
      <w:r w:rsidR="00A528B9">
        <w:rPr>
          <w:szCs w:val="22"/>
        </w:rPr>
        <w:t xml:space="preserve"> local</w:t>
      </w:r>
      <w:r w:rsidR="00735B15" w:rsidRPr="00635A5F">
        <w:rPr>
          <w:szCs w:val="22"/>
        </w:rPr>
        <w:t xml:space="preserve"> public </w:t>
      </w:r>
      <w:r w:rsidR="00A528B9">
        <w:rPr>
          <w:szCs w:val="22"/>
        </w:rPr>
        <w:t xml:space="preserve">inspection </w:t>
      </w:r>
      <w:r w:rsidR="00735B15" w:rsidRPr="00635A5F">
        <w:rPr>
          <w:szCs w:val="22"/>
        </w:rPr>
        <w:t>file</w:t>
      </w:r>
      <w:r w:rsidR="00A528B9">
        <w:rPr>
          <w:szCs w:val="22"/>
        </w:rPr>
        <w:t xml:space="preserve"> (public file)</w:t>
      </w:r>
      <w:r w:rsidR="00735B15" w:rsidRPr="00635A5F">
        <w:rPr>
          <w:szCs w:val="22"/>
        </w:rPr>
        <w:t xml:space="preserve"> quarterly</w:t>
      </w:r>
      <w:r w:rsidR="00635A5F">
        <w:rPr>
          <w:szCs w:val="22"/>
        </w:rPr>
        <w:t xml:space="preserve"> TV</w:t>
      </w:r>
      <w:r w:rsidR="00735B15" w:rsidRPr="00635A5F">
        <w:rPr>
          <w:szCs w:val="22"/>
        </w:rPr>
        <w:t xml:space="preserve"> issues/progr</w:t>
      </w:r>
      <w:r w:rsidR="00E97EFE" w:rsidRPr="00635A5F">
        <w:rPr>
          <w:szCs w:val="22"/>
        </w:rPr>
        <w:t>ams lists for fifteen</w:t>
      </w:r>
      <w:r w:rsidR="00F515FC">
        <w:rPr>
          <w:szCs w:val="22"/>
        </w:rPr>
        <w:t xml:space="preserve"> (15)</w:t>
      </w:r>
      <w:r w:rsidR="00E97EFE" w:rsidRPr="00635A5F">
        <w:rPr>
          <w:szCs w:val="22"/>
        </w:rPr>
        <w:t xml:space="preserve"> quarters.  </w:t>
      </w:r>
      <w:r w:rsidRPr="00635A5F">
        <w:rPr>
          <w:szCs w:val="22"/>
        </w:rPr>
        <w:t>Based upon our review of the facts and circumstances before us, we conclude that the Licensee is liable for a monetary forfeiture in the amo</w:t>
      </w:r>
      <w:r w:rsidR="00735B15" w:rsidRPr="00635A5F">
        <w:rPr>
          <w:szCs w:val="22"/>
        </w:rPr>
        <w:t>unt o</w:t>
      </w:r>
      <w:r w:rsidR="00AB2525" w:rsidRPr="00635A5F">
        <w:rPr>
          <w:szCs w:val="22"/>
        </w:rPr>
        <w:t>f Ten</w:t>
      </w:r>
      <w:r w:rsidR="00E97EFE" w:rsidRPr="00635A5F">
        <w:rPr>
          <w:szCs w:val="22"/>
        </w:rPr>
        <w:t xml:space="preserve"> Thousand Dollars ($10</w:t>
      </w:r>
      <w:r w:rsidRPr="00635A5F">
        <w:rPr>
          <w:szCs w:val="22"/>
        </w:rPr>
        <w:t>,000).</w:t>
      </w:r>
    </w:p>
    <w:p w14:paraId="1B10932F" w14:textId="77777777" w:rsidR="009D0B9A" w:rsidRPr="00635A5F" w:rsidRDefault="009D0B9A" w:rsidP="00253621">
      <w:pPr>
        <w:pStyle w:val="Heading1"/>
        <w:rPr>
          <w:rFonts w:ascii="Times New Roman" w:hAnsi="Times New Roman"/>
          <w:szCs w:val="22"/>
        </w:rPr>
      </w:pPr>
      <w:r w:rsidRPr="00635A5F">
        <w:rPr>
          <w:rFonts w:ascii="Times New Roman" w:hAnsi="Times New Roman"/>
          <w:szCs w:val="22"/>
        </w:rPr>
        <w:t>BACKGROUND</w:t>
      </w:r>
    </w:p>
    <w:p w14:paraId="65EB24F3" w14:textId="553B29D8" w:rsidR="00322C4E" w:rsidRPr="00635A5F" w:rsidRDefault="009D0B9A" w:rsidP="00E97EFE">
      <w:pPr>
        <w:pStyle w:val="ParaNum"/>
        <w:widowControl/>
        <w:rPr>
          <w:szCs w:val="22"/>
        </w:rPr>
      </w:pPr>
      <w:r w:rsidRPr="00635A5F">
        <w:rPr>
          <w:szCs w:val="22"/>
        </w:rPr>
        <w:t>The Video Division</w:t>
      </w:r>
      <w:r w:rsidR="00A528B9">
        <w:rPr>
          <w:szCs w:val="22"/>
        </w:rPr>
        <w:t xml:space="preserve"> (Division)</w:t>
      </w:r>
      <w:r w:rsidRPr="00635A5F">
        <w:rPr>
          <w:szCs w:val="22"/>
        </w:rPr>
        <w:t xml:space="preserve"> issued</w:t>
      </w:r>
      <w:r w:rsidR="00AB2525" w:rsidRPr="00635A5F">
        <w:rPr>
          <w:szCs w:val="22"/>
        </w:rPr>
        <w:t xml:space="preserve"> a Notice of Apparent Liability </w:t>
      </w:r>
      <w:r w:rsidR="00735B15" w:rsidRPr="00635A5F">
        <w:rPr>
          <w:szCs w:val="22"/>
        </w:rPr>
        <w:t xml:space="preserve">for Forfeiture </w:t>
      </w:r>
      <w:r w:rsidR="00773573">
        <w:rPr>
          <w:szCs w:val="22"/>
        </w:rPr>
        <w:t>(</w:t>
      </w:r>
      <w:r w:rsidR="00773573" w:rsidRPr="00773573">
        <w:rPr>
          <w:i/>
          <w:szCs w:val="22"/>
        </w:rPr>
        <w:t>NAL</w:t>
      </w:r>
      <w:r w:rsidR="00773573">
        <w:rPr>
          <w:szCs w:val="22"/>
        </w:rPr>
        <w:t xml:space="preserve">) </w:t>
      </w:r>
      <w:r w:rsidR="00735B15" w:rsidRPr="00635A5F">
        <w:rPr>
          <w:szCs w:val="22"/>
        </w:rPr>
        <w:t>on December 23</w:t>
      </w:r>
      <w:r w:rsidRPr="00635A5F">
        <w:rPr>
          <w:szCs w:val="22"/>
        </w:rPr>
        <w:t>, 2015.</w:t>
      </w:r>
      <w:r w:rsidR="00A523DB" w:rsidRPr="00635A5F">
        <w:rPr>
          <w:spacing w:val="-2"/>
          <w:szCs w:val="22"/>
          <w:vertAlign w:val="superscript"/>
        </w:rPr>
        <w:footnoteReference w:id="4"/>
      </w:r>
      <w:r w:rsidRPr="00635A5F">
        <w:rPr>
          <w:szCs w:val="22"/>
        </w:rPr>
        <w:t xml:space="preserve">  The </w:t>
      </w:r>
      <w:r w:rsidRPr="00635A5F">
        <w:rPr>
          <w:i/>
          <w:szCs w:val="22"/>
        </w:rPr>
        <w:t>NAL</w:t>
      </w:r>
      <w:r w:rsidR="00AB2525" w:rsidRPr="00635A5F">
        <w:rPr>
          <w:szCs w:val="22"/>
        </w:rPr>
        <w:t xml:space="preserve"> notified the Licensee that its</w:t>
      </w:r>
      <w:r w:rsidRPr="00635A5F">
        <w:rPr>
          <w:szCs w:val="22"/>
        </w:rPr>
        <w:t xml:space="preserve"> failure to timely file the Station’s Children’s Television Programming</w:t>
      </w:r>
      <w:r w:rsidR="00322C4E" w:rsidRPr="00635A5F">
        <w:rPr>
          <w:szCs w:val="22"/>
        </w:rPr>
        <w:t xml:space="preserve"> Reports (FCC Form 398) for five</w:t>
      </w:r>
      <w:r w:rsidRPr="00635A5F">
        <w:rPr>
          <w:szCs w:val="22"/>
        </w:rPr>
        <w:t xml:space="preserve"> quarters</w:t>
      </w:r>
      <w:r w:rsidR="00530FC7" w:rsidRPr="00635A5F">
        <w:rPr>
          <w:szCs w:val="22"/>
          <w:vertAlign w:val="superscript"/>
        </w:rPr>
        <w:footnoteReference w:id="5"/>
      </w:r>
      <w:r w:rsidR="00322C4E" w:rsidRPr="00635A5F">
        <w:rPr>
          <w:szCs w:val="22"/>
        </w:rPr>
        <w:t xml:space="preserve"> constituted an</w:t>
      </w:r>
      <w:r w:rsidRPr="00635A5F">
        <w:rPr>
          <w:szCs w:val="22"/>
        </w:rPr>
        <w:t xml:space="preserve"> </w:t>
      </w:r>
      <w:r w:rsidR="00ED0434" w:rsidRPr="00635A5F">
        <w:rPr>
          <w:szCs w:val="22"/>
        </w:rPr>
        <w:t>apparent</w:t>
      </w:r>
      <w:r w:rsidRPr="00635A5F">
        <w:rPr>
          <w:szCs w:val="22"/>
        </w:rPr>
        <w:t xml:space="preserve"> willfu</w:t>
      </w:r>
      <w:r w:rsidR="000511FB" w:rsidRPr="00635A5F">
        <w:rPr>
          <w:szCs w:val="22"/>
        </w:rPr>
        <w:t>l and/or repeated violation of s</w:t>
      </w:r>
      <w:r w:rsidRPr="00635A5F">
        <w:rPr>
          <w:szCs w:val="22"/>
        </w:rPr>
        <w:t>ection 73.3526(e)(11)(iii) of the Rules</w:t>
      </w:r>
      <w:r w:rsidR="008F427D" w:rsidRPr="00635A5F">
        <w:rPr>
          <w:szCs w:val="22"/>
        </w:rPr>
        <w:t xml:space="preserve"> and that</w:t>
      </w:r>
      <w:r w:rsidR="00DE5B81">
        <w:rPr>
          <w:szCs w:val="22"/>
        </w:rPr>
        <w:t xml:space="preserve"> its failure </w:t>
      </w:r>
      <w:r w:rsidR="00E97EFE" w:rsidRPr="00635A5F">
        <w:rPr>
          <w:szCs w:val="22"/>
        </w:rPr>
        <w:t>to report these violations in its renewal application</w:t>
      </w:r>
      <w:r w:rsidR="00E97EFE" w:rsidRPr="00635A5F">
        <w:rPr>
          <w:szCs w:val="22"/>
          <w:vertAlign w:val="superscript"/>
        </w:rPr>
        <w:footnoteReference w:id="6"/>
      </w:r>
      <w:r w:rsidR="00E97EFE" w:rsidRPr="00635A5F">
        <w:rPr>
          <w:szCs w:val="22"/>
        </w:rPr>
        <w:t xml:space="preserve"> constituted an apparent willfu</w:t>
      </w:r>
      <w:r w:rsidR="000511FB" w:rsidRPr="00635A5F">
        <w:rPr>
          <w:szCs w:val="22"/>
        </w:rPr>
        <w:t>l and/or repeated violation of s</w:t>
      </w:r>
      <w:r w:rsidR="00E97EFE" w:rsidRPr="00635A5F">
        <w:rPr>
          <w:szCs w:val="22"/>
        </w:rPr>
        <w:t>ection 73.4514(a) of the Rules.</w:t>
      </w:r>
      <w:r w:rsidR="008D4547">
        <w:rPr>
          <w:rStyle w:val="FootnoteReference"/>
          <w:szCs w:val="22"/>
        </w:rPr>
        <w:footnoteReference w:id="7"/>
      </w:r>
      <w:r w:rsidR="00E97EFE" w:rsidRPr="00635A5F">
        <w:rPr>
          <w:szCs w:val="22"/>
        </w:rPr>
        <w:t xml:space="preserve">  Furthermore, </w:t>
      </w:r>
      <w:r w:rsidR="008F427D" w:rsidRPr="00635A5F">
        <w:rPr>
          <w:szCs w:val="22"/>
        </w:rPr>
        <w:t xml:space="preserve">its failure to place in </w:t>
      </w:r>
      <w:r w:rsidR="00A528B9">
        <w:rPr>
          <w:szCs w:val="22"/>
        </w:rPr>
        <w:t xml:space="preserve">the Station’s </w:t>
      </w:r>
      <w:r w:rsidR="008F427D" w:rsidRPr="00635A5F">
        <w:rPr>
          <w:szCs w:val="22"/>
        </w:rPr>
        <w:t>public</w:t>
      </w:r>
      <w:r w:rsidR="00A528B9">
        <w:rPr>
          <w:szCs w:val="22"/>
        </w:rPr>
        <w:t xml:space="preserve"> </w:t>
      </w:r>
      <w:r w:rsidR="008F427D" w:rsidRPr="00635A5F">
        <w:rPr>
          <w:szCs w:val="22"/>
        </w:rPr>
        <w:t xml:space="preserve">file quarterly </w:t>
      </w:r>
      <w:r w:rsidR="00635A5F">
        <w:rPr>
          <w:szCs w:val="22"/>
        </w:rPr>
        <w:t xml:space="preserve">TV </w:t>
      </w:r>
      <w:r w:rsidR="008F427D" w:rsidRPr="00635A5F">
        <w:rPr>
          <w:szCs w:val="22"/>
        </w:rPr>
        <w:t>issues/programs lists for fifteen</w:t>
      </w:r>
      <w:r w:rsidR="00D315E2">
        <w:rPr>
          <w:szCs w:val="22"/>
        </w:rPr>
        <w:t xml:space="preserve"> (15)</w:t>
      </w:r>
      <w:r w:rsidR="008F427D" w:rsidRPr="00635A5F">
        <w:rPr>
          <w:szCs w:val="22"/>
        </w:rPr>
        <w:t xml:space="preserve"> quarters</w:t>
      </w:r>
      <w:r w:rsidR="00AB2525" w:rsidRPr="00635A5F">
        <w:rPr>
          <w:rStyle w:val="FootnoteReference"/>
          <w:sz w:val="22"/>
          <w:szCs w:val="22"/>
        </w:rPr>
        <w:footnoteReference w:id="8"/>
      </w:r>
      <w:r w:rsidR="00EE1CF1" w:rsidRPr="00635A5F">
        <w:rPr>
          <w:szCs w:val="22"/>
        </w:rPr>
        <w:t xml:space="preserve"> </w:t>
      </w:r>
      <w:r w:rsidR="008F427D" w:rsidRPr="00635A5F">
        <w:rPr>
          <w:szCs w:val="22"/>
        </w:rPr>
        <w:t xml:space="preserve">constituted an </w:t>
      </w:r>
      <w:r w:rsidR="00ED0434" w:rsidRPr="00635A5F">
        <w:rPr>
          <w:szCs w:val="22"/>
        </w:rPr>
        <w:t>apparently</w:t>
      </w:r>
      <w:r w:rsidR="008F427D" w:rsidRPr="00635A5F">
        <w:rPr>
          <w:szCs w:val="22"/>
        </w:rPr>
        <w:t xml:space="preserve"> willful and/or repeated violation </w:t>
      </w:r>
      <w:r w:rsidR="008F427D" w:rsidRPr="00635A5F">
        <w:rPr>
          <w:szCs w:val="22"/>
        </w:rPr>
        <w:lastRenderedPageBreak/>
        <w:t xml:space="preserve">of </w:t>
      </w:r>
      <w:r w:rsidR="000511FB" w:rsidRPr="00635A5F">
        <w:rPr>
          <w:szCs w:val="22"/>
        </w:rPr>
        <w:t>s</w:t>
      </w:r>
      <w:r w:rsidR="008F427D" w:rsidRPr="00635A5F">
        <w:rPr>
          <w:szCs w:val="22"/>
        </w:rPr>
        <w:t>ection 73.3526(e)(11)(i) of Rules.</w:t>
      </w:r>
      <w:r w:rsidR="008F427D" w:rsidRPr="00635A5F">
        <w:rPr>
          <w:rStyle w:val="FootnoteReference"/>
          <w:sz w:val="22"/>
          <w:szCs w:val="22"/>
        </w:rPr>
        <w:footnoteReference w:id="9"/>
      </w:r>
      <w:r w:rsidR="008F427D" w:rsidRPr="00635A5F">
        <w:rPr>
          <w:szCs w:val="22"/>
        </w:rPr>
        <w:t xml:space="preserve">  </w:t>
      </w:r>
      <w:r w:rsidRPr="00635A5F">
        <w:rPr>
          <w:szCs w:val="22"/>
        </w:rPr>
        <w:t xml:space="preserve">The Division concluded that the Licensee was apparently liable for </w:t>
      </w:r>
      <w:r w:rsidR="00322C4E" w:rsidRPr="00635A5F">
        <w:rPr>
          <w:szCs w:val="22"/>
        </w:rPr>
        <w:t>a forfeiture in the amount of $16</w:t>
      </w:r>
      <w:r w:rsidRPr="00635A5F">
        <w:rPr>
          <w:szCs w:val="22"/>
        </w:rPr>
        <w:t xml:space="preserve">,000.  The </w:t>
      </w:r>
      <w:r w:rsidRPr="00635A5F">
        <w:rPr>
          <w:i/>
          <w:szCs w:val="22"/>
        </w:rPr>
        <w:t>NAL</w:t>
      </w:r>
      <w:r w:rsidRPr="00635A5F">
        <w:rPr>
          <w:szCs w:val="22"/>
        </w:rPr>
        <w:t xml:space="preserve"> also admonished the Licensee for apparently willful</w:t>
      </w:r>
      <w:r w:rsidR="000511FB" w:rsidRPr="00635A5F">
        <w:rPr>
          <w:szCs w:val="22"/>
        </w:rPr>
        <w:t>ly and/or repeatedly violating s</w:t>
      </w:r>
      <w:r w:rsidRPr="00635A5F">
        <w:rPr>
          <w:szCs w:val="22"/>
        </w:rPr>
        <w:t>ection 73.3526(b)(2) of the Rules by failing to upload (i.e. file)</w:t>
      </w:r>
      <w:r w:rsidR="00635A5F">
        <w:rPr>
          <w:szCs w:val="22"/>
        </w:rPr>
        <w:t xml:space="preserve"> in a timely manner</w:t>
      </w:r>
      <w:r w:rsidR="00695F62">
        <w:rPr>
          <w:szCs w:val="22"/>
        </w:rPr>
        <w:t xml:space="preserve"> </w:t>
      </w:r>
      <w:r w:rsidR="007755FA" w:rsidRPr="00635A5F">
        <w:rPr>
          <w:szCs w:val="22"/>
        </w:rPr>
        <w:t xml:space="preserve">copies of </w:t>
      </w:r>
      <w:r w:rsidR="00635A5F">
        <w:rPr>
          <w:szCs w:val="22"/>
        </w:rPr>
        <w:t>the Station’s</w:t>
      </w:r>
      <w:r w:rsidR="00635A5F" w:rsidRPr="00635A5F">
        <w:rPr>
          <w:szCs w:val="22"/>
        </w:rPr>
        <w:t xml:space="preserve"> </w:t>
      </w:r>
      <w:r w:rsidR="007755FA" w:rsidRPr="00635A5F">
        <w:rPr>
          <w:szCs w:val="22"/>
        </w:rPr>
        <w:t>quarterly TV issues/programs lists</w:t>
      </w:r>
      <w:r w:rsidR="00635A5F">
        <w:rPr>
          <w:szCs w:val="22"/>
        </w:rPr>
        <w:t xml:space="preserve"> to its electronic public file (e-pif).</w:t>
      </w:r>
      <w:r w:rsidR="00635A5F" w:rsidRPr="00635A5F">
        <w:rPr>
          <w:rStyle w:val="FootnoteReference"/>
          <w:sz w:val="22"/>
          <w:szCs w:val="22"/>
        </w:rPr>
        <w:t xml:space="preserve"> </w:t>
      </w:r>
      <w:r w:rsidR="00635A5F" w:rsidRPr="00635A5F">
        <w:rPr>
          <w:rStyle w:val="FootnoteReference"/>
          <w:sz w:val="22"/>
          <w:szCs w:val="22"/>
        </w:rPr>
        <w:footnoteReference w:id="10"/>
      </w:r>
      <w:r w:rsidR="007755FA" w:rsidRPr="00635A5F">
        <w:rPr>
          <w:szCs w:val="22"/>
        </w:rPr>
        <w:t xml:space="preserve">  </w:t>
      </w:r>
    </w:p>
    <w:p w14:paraId="08F564EF" w14:textId="3FB4CC2A" w:rsidR="00141B3D" w:rsidRDefault="009D0B9A" w:rsidP="00EA2291">
      <w:pPr>
        <w:pStyle w:val="ParaNum"/>
        <w:widowControl/>
        <w:rPr>
          <w:spacing w:val="-2"/>
          <w:szCs w:val="22"/>
        </w:rPr>
      </w:pPr>
      <w:r w:rsidRPr="00635A5F">
        <w:rPr>
          <w:szCs w:val="22"/>
        </w:rPr>
        <w:t xml:space="preserve">In its </w:t>
      </w:r>
      <w:r w:rsidR="00B43BB6" w:rsidRPr="00635A5F">
        <w:rPr>
          <w:szCs w:val="22"/>
        </w:rPr>
        <w:t>R</w:t>
      </w:r>
      <w:r w:rsidR="007755FA" w:rsidRPr="00635A5F">
        <w:rPr>
          <w:szCs w:val="22"/>
        </w:rPr>
        <w:t xml:space="preserve">esponse, </w:t>
      </w:r>
      <w:r w:rsidR="00EE1CF1" w:rsidRPr="00635A5F">
        <w:rPr>
          <w:szCs w:val="22"/>
        </w:rPr>
        <w:t xml:space="preserve">the </w:t>
      </w:r>
      <w:r w:rsidR="00ED0434" w:rsidRPr="00635A5F">
        <w:rPr>
          <w:szCs w:val="22"/>
        </w:rPr>
        <w:t>Licensee</w:t>
      </w:r>
      <w:r w:rsidR="00EE1CF1" w:rsidRPr="00635A5F">
        <w:rPr>
          <w:szCs w:val="22"/>
        </w:rPr>
        <w:t xml:space="preserve"> </w:t>
      </w:r>
      <w:r w:rsidR="007755FA" w:rsidRPr="00635A5F">
        <w:rPr>
          <w:szCs w:val="22"/>
        </w:rPr>
        <w:t xml:space="preserve">denies the violations set forth in the </w:t>
      </w:r>
      <w:r w:rsidR="007755FA" w:rsidRPr="00635A5F">
        <w:rPr>
          <w:i/>
          <w:szCs w:val="22"/>
        </w:rPr>
        <w:t>NAL</w:t>
      </w:r>
      <w:r w:rsidR="007755FA" w:rsidRPr="00635A5F">
        <w:rPr>
          <w:szCs w:val="22"/>
        </w:rPr>
        <w:t>.</w:t>
      </w:r>
      <w:r w:rsidR="007755FA" w:rsidRPr="00635A5F">
        <w:rPr>
          <w:szCs w:val="22"/>
          <w:vertAlign w:val="superscript"/>
        </w:rPr>
        <w:footnoteReference w:id="11"/>
      </w:r>
      <w:r w:rsidR="007755FA" w:rsidRPr="00635A5F">
        <w:rPr>
          <w:szCs w:val="22"/>
        </w:rPr>
        <w:t xml:space="preserve">  </w:t>
      </w:r>
      <w:r w:rsidR="008D4547">
        <w:rPr>
          <w:szCs w:val="22"/>
        </w:rPr>
        <w:t>First, t</w:t>
      </w:r>
      <w:r w:rsidR="007755FA" w:rsidRPr="00635A5F">
        <w:rPr>
          <w:szCs w:val="22"/>
        </w:rPr>
        <w:t>he Licensee provides evidence in the form of</w:t>
      </w:r>
      <w:r w:rsidR="00702BA6" w:rsidRPr="00635A5F">
        <w:rPr>
          <w:szCs w:val="22"/>
        </w:rPr>
        <w:t xml:space="preserve"> Children’s </w:t>
      </w:r>
      <w:r w:rsidR="00ED0434" w:rsidRPr="00635A5F">
        <w:rPr>
          <w:szCs w:val="22"/>
        </w:rPr>
        <w:t>Television</w:t>
      </w:r>
      <w:r w:rsidR="008D4547">
        <w:rPr>
          <w:szCs w:val="22"/>
        </w:rPr>
        <w:t xml:space="preserve"> Programming</w:t>
      </w:r>
      <w:r w:rsidR="00ED0434" w:rsidRPr="00635A5F">
        <w:rPr>
          <w:szCs w:val="22"/>
        </w:rPr>
        <w:t xml:space="preserve"> </w:t>
      </w:r>
      <w:r w:rsidR="00702BA6" w:rsidRPr="00635A5F">
        <w:rPr>
          <w:szCs w:val="22"/>
        </w:rPr>
        <w:t>Report</w:t>
      </w:r>
      <w:r w:rsidR="007755FA" w:rsidRPr="00635A5F">
        <w:rPr>
          <w:szCs w:val="22"/>
        </w:rPr>
        <w:t xml:space="preserve"> submission confirmation pages and email correspondence with Division </w:t>
      </w:r>
      <w:r w:rsidR="00A528B9">
        <w:rPr>
          <w:szCs w:val="22"/>
        </w:rPr>
        <w:t>s</w:t>
      </w:r>
      <w:r w:rsidR="007755FA" w:rsidRPr="00635A5F">
        <w:rPr>
          <w:szCs w:val="22"/>
        </w:rPr>
        <w:t>taff to demonstrate that the</w:t>
      </w:r>
      <w:r w:rsidR="00702BA6" w:rsidRPr="00635A5F">
        <w:rPr>
          <w:szCs w:val="22"/>
        </w:rPr>
        <w:t xml:space="preserve"> </w:t>
      </w:r>
      <w:r w:rsidR="00773573">
        <w:rPr>
          <w:szCs w:val="22"/>
        </w:rPr>
        <w:t xml:space="preserve">five </w:t>
      </w:r>
      <w:r w:rsidR="007755FA" w:rsidRPr="00635A5F">
        <w:rPr>
          <w:szCs w:val="22"/>
        </w:rPr>
        <w:t xml:space="preserve">Children’s Television </w:t>
      </w:r>
      <w:r w:rsidR="00A528B9">
        <w:rPr>
          <w:szCs w:val="22"/>
        </w:rPr>
        <w:t xml:space="preserve">Programming </w:t>
      </w:r>
      <w:r w:rsidR="007755FA" w:rsidRPr="00635A5F">
        <w:rPr>
          <w:szCs w:val="22"/>
        </w:rPr>
        <w:t>Reports</w:t>
      </w:r>
      <w:r w:rsidR="00773573">
        <w:rPr>
          <w:szCs w:val="22"/>
        </w:rPr>
        <w:t xml:space="preserve"> at issue</w:t>
      </w:r>
      <w:r w:rsidR="007755FA" w:rsidRPr="00635A5F">
        <w:rPr>
          <w:szCs w:val="22"/>
        </w:rPr>
        <w:t xml:space="preserve"> were in fact timely filed</w:t>
      </w:r>
      <w:r w:rsidR="00702BA6" w:rsidRPr="00635A5F">
        <w:rPr>
          <w:szCs w:val="22"/>
        </w:rPr>
        <w:t xml:space="preserve"> or were excused due to technical </w:t>
      </w:r>
      <w:r w:rsidR="000511FB" w:rsidRPr="00635A5F">
        <w:rPr>
          <w:szCs w:val="22"/>
        </w:rPr>
        <w:t>on-line filing</w:t>
      </w:r>
      <w:r w:rsidR="00702BA6" w:rsidRPr="00635A5F">
        <w:rPr>
          <w:szCs w:val="22"/>
        </w:rPr>
        <w:t xml:space="preserve"> difficulties</w:t>
      </w:r>
      <w:r w:rsidR="007755FA" w:rsidRPr="00635A5F">
        <w:rPr>
          <w:szCs w:val="22"/>
        </w:rPr>
        <w:t>.</w:t>
      </w:r>
      <w:r w:rsidR="008F427D" w:rsidRPr="00635A5F">
        <w:rPr>
          <w:rStyle w:val="FootnoteReference"/>
          <w:sz w:val="22"/>
          <w:szCs w:val="22"/>
        </w:rPr>
        <w:footnoteReference w:id="12"/>
      </w:r>
      <w:r w:rsidR="000511FB" w:rsidRPr="00635A5F">
        <w:rPr>
          <w:szCs w:val="22"/>
        </w:rPr>
        <w:t xml:space="preserve">  </w:t>
      </w:r>
      <w:r w:rsidR="00A528B9">
        <w:rPr>
          <w:szCs w:val="22"/>
        </w:rPr>
        <w:t>As a result, t</w:t>
      </w:r>
      <w:r w:rsidR="00ED0434" w:rsidRPr="00635A5F">
        <w:rPr>
          <w:szCs w:val="22"/>
        </w:rPr>
        <w:t>he Licensee</w:t>
      </w:r>
      <w:r w:rsidR="00702BA6" w:rsidRPr="00635A5F">
        <w:rPr>
          <w:szCs w:val="22"/>
        </w:rPr>
        <w:t xml:space="preserve"> </w:t>
      </w:r>
      <w:r w:rsidR="00A528B9">
        <w:rPr>
          <w:szCs w:val="22"/>
        </w:rPr>
        <w:t>requests</w:t>
      </w:r>
      <w:r w:rsidR="00A528B9" w:rsidRPr="00635A5F">
        <w:rPr>
          <w:szCs w:val="22"/>
        </w:rPr>
        <w:t xml:space="preserve"> </w:t>
      </w:r>
      <w:r w:rsidR="00702BA6" w:rsidRPr="00635A5F">
        <w:rPr>
          <w:szCs w:val="22"/>
        </w:rPr>
        <w:t xml:space="preserve">that the </w:t>
      </w:r>
      <w:r w:rsidR="00ED0434" w:rsidRPr="00635A5F">
        <w:rPr>
          <w:szCs w:val="22"/>
        </w:rPr>
        <w:t>proposed</w:t>
      </w:r>
      <w:r w:rsidR="00702BA6" w:rsidRPr="00635A5F">
        <w:rPr>
          <w:szCs w:val="22"/>
        </w:rPr>
        <w:t xml:space="preserve"> forfeiture of $3,000 for </w:t>
      </w:r>
      <w:r w:rsidR="00141B3D">
        <w:rPr>
          <w:szCs w:val="22"/>
        </w:rPr>
        <w:t>failing to file in a timely manner copies of its Chi</w:t>
      </w:r>
      <w:r w:rsidR="00EA2291">
        <w:rPr>
          <w:szCs w:val="22"/>
        </w:rPr>
        <w:t>ldren</w:t>
      </w:r>
      <w:r w:rsidR="00141B3D">
        <w:rPr>
          <w:szCs w:val="22"/>
        </w:rPr>
        <w:t>’s Television Programming Reports, as well as the proposed $3,000 forf</w:t>
      </w:r>
      <w:r w:rsidR="00EA2291">
        <w:rPr>
          <w:szCs w:val="22"/>
        </w:rPr>
        <w:t>ei</w:t>
      </w:r>
      <w:r w:rsidR="00141B3D">
        <w:rPr>
          <w:szCs w:val="22"/>
        </w:rPr>
        <w:t>ture for failing to report its late filings</w:t>
      </w:r>
      <w:r w:rsidR="007E20F5">
        <w:rPr>
          <w:szCs w:val="22"/>
        </w:rPr>
        <w:t>,</w:t>
      </w:r>
      <w:r w:rsidR="00141B3D">
        <w:rPr>
          <w:szCs w:val="22"/>
        </w:rPr>
        <w:t xml:space="preserve"> </w:t>
      </w:r>
      <w:r w:rsidR="00ED0434" w:rsidRPr="00635A5F">
        <w:rPr>
          <w:szCs w:val="22"/>
        </w:rPr>
        <w:t>should be eliminated</w:t>
      </w:r>
      <w:r w:rsidR="00702BA6" w:rsidRPr="00635A5F">
        <w:rPr>
          <w:szCs w:val="22"/>
        </w:rPr>
        <w:t>.</w:t>
      </w:r>
      <w:r w:rsidR="00937CDE" w:rsidRPr="00635A5F">
        <w:rPr>
          <w:rStyle w:val="FootnoteReference"/>
          <w:sz w:val="22"/>
          <w:szCs w:val="22"/>
        </w:rPr>
        <w:footnoteReference w:id="13"/>
      </w:r>
      <w:r w:rsidR="00702BA6" w:rsidRPr="00635A5F">
        <w:rPr>
          <w:spacing w:val="-2"/>
          <w:szCs w:val="22"/>
        </w:rPr>
        <w:t xml:space="preserve">  </w:t>
      </w:r>
    </w:p>
    <w:p w14:paraId="7DEF9DBA" w14:textId="78E01EFD" w:rsidR="007755FA" w:rsidRPr="00141B3D" w:rsidRDefault="008D4547" w:rsidP="00EA2291">
      <w:pPr>
        <w:pStyle w:val="ParaNum"/>
        <w:rPr>
          <w:szCs w:val="22"/>
        </w:rPr>
      </w:pPr>
      <w:r>
        <w:t xml:space="preserve">Second, </w:t>
      </w:r>
      <w:r w:rsidR="007755FA" w:rsidRPr="00635A5F">
        <w:t>the</w:t>
      </w:r>
      <w:r w:rsidR="00EE1CF1" w:rsidRPr="00635A5F">
        <w:t xml:space="preserve"> Licensee </w:t>
      </w:r>
      <w:r>
        <w:t xml:space="preserve">contends that it should not be held liable for the fifteen </w:t>
      </w:r>
      <w:r w:rsidR="00EE1CF1" w:rsidRPr="00635A5F">
        <w:t>quarterly TV issues/programs lists</w:t>
      </w:r>
      <w:r>
        <w:t xml:space="preserve"> that were not placed </w:t>
      </w:r>
      <w:r w:rsidR="00EE1CF1" w:rsidRPr="00635A5F">
        <w:t xml:space="preserve">in the Station’s physical public file </w:t>
      </w:r>
      <w:r w:rsidR="00D6284F" w:rsidRPr="00635A5F">
        <w:t xml:space="preserve">prior </w:t>
      </w:r>
      <w:r w:rsidR="00284EB5" w:rsidRPr="00635A5F">
        <w:t xml:space="preserve">to </w:t>
      </w:r>
      <w:r w:rsidR="00D6284F" w:rsidRPr="00635A5F">
        <w:t xml:space="preserve">February 12, 2013, the </w:t>
      </w:r>
      <w:r w:rsidR="00ED0434" w:rsidRPr="00635A5F">
        <w:t>consummation</w:t>
      </w:r>
      <w:r w:rsidR="00D6284F" w:rsidRPr="00635A5F">
        <w:t xml:space="preserve"> date</w:t>
      </w:r>
      <w:r w:rsidR="00DE7F37" w:rsidRPr="00635A5F">
        <w:t xml:space="preserve"> of</w:t>
      </w:r>
      <w:r w:rsidR="00D6284F" w:rsidRPr="00635A5F">
        <w:t xml:space="preserve"> a pro forma license assignment (FCC Form 316)</w:t>
      </w:r>
      <w:r w:rsidR="00DE7F37" w:rsidRPr="00635A5F">
        <w:t>.</w:t>
      </w:r>
      <w:r w:rsidR="00D6284F" w:rsidRPr="00635A5F">
        <w:rPr>
          <w:rStyle w:val="FootnoteReference"/>
          <w:sz w:val="22"/>
          <w:szCs w:val="22"/>
        </w:rPr>
        <w:footnoteReference w:id="14"/>
      </w:r>
      <w:r w:rsidR="00B73585">
        <w:t xml:space="preserve">  </w:t>
      </w:r>
      <w:r w:rsidR="00250C7C" w:rsidRPr="00635A5F">
        <w:t>The Licensee</w:t>
      </w:r>
      <w:r w:rsidR="00250C7C">
        <w:t xml:space="preserve"> </w:t>
      </w:r>
      <w:r>
        <w:t xml:space="preserve">contends </w:t>
      </w:r>
      <w:r w:rsidR="00250C7C" w:rsidRPr="00635A5F">
        <w:t>that ownership of KUAM changed in February of 2013</w:t>
      </w:r>
      <w:r w:rsidR="00175431">
        <w:t xml:space="preserve"> </w:t>
      </w:r>
      <w:r w:rsidR="00250C7C" w:rsidRPr="00635A5F">
        <w:t>when the Commission approved a long form transfer of control (FCC Form 315)</w:t>
      </w:r>
      <w:r w:rsidR="00250C7C" w:rsidRPr="00635A5F">
        <w:rPr>
          <w:rStyle w:val="FootnoteReference"/>
          <w:sz w:val="22"/>
          <w:szCs w:val="22"/>
        </w:rPr>
        <w:footnoteReference w:id="15"/>
      </w:r>
      <w:r w:rsidR="00250C7C" w:rsidRPr="00635A5F">
        <w:t xml:space="preserve"> of the Station followed by a pro forma license assignment (FCC Form 316)</w:t>
      </w:r>
      <w:r w:rsidR="00175431">
        <w:t>.</w:t>
      </w:r>
      <w:r w:rsidR="00250C7C" w:rsidRPr="00635A5F">
        <w:rPr>
          <w:rStyle w:val="FootnoteReference"/>
          <w:sz w:val="22"/>
          <w:szCs w:val="22"/>
        </w:rPr>
        <w:footnoteReference w:id="16"/>
      </w:r>
      <w:r w:rsidR="00175431">
        <w:t xml:space="preserve">  When taken together the Licensee </w:t>
      </w:r>
      <w:r w:rsidR="005333B1">
        <w:t>argues</w:t>
      </w:r>
      <w:r w:rsidR="00175431">
        <w:t xml:space="preserve"> that these transactions</w:t>
      </w:r>
      <w:r w:rsidR="00175431" w:rsidRPr="00635A5F">
        <w:t xml:space="preserve"> comprise an effective lo</w:t>
      </w:r>
      <w:r w:rsidR="00175431">
        <w:t>n</w:t>
      </w:r>
      <w:r w:rsidR="00175431" w:rsidRPr="00635A5F">
        <w:t>g form assignment of license thereby severing liability.</w:t>
      </w:r>
      <w:r w:rsidR="009F3B25">
        <w:rPr>
          <w:rStyle w:val="FootnoteReference"/>
        </w:rPr>
        <w:footnoteReference w:id="17"/>
      </w:r>
      <w:r w:rsidR="00175431">
        <w:t xml:space="preserve">  Accordingly, </w:t>
      </w:r>
      <w:r w:rsidR="00D03D39">
        <w:t xml:space="preserve">Licensee states that </w:t>
      </w:r>
      <w:r w:rsidR="00175431">
        <w:t>it cannot be held liable for acts or omission</w:t>
      </w:r>
      <w:r w:rsidR="00421992">
        <w:t xml:space="preserve"> of another entity.</w:t>
      </w:r>
      <w:r w:rsidR="00421992">
        <w:rPr>
          <w:rStyle w:val="FootnoteReference"/>
          <w:szCs w:val="22"/>
        </w:rPr>
        <w:footnoteReference w:id="18"/>
      </w:r>
      <w:r>
        <w:t xml:space="preserve">  </w:t>
      </w:r>
    </w:p>
    <w:p w14:paraId="6C82F6DB" w14:textId="77777777" w:rsidR="009D0B9A" w:rsidRPr="00635A5F" w:rsidRDefault="009D0B9A" w:rsidP="00253621">
      <w:pPr>
        <w:pStyle w:val="Heading1"/>
        <w:keepNext w:val="0"/>
        <w:suppressAutoHyphens w:val="0"/>
        <w:rPr>
          <w:rFonts w:ascii="Times New Roman" w:hAnsi="Times New Roman"/>
          <w:szCs w:val="22"/>
        </w:rPr>
      </w:pPr>
      <w:r w:rsidRPr="00635A5F">
        <w:rPr>
          <w:rFonts w:ascii="Times New Roman" w:hAnsi="Times New Roman"/>
          <w:szCs w:val="22"/>
        </w:rPr>
        <w:t>DISCUSSION</w:t>
      </w:r>
    </w:p>
    <w:p w14:paraId="77452D5C" w14:textId="799ACA34" w:rsidR="002E1DCE" w:rsidRDefault="002E1DCE" w:rsidP="00A32948">
      <w:pPr>
        <w:pStyle w:val="ParaNum"/>
        <w:tabs>
          <w:tab w:val="num" w:pos="1260"/>
        </w:tabs>
        <w:rPr>
          <w:szCs w:val="22"/>
        </w:rPr>
      </w:pPr>
      <w:r w:rsidRPr="00635A5F">
        <w:rPr>
          <w:szCs w:val="22"/>
        </w:rPr>
        <w:t xml:space="preserve">As we set forth in greater detail below, we conclude that the Licensee is liable for a forfeiture </w:t>
      </w:r>
      <w:r w:rsidR="00421992">
        <w:rPr>
          <w:szCs w:val="22"/>
        </w:rPr>
        <w:t xml:space="preserve">in the amount of $10,000 </w:t>
      </w:r>
      <w:r w:rsidRPr="00635A5F">
        <w:rPr>
          <w:szCs w:val="22"/>
        </w:rPr>
        <w:t xml:space="preserve">for </w:t>
      </w:r>
      <w:r w:rsidR="00421992">
        <w:rPr>
          <w:szCs w:val="22"/>
        </w:rPr>
        <w:t xml:space="preserve">its </w:t>
      </w:r>
      <w:r w:rsidRPr="00635A5F">
        <w:rPr>
          <w:szCs w:val="22"/>
        </w:rPr>
        <w:t xml:space="preserve">willful and/or repeated violations of </w:t>
      </w:r>
      <w:r w:rsidR="000511FB" w:rsidRPr="00635A5F">
        <w:rPr>
          <w:szCs w:val="22"/>
        </w:rPr>
        <w:t>s</w:t>
      </w:r>
      <w:r w:rsidRPr="00635A5F">
        <w:rPr>
          <w:szCs w:val="22"/>
        </w:rPr>
        <w:t xml:space="preserve">ection 73.3526(e)(11)(i) of </w:t>
      </w:r>
      <w:r w:rsidR="00421992">
        <w:rPr>
          <w:szCs w:val="22"/>
        </w:rPr>
        <w:t>R</w:t>
      </w:r>
      <w:r w:rsidRPr="00635A5F">
        <w:rPr>
          <w:szCs w:val="22"/>
        </w:rPr>
        <w:t>ules.</w:t>
      </w:r>
      <w:r w:rsidR="0019115D" w:rsidRPr="00635A5F">
        <w:rPr>
          <w:szCs w:val="22"/>
        </w:rPr>
        <w:t xml:space="preserve">  </w:t>
      </w:r>
      <w:r w:rsidR="00421992">
        <w:rPr>
          <w:szCs w:val="22"/>
        </w:rPr>
        <w:t>Based on the evidence provided in the Response w</w:t>
      </w:r>
      <w:r w:rsidR="0019115D" w:rsidRPr="00635A5F">
        <w:rPr>
          <w:szCs w:val="22"/>
        </w:rPr>
        <w:t>e</w:t>
      </w:r>
      <w:r w:rsidR="00421992">
        <w:rPr>
          <w:szCs w:val="22"/>
        </w:rPr>
        <w:t xml:space="preserve"> also</w:t>
      </w:r>
      <w:r w:rsidR="0019115D" w:rsidRPr="00635A5F">
        <w:rPr>
          <w:szCs w:val="22"/>
        </w:rPr>
        <w:t xml:space="preserve"> cancel the </w:t>
      </w:r>
      <w:r w:rsidR="00ED0434" w:rsidRPr="00635A5F">
        <w:rPr>
          <w:szCs w:val="22"/>
        </w:rPr>
        <w:t>proposed</w:t>
      </w:r>
      <w:r w:rsidR="00A32948" w:rsidRPr="00635A5F">
        <w:rPr>
          <w:szCs w:val="22"/>
        </w:rPr>
        <w:t xml:space="preserve"> forfeiture</w:t>
      </w:r>
      <w:r w:rsidR="00421992">
        <w:rPr>
          <w:szCs w:val="22"/>
        </w:rPr>
        <w:t>s</w:t>
      </w:r>
      <w:r w:rsidR="00A32948" w:rsidRPr="00635A5F">
        <w:rPr>
          <w:szCs w:val="22"/>
        </w:rPr>
        <w:t xml:space="preserve"> for </w:t>
      </w:r>
      <w:r w:rsidR="004C2213" w:rsidRPr="00635A5F">
        <w:rPr>
          <w:szCs w:val="22"/>
        </w:rPr>
        <w:t xml:space="preserve">the </w:t>
      </w:r>
      <w:r w:rsidR="004C2213" w:rsidRPr="00635A5F">
        <w:rPr>
          <w:szCs w:val="22"/>
        </w:rPr>
        <w:lastRenderedPageBreak/>
        <w:t>untimely</w:t>
      </w:r>
      <w:r w:rsidR="00A32948" w:rsidRPr="00635A5F">
        <w:rPr>
          <w:szCs w:val="22"/>
        </w:rPr>
        <w:t xml:space="preserve"> Children’s Television Report filings and failure to report the untimely filed Children’s Television Report </w:t>
      </w:r>
      <w:r w:rsidR="00F746FD" w:rsidRPr="00635A5F">
        <w:rPr>
          <w:szCs w:val="22"/>
        </w:rPr>
        <w:t>in</w:t>
      </w:r>
      <w:r w:rsidR="00EA3977" w:rsidRPr="00635A5F">
        <w:rPr>
          <w:szCs w:val="22"/>
        </w:rPr>
        <w:t xml:space="preserve"> the Renewal A</w:t>
      </w:r>
      <w:r w:rsidR="00A32948" w:rsidRPr="00635A5F">
        <w:rPr>
          <w:szCs w:val="22"/>
        </w:rPr>
        <w:t>ppl</w:t>
      </w:r>
      <w:r w:rsidR="00937CDE" w:rsidRPr="00635A5F">
        <w:rPr>
          <w:szCs w:val="22"/>
        </w:rPr>
        <w:t>ication</w:t>
      </w:r>
      <w:r w:rsidR="00A32948" w:rsidRPr="00635A5F">
        <w:rPr>
          <w:szCs w:val="22"/>
        </w:rPr>
        <w:t xml:space="preserve">.  </w:t>
      </w:r>
      <w:r w:rsidR="004C2213" w:rsidRPr="00635A5F">
        <w:rPr>
          <w:szCs w:val="22"/>
        </w:rPr>
        <w:t>We conclude</w:t>
      </w:r>
      <w:r w:rsidRPr="00635A5F">
        <w:rPr>
          <w:szCs w:val="22"/>
        </w:rPr>
        <w:t xml:space="preserve"> that the forfeiture amount should be reduced to $10,000.</w:t>
      </w:r>
    </w:p>
    <w:p w14:paraId="2B287852" w14:textId="77777777" w:rsidR="00695F62" w:rsidRPr="00695F62" w:rsidRDefault="002E1DCE" w:rsidP="00695F62">
      <w:pPr>
        <w:pStyle w:val="ParaNum"/>
        <w:tabs>
          <w:tab w:val="num" w:pos="1260"/>
        </w:tabs>
        <w:rPr>
          <w:szCs w:val="22"/>
        </w:rPr>
      </w:pPr>
      <w:r w:rsidRPr="00695F62">
        <w:rPr>
          <w:szCs w:val="22"/>
        </w:rPr>
        <w:t>The Commission is authorized to license radio and television broadcast stations and is responsible for enforcing the Commission’s rules and applicable statutory provisions concerning the operation of those stations.  Under section 503(b)(1) of the Act, any person who is determined by the Commission to have willfully or repeatedly failed to comply with any provision of the Act or any rule, regulation, or order issued by the Commission shall be liable to the United States for a forfeiture penalty.</w:t>
      </w:r>
      <w:r w:rsidRPr="00635A5F">
        <w:rPr>
          <w:rStyle w:val="FootnoteReference"/>
          <w:color w:val="000000"/>
          <w:sz w:val="22"/>
          <w:szCs w:val="22"/>
        </w:rPr>
        <w:footnoteReference w:id="19"/>
      </w:r>
      <w:r w:rsidRPr="00695F62">
        <w:rPr>
          <w:szCs w:val="22"/>
        </w:rPr>
        <w:t xml:space="preserve">  </w:t>
      </w:r>
      <w:r w:rsidR="00D315E2" w:rsidRPr="00695F62">
        <w:rPr>
          <w:szCs w:val="22"/>
        </w:rPr>
        <w:t xml:space="preserve">  </w:t>
      </w:r>
      <w:r w:rsidRPr="00695F62">
        <w:rPr>
          <w:szCs w:val="22"/>
        </w:rPr>
        <w:t>In order to impose a forfeiture penalty, the Commission must issue a notice of apparent liability, the notice must be received, and the person against whom the notice has been issued must have an opportunity to show, in writing, why no such penalty should be imposed.</w:t>
      </w:r>
      <w:r w:rsidRPr="00635A5F">
        <w:rPr>
          <w:rStyle w:val="FootnoteReference"/>
          <w:sz w:val="22"/>
          <w:szCs w:val="22"/>
        </w:rPr>
        <w:footnoteReference w:id="20"/>
      </w:r>
      <w:r w:rsidRPr="00695F62">
        <w:rPr>
          <w:szCs w:val="22"/>
        </w:rPr>
        <w:t xml:space="preserve">  The Commission will then issue a forfeiture order if it finds by a preponderance of the evidence that the person has violated the Act or a Commission rule.</w:t>
      </w:r>
      <w:r w:rsidRPr="00635A5F">
        <w:rPr>
          <w:rStyle w:val="FootnoteReference"/>
          <w:sz w:val="22"/>
          <w:szCs w:val="22"/>
        </w:rPr>
        <w:footnoteReference w:id="21"/>
      </w:r>
      <w:r w:rsidRPr="00695F62">
        <w:rPr>
          <w:szCs w:val="22"/>
        </w:rPr>
        <w:t xml:space="preserve">  </w:t>
      </w:r>
    </w:p>
    <w:p w14:paraId="3E4FC5AF" w14:textId="2C7D4DCD" w:rsidR="00D315E2" w:rsidRPr="00695F62" w:rsidRDefault="00D315E2" w:rsidP="00695F62">
      <w:pPr>
        <w:pStyle w:val="ParaNum"/>
        <w:tabs>
          <w:tab w:val="num" w:pos="1260"/>
        </w:tabs>
        <w:spacing w:after="220"/>
        <w:rPr>
          <w:spacing w:val="-2"/>
          <w:szCs w:val="22"/>
        </w:rPr>
      </w:pPr>
      <w:r w:rsidRPr="00695F62">
        <w:rPr>
          <w:szCs w:val="22"/>
        </w:rPr>
        <w:t xml:space="preserve">As </w:t>
      </w:r>
      <w:r w:rsidR="00695F62" w:rsidRPr="00695F62">
        <w:rPr>
          <w:szCs w:val="22"/>
        </w:rPr>
        <w:t xml:space="preserve">an initial matter we find that </w:t>
      </w:r>
      <w:r w:rsidR="00AA435E" w:rsidRPr="00695F62">
        <w:rPr>
          <w:szCs w:val="22"/>
        </w:rPr>
        <w:t>Licensee’s showing demonstra</w:t>
      </w:r>
      <w:r w:rsidR="004C2213" w:rsidRPr="00695F62">
        <w:rPr>
          <w:szCs w:val="22"/>
        </w:rPr>
        <w:t>tes that</w:t>
      </w:r>
      <w:r w:rsidR="00421992" w:rsidRPr="00695F62">
        <w:rPr>
          <w:szCs w:val="22"/>
        </w:rPr>
        <w:t xml:space="preserve"> the</w:t>
      </w:r>
      <w:r w:rsidR="00AA435E" w:rsidRPr="00695F62">
        <w:rPr>
          <w:szCs w:val="22"/>
        </w:rPr>
        <w:t xml:space="preserve"> </w:t>
      </w:r>
      <w:r w:rsidR="00421992" w:rsidRPr="00695F62">
        <w:rPr>
          <w:szCs w:val="22"/>
        </w:rPr>
        <w:t xml:space="preserve">five </w:t>
      </w:r>
      <w:r w:rsidR="00AA435E" w:rsidRPr="00695F62">
        <w:rPr>
          <w:szCs w:val="22"/>
        </w:rPr>
        <w:t xml:space="preserve">Children’s Television </w:t>
      </w:r>
      <w:r w:rsidR="00421992" w:rsidRPr="00695F62">
        <w:rPr>
          <w:szCs w:val="22"/>
        </w:rPr>
        <w:t xml:space="preserve">Programming </w:t>
      </w:r>
      <w:r w:rsidR="00AA435E" w:rsidRPr="00695F62">
        <w:rPr>
          <w:szCs w:val="22"/>
        </w:rPr>
        <w:t>Report</w:t>
      </w:r>
      <w:r w:rsidR="004C2213" w:rsidRPr="00695F62">
        <w:rPr>
          <w:szCs w:val="22"/>
        </w:rPr>
        <w:t>s in question</w:t>
      </w:r>
      <w:r w:rsidR="004C2213" w:rsidRPr="00635A5F">
        <w:rPr>
          <w:rStyle w:val="FootnoteReference"/>
          <w:sz w:val="22"/>
          <w:szCs w:val="22"/>
        </w:rPr>
        <w:footnoteReference w:id="22"/>
      </w:r>
      <w:r w:rsidR="00AA435E" w:rsidRPr="00695F62">
        <w:rPr>
          <w:szCs w:val="22"/>
        </w:rPr>
        <w:t xml:space="preserve"> were filed</w:t>
      </w:r>
      <w:r w:rsidR="00421992" w:rsidRPr="00695F62">
        <w:rPr>
          <w:szCs w:val="22"/>
        </w:rPr>
        <w:t xml:space="preserve"> in a</w:t>
      </w:r>
      <w:r w:rsidR="00AA435E" w:rsidRPr="00695F62">
        <w:rPr>
          <w:szCs w:val="22"/>
        </w:rPr>
        <w:t xml:space="preserve"> timely</w:t>
      </w:r>
      <w:r w:rsidR="00421992" w:rsidRPr="00695F62">
        <w:rPr>
          <w:szCs w:val="22"/>
        </w:rPr>
        <w:t xml:space="preserve"> manner</w:t>
      </w:r>
      <w:r w:rsidR="00AA435E" w:rsidRPr="00695F62">
        <w:rPr>
          <w:szCs w:val="22"/>
        </w:rPr>
        <w:t>.  Moreover, because those reports were timely filed, the</w:t>
      </w:r>
      <w:r w:rsidR="007E20F5">
        <w:rPr>
          <w:szCs w:val="22"/>
        </w:rPr>
        <w:t xml:space="preserve">re were no related violations for the </w:t>
      </w:r>
      <w:r w:rsidR="007E20F5" w:rsidRPr="00695F62">
        <w:rPr>
          <w:szCs w:val="22"/>
        </w:rPr>
        <w:t>Licensee</w:t>
      </w:r>
      <w:r w:rsidR="00AA435E" w:rsidRPr="00695F62">
        <w:rPr>
          <w:szCs w:val="22"/>
        </w:rPr>
        <w:t xml:space="preserve"> to report on </w:t>
      </w:r>
      <w:r w:rsidR="00421992" w:rsidRPr="00695F62">
        <w:rPr>
          <w:szCs w:val="22"/>
        </w:rPr>
        <w:t>its R</w:t>
      </w:r>
      <w:r w:rsidR="00AA435E" w:rsidRPr="00695F62">
        <w:rPr>
          <w:szCs w:val="22"/>
        </w:rPr>
        <w:t xml:space="preserve">enewal </w:t>
      </w:r>
      <w:r w:rsidR="00421992" w:rsidRPr="00695F62">
        <w:rPr>
          <w:szCs w:val="22"/>
        </w:rPr>
        <w:t>A</w:t>
      </w:r>
      <w:r w:rsidR="00AA435E" w:rsidRPr="00695F62">
        <w:rPr>
          <w:szCs w:val="22"/>
        </w:rPr>
        <w:t>pplication</w:t>
      </w:r>
      <w:r w:rsidR="00421992" w:rsidRPr="00695F62">
        <w:rPr>
          <w:szCs w:val="22"/>
        </w:rPr>
        <w:t xml:space="preserve">.  Accordingly, the </w:t>
      </w:r>
      <w:r w:rsidR="0058781D">
        <w:rPr>
          <w:szCs w:val="22"/>
        </w:rPr>
        <w:t>$6</w:t>
      </w:r>
      <w:r w:rsidRPr="00695F62">
        <w:rPr>
          <w:szCs w:val="22"/>
        </w:rPr>
        <w:t>,000</w:t>
      </w:r>
      <w:r w:rsidR="00532D6E" w:rsidRPr="00695F62">
        <w:rPr>
          <w:szCs w:val="22"/>
        </w:rPr>
        <w:t xml:space="preserve"> </w:t>
      </w:r>
      <w:r w:rsidR="00A33812">
        <w:rPr>
          <w:szCs w:val="22"/>
        </w:rPr>
        <w:t xml:space="preserve">combined </w:t>
      </w:r>
      <w:r w:rsidR="00F515FC">
        <w:rPr>
          <w:szCs w:val="22"/>
        </w:rPr>
        <w:t xml:space="preserve">proposed </w:t>
      </w:r>
      <w:r w:rsidR="00AA435E" w:rsidRPr="00695F62">
        <w:rPr>
          <w:szCs w:val="22"/>
        </w:rPr>
        <w:t xml:space="preserve">forfeiture for </w:t>
      </w:r>
      <w:r w:rsidRPr="00695F62">
        <w:rPr>
          <w:szCs w:val="22"/>
        </w:rPr>
        <w:t xml:space="preserve">its </w:t>
      </w:r>
      <w:r w:rsidR="00AA435E" w:rsidRPr="00695F62">
        <w:rPr>
          <w:szCs w:val="22"/>
        </w:rPr>
        <w:t>apparent violation</w:t>
      </w:r>
      <w:r w:rsidRPr="00695F62">
        <w:rPr>
          <w:szCs w:val="22"/>
        </w:rPr>
        <w:t xml:space="preserve">s of </w:t>
      </w:r>
      <w:r w:rsidR="008E799C">
        <w:rPr>
          <w:szCs w:val="22"/>
        </w:rPr>
        <w:t>section</w:t>
      </w:r>
      <w:r w:rsidR="00DC4CC5">
        <w:rPr>
          <w:szCs w:val="22"/>
        </w:rPr>
        <w:t>s</w:t>
      </w:r>
      <w:r w:rsidR="008E799C">
        <w:rPr>
          <w:szCs w:val="22"/>
        </w:rPr>
        <w:t xml:space="preserve"> </w:t>
      </w:r>
      <w:r w:rsidR="00F515FC" w:rsidRPr="00635A5F">
        <w:rPr>
          <w:szCs w:val="22"/>
        </w:rPr>
        <w:t xml:space="preserve">73.3526(e)(11)(iii) </w:t>
      </w:r>
      <w:r w:rsidR="00F515FC">
        <w:rPr>
          <w:szCs w:val="22"/>
        </w:rPr>
        <w:t xml:space="preserve">and </w:t>
      </w:r>
      <w:r w:rsidR="0058781D">
        <w:rPr>
          <w:szCs w:val="22"/>
        </w:rPr>
        <w:t>73.3514(a) is</w:t>
      </w:r>
      <w:r w:rsidR="00532D6E" w:rsidRPr="00695F62">
        <w:rPr>
          <w:szCs w:val="22"/>
        </w:rPr>
        <w:t xml:space="preserve"> cancelled</w:t>
      </w:r>
      <w:r w:rsidR="00AA435E" w:rsidRPr="00695F62">
        <w:rPr>
          <w:szCs w:val="22"/>
        </w:rPr>
        <w:t xml:space="preserve">.  </w:t>
      </w:r>
    </w:p>
    <w:p w14:paraId="155F902F" w14:textId="15721A28" w:rsidR="002E1DCE" w:rsidRPr="00635A5F" w:rsidRDefault="00AA435E" w:rsidP="00486F86">
      <w:pPr>
        <w:pStyle w:val="ParaNum"/>
        <w:rPr>
          <w:szCs w:val="22"/>
        </w:rPr>
      </w:pPr>
      <w:r w:rsidRPr="00635A5F">
        <w:rPr>
          <w:szCs w:val="22"/>
        </w:rPr>
        <w:t xml:space="preserve">With regard to </w:t>
      </w:r>
      <w:r w:rsidR="00695F62">
        <w:rPr>
          <w:szCs w:val="22"/>
        </w:rPr>
        <w:t xml:space="preserve">the </w:t>
      </w:r>
      <w:r w:rsidR="004C2213" w:rsidRPr="00635A5F">
        <w:rPr>
          <w:szCs w:val="22"/>
        </w:rPr>
        <w:t>Licensee’s failure</w:t>
      </w:r>
      <w:r w:rsidRPr="00635A5F">
        <w:rPr>
          <w:szCs w:val="22"/>
        </w:rPr>
        <w:t xml:space="preserve"> to timely place hard copies of its quarterly TV issues/programs lists in the Station’s physical public for </w:t>
      </w:r>
      <w:r w:rsidR="00D315E2">
        <w:rPr>
          <w:szCs w:val="22"/>
        </w:rPr>
        <w:t>fifteen</w:t>
      </w:r>
      <w:r w:rsidR="00D315E2" w:rsidRPr="00635A5F">
        <w:rPr>
          <w:szCs w:val="22"/>
        </w:rPr>
        <w:t xml:space="preserve"> </w:t>
      </w:r>
      <w:r w:rsidRPr="00635A5F">
        <w:rPr>
          <w:szCs w:val="22"/>
        </w:rPr>
        <w:t>quarters,</w:t>
      </w:r>
      <w:r w:rsidRPr="00635A5F">
        <w:rPr>
          <w:rStyle w:val="FootnoteReference"/>
          <w:sz w:val="22"/>
          <w:szCs w:val="22"/>
        </w:rPr>
        <w:footnoteReference w:id="23"/>
      </w:r>
      <w:r w:rsidR="00ED0434" w:rsidRPr="00635A5F">
        <w:rPr>
          <w:szCs w:val="22"/>
        </w:rPr>
        <w:t xml:space="preserve"> we</w:t>
      </w:r>
      <w:r w:rsidR="00D315E2">
        <w:rPr>
          <w:szCs w:val="22"/>
        </w:rPr>
        <w:t xml:space="preserve"> find that the Licensee is liable in </w:t>
      </w:r>
      <w:r w:rsidR="00405CA5">
        <w:rPr>
          <w:szCs w:val="22"/>
        </w:rPr>
        <w:t>the</w:t>
      </w:r>
      <w:r w:rsidR="00D315E2">
        <w:rPr>
          <w:szCs w:val="22"/>
        </w:rPr>
        <w:t xml:space="preserve"> amount of $10,000 for its violation of </w:t>
      </w:r>
      <w:r w:rsidR="00E502D0">
        <w:rPr>
          <w:szCs w:val="22"/>
        </w:rPr>
        <w:t>s</w:t>
      </w:r>
      <w:r w:rsidR="00D315E2">
        <w:rPr>
          <w:szCs w:val="22"/>
        </w:rPr>
        <w:t xml:space="preserve">ection 73.3526(e)(11)(i).  We </w:t>
      </w:r>
      <w:r w:rsidR="00ED0434" w:rsidRPr="00635A5F">
        <w:rPr>
          <w:szCs w:val="22"/>
        </w:rPr>
        <w:t>reject the Licensee’s</w:t>
      </w:r>
      <w:r w:rsidRPr="00635A5F">
        <w:rPr>
          <w:szCs w:val="22"/>
        </w:rPr>
        <w:t xml:space="preserve"> argument that a long form transfer of control and a</w:t>
      </w:r>
      <w:r w:rsidR="00486F86" w:rsidRPr="00635A5F">
        <w:rPr>
          <w:szCs w:val="22"/>
        </w:rPr>
        <w:t xml:space="preserve"> pro forma license assignment </w:t>
      </w:r>
      <w:r w:rsidR="007E20F5">
        <w:rPr>
          <w:szCs w:val="22"/>
        </w:rPr>
        <w:t xml:space="preserve">together </w:t>
      </w:r>
      <w:r w:rsidRPr="00635A5F">
        <w:rPr>
          <w:szCs w:val="22"/>
        </w:rPr>
        <w:t>comprise an effective lo</w:t>
      </w:r>
      <w:r w:rsidR="00A0496D" w:rsidRPr="00635A5F">
        <w:rPr>
          <w:szCs w:val="22"/>
        </w:rPr>
        <w:t>n</w:t>
      </w:r>
      <w:r w:rsidRPr="00635A5F">
        <w:rPr>
          <w:szCs w:val="22"/>
        </w:rPr>
        <w:t xml:space="preserve">g form </w:t>
      </w:r>
      <w:r w:rsidR="00ED0434" w:rsidRPr="00635A5F">
        <w:rPr>
          <w:szCs w:val="22"/>
        </w:rPr>
        <w:t>assignment</w:t>
      </w:r>
      <w:r w:rsidRPr="00635A5F">
        <w:rPr>
          <w:szCs w:val="22"/>
        </w:rPr>
        <w:t xml:space="preserve"> of </w:t>
      </w:r>
      <w:r w:rsidR="00ED0434" w:rsidRPr="00635A5F">
        <w:rPr>
          <w:szCs w:val="22"/>
        </w:rPr>
        <w:t>license</w:t>
      </w:r>
      <w:r w:rsidRPr="00635A5F">
        <w:rPr>
          <w:szCs w:val="22"/>
        </w:rPr>
        <w:t xml:space="preserve"> thereby severing liability.</w:t>
      </w:r>
      <w:r w:rsidRPr="00635A5F">
        <w:rPr>
          <w:rStyle w:val="FootnoteReference"/>
          <w:sz w:val="22"/>
          <w:szCs w:val="22"/>
        </w:rPr>
        <w:footnoteReference w:id="24"/>
      </w:r>
      <w:r w:rsidRPr="00635A5F">
        <w:rPr>
          <w:szCs w:val="22"/>
        </w:rPr>
        <w:t xml:space="preserve">  As stated in the </w:t>
      </w:r>
      <w:r w:rsidRPr="00635A5F">
        <w:rPr>
          <w:i/>
          <w:szCs w:val="22"/>
        </w:rPr>
        <w:t>NAL</w:t>
      </w:r>
      <w:r w:rsidR="0019115D" w:rsidRPr="00635A5F">
        <w:rPr>
          <w:szCs w:val="22"/>
        </w:rPr>
        <w:t xml:space="preserve">, </w:t>
      </w:r>
      <w:r w:rsidR="0019115D" w:rsidRPr="00635A5F">
        <w:rPr>
          <w:spacing w:val="-2"/>
          <w:szCs w:val="22"/>
        </w:rPr>
        <w:t>t</w:t>
      </w:r>
      <w:r w:rsidRPr="00635A5F">
        <w:rPr>
          <w:spacing w:val="-2"/>
          <w:szCs w:val="22"/>
        </w:rPr>
        <w:t>he Video Division has consistently followed Commission precedent holding that</w:t>
      </w:r>
      <w:r w:rsidRPr="00635A5F">
        <w:rPr>
          <w:color w:val="000000"/>
          <w:szCs w:val="22"/>
        </w:rPr>
        <w:t xml:space="preserve"> “[t]ransfer of control of the licensee’s stock subsequent to a violation does </w:t>
      </w:r>
      <w:r w:rsidRPr="00635A5F">
        <w:rPr>
          <w:i/>
          <w:color w:val="000000"/>
          <w:szCs w:val="22"/>
        </w:rPr>
        <w:t xml:space="preserve">not </w:t>
      </w:r>
      <w:r w:rsidRPr="00635A5F">
        <w:rPr>
          <w:color w:val="000000"/>
          <w:szCs w:val="22"/>
        </w:rPr>
        <w:t>excuse the licensee for the violation</w:t>
      </w:r>
      <w:r w:rsidR="00D315E2">
        <w:rPr>
          <w:spacing w:val="-2"/>
          <w:szCs w:val="22"/>
        </w:rPr>
        <w:t>.</w:t>
      </w:r>
      <w:r w:rsidR="0019115D" w:rsidRPr="00635A5F">
        <w:rPr>
          <w:spacing w:val="-2"/>
          <w:szCs w:val="22"/>
        </w:rPr>
        <w:t>”</w:t>
      </w:r>
      <w:r w:rsidR="0019115D" w:rsidRPr="00635A5F">
        <w:rPr>
          <w:rStyle w:val="FootnoteReference"/>
          <w:spacing w:val="-2"/>
          <w:sz w:val="22"/>
          <w:szCs w:val="22"/>
        </w:rPr>
        <w:footnoteReference w:id="25"/>
      </w:r>
      <w:r w:rsidR="008E799C">
        <w:rPr>
          <w:spacing w:val="-2"/>
          <w:szCs w:val="22"/>
        </w:rPr>
        <w:t xml:space="preserve">  </w:t>
      </w:r>
      <w:r w:rsidR="00077CD0">
        <w:rPr>
          <w:spacing w:val="-2"/>
          <w:szCs w:val="22"/>
        </w:rPr>
        <w:t>Without citing any legal support, t</w:t>
      </w:r>
      <w:r w:rsidR="00FE54DB">
        <w:rPr>
          <w:spacing w:val="-2"/>
          <w:szCs w:val="22"/>
        </w:rPr>
        <w:t>he Licensee</w:t>
      </w:r>
      <w:r w:rsidR="0063475E">
        <w:rPr>
          <w:spacing w:val="-2"/>
          <w:szCs w:val="22"/>
        </w:rPr>
        <w:t xml:space="preserve"> argues </w:t>
      </w:r>
      <w:r w:rsidR="00FE54DB">
        <w:rPr>
          <w:spacing w:val="-2"/>
          <w:szCs w:val="22"/>
        </w:rPr>
        <w:t>that</w:t>
      </w:r>
      <w:r w:rsidR="0063475E">
        <w:rPr>
          <w:spacing w:val="-2"/>
          <w:szCs w:val="22"/>
        </w:rPr>
        <w:t>,</w:t>
      </w:r>
      <w:r w:rsidR="00FE54DB">
        <w:rPr>
          <w:spacing w:val="-2"/>
          <w:szCs w:val="22"/>
        </w:rPr>
        <w:t xml:space="preserve"> because it originally failed to file its consummation notice in connection the long form </w:t>
      </w:r>
      <w:r w:rsidR="00FE54DB" w:rsidRPr="00532D6E">
        <w:rPr>
          <w:szCs w:val="22"/>
        </w:rPr>
        <w:t xml:space="preserve">transfer of control and </w:t>
      </w:r>
      <w:r w:rsidR="00FE54DB">
        <w:rPr>
          <w:szCs w:val="22"/>
        </w:rPr>
        <w:t xml:space="preserve">only filed a consummation notice for </w:t>
      </w:r>
      <w:r w:rsidR="0063475E">
        <w:rPr>
          <w:szCs w:val="22"/>
        </w:rPr>
        <w:t>its subsequent</w:t>
      </w:r>
      <w:r w:rsidR="00FE54DB" w:rsidRPr="00532D6E">
        <w:rPr>
          <w:szCs w:val="22"/>
        </w:rPr>
        <w:t xml:space="preserve"> pro forma assignment</w:t>
      </w:r>
      <w:r w:rsidR="00E03944">
        <w:rPr>
          <w:szCs w:val="22"/>
        </w:rPr>
        <w:t xml:space="preserve"> of license</w:t>
      </w:r>
      <w:r w:rsidR="0063475E">
        <w:rPr>
          <w:szCs w:val="22"/>
        </w:rPr>
        <w:t>,</w:t>
      </w:r>
      <w:r w:rsidR="00FE54DB" w:rsidRPr="00532D6E">
        <w:rPr>
          <w:szCs w:val="22"/>
        </w:rPr>
        <w:t xml:space="preserve"> </w:t>
      </w:r>
      <w:r w:rsidR="00FE54DB">
        <w:rPr>
          <w:szCs w:val="22"/>
        </w:rPr>
        <w:t>the two transaction</w:t>
      </w:r>
      <w:r w:rsidR="009F3B25">
        <w:rPr>
          <w:szCs w:val="22"/>
        </w:rPr>
        <w:t>s</w:t>
      </w:r>
      <w:r w:rsidR="00FE54DB">
        <w:rPr>
          <w:szCs w:val="22"/>
        </w:rPr>
        <w:t xml:space="preserve"> were </w:t>
      </w:r>
      <w:r w:rsidR="00FE54DB" w:rsidRPr="00532D6E">
        <w:rPr>
          <w:szCs w:val="22"/>
        </w:rPr>
        <w:t>effective</w:t>
      </w:r>
      <w:r w:rsidR="00FE54DB">
        <w:rPr>
          <w:szCs w:val="22"/>
        </w:rPr>
        <w:t>ly a</w:t>
      </w:r>
      <w:r w:rsidR="00FE54DB" w:rsidRPr="00532D6E">
        <w:rPr>
          <w:szCs w:val="22"/>
        </w:rPr>
        <w:t xml:space="preserve"> </w:t>
      </w:r>
      <w:r w:rsidR="0063475E">
        <w:rPr>
          <w:szCs w:val="22"/>
        </w:rPr>
        <w:t xml:space="preserve">long form assignment of license and </w:t>
      </w:r>
      <w:r w:rsidR="00FE54DB" w:rsidRPr="00532D6E">
        <w:t>“the new ownership acquired the license into a new entity.”</w:t>
      </w:r>
      <w:r w:rsidR="0063475E" w:rsidRPr="0063475E">
        <w:rPr>
          <w:rStyle w:val="FootnoteReference"/>
        </w:rPr>
        <w:t xml:space="preserve"> </w:t>
      </w:r>
      <w:r w:rsidR="0063475E">
        <w:rPr>
          <w:rStyle w:val="FootnoteReference"/>
        </w:rPr>
        <w:footnoteReference w:id="26"/>
      </w:r>
      <w:r w:rsidR="00FE54DB" w:rsidRPr="00532D6E">
        <w:t xml:space="preserve"> </w:t>
      </w:r>
      <w:r w:rsidR="0063475E">
        <w:t xml:space="preserve"> </w:t>
      </w:r>
      <w:r w:rsidR="00B630D4">
        <w:t>By definition, a pro forma assignment of license involves no substantial change in a station’s ownership or control and, furthermore, does not create a break in the chain of liability.</w:t>
      </w:r>
      <w:r w:rsidR="00B630D4">
        <w:rPr>
          <w:rStyle w:val="FootnoteReference"/>
        </w:rPr>
        <w:footnoteReference w:id="27"/>
      </w:r>
      <w:r w:rsidR="00B630D4">
        <w:t xml:space="preserve">  Likewise, a</w:t>
      </w:r>
      <w:r w:rsidR="00077CD0" w:rsidRPr="00635A5F">
        <w:rPr>
          <w:spacing w:val="-2"/>
          <w:szCs w:val="22"/>
        </w:rPr>
        <w:t xml:space="preserve"> pro forma assignment (FCC Form 316)</w:t>
      </w:r>
      <w:r w:rsidR="00077CD0">
        <w:rPr>
          <w:spacing w:val="-2"/>
          <w:szCs w:val="22"/>
        </w:rPr>
        <w:t xml:space="preserve">, </w:t>
      </w:r>
      <w:r w:rsidR="00077CD0" w:rsidRPr="00635A5F">
        <w:rPr>
          <w:spacing w:val="-2"/>
          <w:szCs w:val="22"/>
        </w:rPr>
        <w:t xml:space="preserve">following a long form transfer of control (FCC Form 315) does not relieve </w:t>
      </w:r>
      <w:r w:rsidR="00B630D4">
        <w:rPr>
          <w:spacing w:val="-2"/>
          <w:szCs w:val="22"/>
        </w:rPr>
        <w:t xml:space="preserve">the Licensee </w:t>
      </w:r>
      <w:r w:rsidR="009F3B25">
        <w:rPr>
          <w:spacing w:val="-2"/>
          <w:szCs w:val="22"/>
        </w:rPr>
        <w:t xml:space="preserve">of </w:t>
      </w:r>
      <w:r w:rsidR="00077CD0" w:rsidRPr="00635A5F">
        <w:rPr>
          <w:spacing w:val="-2"/>
          <w:szCs w:val="22"/>
        </w:rPr>
        <w:t>liability for violations during the license term.</w:t>
      </w:r>
      <w:r w:rsidR="00077CD0" w:rsidRPr="00635A5F">
        <w:rPr>
          <w:rStyle w:val="FootnoteReference"/>
          <w:spacing w:val="-2"/>
          <w:sz w:val="22"/>
          <w:szCs w:val="22"/>
        </w:rPr>
        <w:footnoteReference w:id="28"/>
      </w:r>
      <w:r w:rsidR="00077CD0" w:rsidRPr="00635A5F">
        <w:rPr>
          <w:spacing w:val="-2"/>
          <w:szCs w:val="22"/>
        </w:rPr>
        <w:t xml:space="preserve"> </w:t>
      </w:r>
      <w:r w:rsidR="00077CD0">
        <w:rPr>
          <w:spacing w:val="-2"/>
          <w:szCs w:val="22"/>
        </w:rPr>
        <w:t xml:space="preserve"> In addition, </w:t>
      </w:r>
      <w:r w:rsidR="00077CD0">
        <w:t>following</w:t>
      </w:r>
      <w:r w:rsidR="00077CD0" w:rsidRPr="00532D6E">
        <w:t xml:space="preserve"> conversations with Video Division Staff, </w:t>
      </w:r>
      <w:r w:rsidR="00077CD0">
        <w:t xml:space="preserve">the </w:t>
      </w:r>
      <w:r w:rsidR="00077CD0" w:rsidRPr="00532D6E">
        <w:t xml:space="preserve">Licensee has </w:t>
      </w:r>
      <w:r w:rsidR="00077CD0">
        <w:t>filed</w:t>
      </w:r>
      <w:r w:rsidR="00077CD0" w:rsidRPr="00532D6E">
        <w:t xml:space="preserve"> a consummation notice for the long form transfer of control</w:t>
      </w:r>
      <w:r w:rsidR="00077CD0">
        <w:t>, making this issue moot.</w:t>
      </w:r>
      <w:r w:rsidR="00E03944">
        <w:rPr>
          <w:rStyle w:val="FootnoteReference"/>
        </w:rPr>
        <w:footnoteReference w:id="29"/>
      </w:r>
      <w:r w:rsidR="00077CD0">
        <w:t xml:space="preserve"> </w:t>
      </w:r>
      <w:r w:rsidR="00077CD0">
        <w:rPr>
          <w:spacing w:val="-2"/>
          <w:szCs w:val="22"/>
        </w:rPr>
        <w:t xml:space="preserve"> </w:t>
      </w:r>
      <w:r w:rsidR="00D315E2">
        <w:rPr>
          <w:spacing w:val="-2"/>
          <w:szCs w:val="22"/>
        </w:rPr>
        <w:t>T</w:t>
      </w:r>
      <w:r w:rsidR="00ED0434" w:rsidRPr="00635A5F">
        <w:rPr>
          <w:spacing w:val="-2"/>
          <w:szCs w:val="22"/>
        </w:rPr>
        <w:t>herefore</w:t>
      </w:r>
      <w:r w:rsidRPr="00635A5F">
        <w:rPr>
          <w:spacing w:val="-2"/>
          <w:szCs w:val="22"/>
        </w:rPr>
        <w:t>, there is no basis by which the transfer of control of the Licensee</w:t>
      </w:r>
      <w:r w:rsidR="00E03944">
        <w:rPr>
          <w:spacing w:val="-2"/>
          <w:szCs w:val="22"/>
        </w:rPr>
        <w:t xml:space="preserve"> or the subsequent pro forma assignment</w:t>
      </w:r>
      <w:r w:rsidRPr="00635A5F">
        <w:rPr>
          <w:rStyle w:val="FootnoteReference"/>
          <w:spacing w:val="-2"/>
          <w:sz w:val="22"/>
          <w:szCs w:val="22"/>
        </w:rPr>
        <w:footnoteReference w:id="30"/>
      </w:r>
      <w:r w:rsidR="0019115D" w:rsidRPr="00635A5F">
        <w:rPr>
          <w:spacing w:val="-2"/>
          <w:szCs w:val="22"/>
        </w:rPr>
        <w:t xml:space="preserve"> </w:t>
      </w:r>
      <w:r w:rsidR="00D315E2">
        <w:rPr>
          <w:spacing w:val="-2"/>
          <w:szCs w:val="22"/>
        </w:rPr>
        <w:t>would</w:t>
      </w:r>
      <w:r w:rsidR="0019115D" w:rsidRPr="00635A5F">
        <w:rPr>
          <w:spacing w:val="-2"/>
          <w:szCs w:val="22"/>
        </w:rPr>
        <w:t xml:space="preserve"> excuse the </w:t>
      </w:r>
      <w:r w:rsidR="004C2213" w:rsidRPr="00635A5F">
        <w:rPr>
          <w:spacing w:val="-2"/>
          <w:szCs w:val="22"/>
        </w:rPr>
        <w:t>identified public f</w:t>
      </w:r>
      <w:r w:rsidR="00486F86" w:rsidRPr="00635A5F">
        <w:rPr>
          <w:spacing w:val="-2"/>
          <w:szCs w:val="22"/>
        </w:rPr>
        <w:t>ile</w:t>
      </w:r>
      <w:r w:rsidR="00A03CB3" w:rsidRPr="00635A5F">
        <w:rPr>
          <w:spacing w:val="-2"/>
          <w:szCs w:val="22"/>
        </w:rPr>
        <w:t xml:space="preserve"> </w:t>
      </w:r>
      <w:r w:rsidRPr="00635A5F">
        <w:rPr>
          <w:spacing w:val="-2"/>
          <w:szCs w:val="22"/>
        </w:rPr>
        <w:t>violations.</w:t>
      </w:r>
      <w:r w:rsidR="00FE54DB" w:rsidRPr="00FE54DB">
        <w:rPr>
          <w:rStyle w:val="FootnoteReference"/>
          <w:szCs w:val="22"/>
        </w:rPr>
        <w:t xml:space="preserve"> </w:t>
      </w:r>
      <w:r w:rsidR="00FE54DB">
        <w:rPr>
          <w:rStyle w:val="FootnoteReference"/>
          <w:szCs w:val="22"/>
        </w:rPr>
        <w:footnoteReference w:id="31"/>
      </w:r>
      <w:r w:rsidRPr="00635A5F">
        <w:rPr>
          <w:spacing w:val="-2"/>
          <w:szCs w:val="22"/>
        </w:rPr>
        <w:t xml:space="preserve">  </w:t>
      </w:r>
    </w:p>
    <w:p w14:paraId="0E2B2B1A" w14:textId="7E4A5977" w:rsidR="002E1DCE" w:rsidRPr="00635A5F" w:rsidRDefault="0019115D" w:rsidP="00A32948">
      <w:pPr>
        <w:pStyle w:val="ParaNum"/>
        <w:tabs>
          <w:tab w:val="num" w:pos="1080"/>
          <w:tab w:val="left" w:pos="1440"/>
        </w:tabs>
        <w:spacing w:after="220"/>
        <w:jc w:val="both"/>
        <w:rPr>
          <w:szCs w:val="22"/>
        </w:rPr>
      </w:pPr>
      <w:r w:rsidRPr="00635A5F">
        <w:rPr>
          <w:szCs w:val="22"/>
        </w:rPr>
        <w:t xml:space="preserve">The Commission’s </w:t>
      </w:r>
      <w:r w:rsidRPr="00635A5F">
        <w:rPr>
          <w:i/>
          <w:szCs w:val="22"/>
        </w:rPr>
        <w:t>Forfeiture Policy Statement</w:t>
      </w:r>
      <w:r w:rsidR="008E799C">
        <w:rPr>
          <w:szCs w:val="22"/>
        </w:rPr>
        <w:t xml:space="preserve"> and s</w:t>
      </w:r>
      <w:r w:rsidRPr="00635A5F">
        <w:rPr>
          <w:szCs w:val="22"/>
        </w:rPr>
        <w:t>ection 1.80(b)(4) of the Rules establish a base forfeiture amount of $10,000 for public file violations.</w:t>
      </w:r>
      <w:r w:rsidRPr="00635A5F">
        <w:rPr>
          <w:rStyle w:val="FootnoteReference"/>
          <w:sz w:val="22"/>
          <w:szCs w:val="22"/>
        </w:rPr>
        <w:footnoteReference w:id="32"/>
      </w:r>
      <w:r w:rsidRPr="00635A5F">
        <w:rPr>
          <w:szCs w:val="22"/>
        </w:rPr>
        <w:t xml:space="preserve">  In determining the appropriate forfeiture amount, we may adjust the base amount upward or downward by conside</w:t>
      </w:r>
      <w:r w:rsidR="008E799C">
        <w:rPr>
          <w:szCs w:val="22"/>
        </w:rPr>
        <w:t>ring the factors enumerated in s</w:t>
      </w:r>
      <w:r w:rsidRPr="00635A5F">
        <w:rPr>
          <w:szCs w:val="22"/>
        </w:rPr>
        <w:t>ection 503(b)(2)(D) of the Act, including “the nature, circumstances, extent and gravity of the violation, and, with respect to the violator, the degree of culpability, any history of prior offenses, ability to pay, and such other matters as justice may require.”</w:t>
      </w:r>
      <w:r w:rsidRPr="00635A5F">
        <w:rPr>
          <w:rStyle w:val="FootnoteReference"/>
          <w:sz w:val="22"/>
          <w:szCs w:val="22"/>
        </w:rPr>
        <w:footnoteReference w:id="33"/>
      </w:r>
      <w:r w:rsidR="00532D6E">
        <w:rPr>
          <w:szCs w:val="22"/>
        </w:rPr>
        <w:t xml:space="preserve">  </w:t>
      </w:r>
      <w:r w:rsidR="00ED0434" w:rsidRPr="00635A5F">
        <w:rPr>
          <w:szCs w:val="22"/>
        </w:rPr>
        <w:t>The Licensee</w:t>
      </w:r>
      <w:r w:rsidRPr="00635A5F">
        <w:rPr>
          <w:szCs w:val="22"/>
        </w:rPr>
        <w:t xml:space="preserve"> </w:t>
      </w:r>
      <w:r w:rsidR="00640A19" w:rsidRPr="00635A5F">
        <w:rPr>
          <w:szCs w:val="22"/>
        </w:rPr>
        <w:t>does not demonstrate</w:t>
      </w:r>
      <w:r w:rsidR="00A32948" w:rsidRPr="00635A5F">
        <w:rPr>
          <w:szCs w:val="22"/>
        </w:rPr>
        <w:t xml:space="preserve"> any o</w:t>
      </w:r>
      <w:r w:rsidR="00ED0434" w:rsidRPr="00635A5F">
        <w:rPr>
          <w:szCs w:val="22"/>
        </w:rPr>
        <w:t>f the enumerated</w:t>
      </w:r>
      <w:r w:rsidR="00A32948" w:rsidRPr="00635A5F">
        <w:rPr>
          <w:szCs w:val="22"/>
        </w:rPr>
        <w:t xml:space="preserve"> factors </w:t>
      </w:r>
      <w:r w:rsidR="00ED0434" w:rsidRPr="00635A5F">
        <w:rPr>
          <w:szCs w:val="22"/>
        </w:rPr>
        <w:t>warranting</w:t>
      </w:r>
      <w:r w:rsidR="00A32948" w:rsidRPr="00635A5F">
        <w:rPr>
          <w:szCs w:val="22"/>
        </w:rPr>
        <w:t xml:space="preserve"> a reduction of </w:t>
      </w:r>
      <w:r w:rsidR="00ED0434" w:rsidRPr="00635A5F">
        <w:rPr>
          <w:szCs w:val="22"/>
        </w:rPr>
        <w:t>forfeiture</w:t>
      </w:r>
      <w:r w:rsidR="00A32948" w:rsidRPr="00635A5F">
        <w:rPr>
          <w:szCs w:val="22"/>
        </w:rPr>
        <w:t xml:space="preserve"> for </w:t>
      </w:r>
      <w:r w:rsidR="00D315E2">
        <w:rPr>
          <w:szCs w:val="22"/>
        </w:rPr>
        <w:t>its</w:t>
      </w:r>
      <w:r w:rsidR="00532D6E">
        <w:rPr>
          <w:szCs w:val="22"/>
        </w:rPr>
        <w:t xml:space="preserve"> </w:t>
      </w:r>
      <w:r w:rsidR="00640A19" w:rsidRPr="00635A5F">
        <w:rPr>
          <w:szCs w:val="22"/>
        </w:rPr>
        <w:t xml:space="preserve">failure to </w:t>
      </w:r>
      <w:r w:rsidR="008E799C">
        <w:rPr>
          <w:szCs w:val="22"/>
        </w:rPr>
        <w:t xml:space="preserve">timely </w:t>
      </w:r>
      <w:r w:rsidR="00640A19" w:rsidRPr="00635A5F">
        <w:rPr>
          <w:szCs w:val="22"/>
        </w:rPr>
        <w:t xml:space="preserve">place </w:t>
      </w:r>
      <w:r w:rsidR="00D315E2">
        <w:rPr>
          <w:szCs w:val="22"/>
        </w:rPr>
        <w:t>in</w:t>
      </w:r>
      <w:r w:rsidR="008E799C">
        <w:rPr>
          <w:szCs w:val="22"/>
        </w:rPr>
        <w:t xml:space="preserve"> the Station’s public file </w:t>
      </w:r>
      <w:r w:rsidR="00640A19" w:rsidRPr="00635A5F">
        <w:rPr>
          <w:szCs w:val="22"/>
        </w:rPr>
        <w:t>quarterly</w:t>
      </w:r>
      <w:r w:rsidR="00D315E2">
        <w:rPr>
          <w:szCs w:val="22"/>
        </w:rPr>
        <w:t xml:space="preserve"> TV</w:t>
      </w:r>
      <w:r w:rsidR="00640A19" w:rsidRPr="00635A5F">
        <w:rPr>
          <w:szCs w:val="22"/>
        </w:rPr>
        <w:t xml:space="preserve"> issues/programs lists for fifteen quarters</w:t>
      </w:r>
      <w:r w:rsidR="00A32948" w:rsidRPr="00635A5F">
        <w:rPr>
          <w:szCs w:val="22"/>
        </w:rPr>
        <w:t xml:space="preserve">.  </w:t>
      </w:r>
      <w:r w:rsidRPr="00635A5F">
        <w:rPr>
          <w:spacing w:val="-2"/>
          <w:szCs w:val="22"/>
        </w:rPr>
        <w:t>Accordingly, we find that the Licensee</w:t>
      </w:r>
      <w:r w:rsidR="00A32948" w:rsidRPr="00635A5F">
        <w:rPr>
          <w:spacing w:val="-2"/>
          <w:szCs w:val="22"/>
        </w:rPr>
        <w:t xml:space="preserve"> is liable in the amount of $10</w:t>
      </w:r>
      <w:r w:rsidRPr="00635A5F">
        <w:rPr>
          <w:spacing w:val="-2"/>
          <w:szCs w:val="22"/>
        </w:rPr>
        <w:t>,000 for its willful</w:t>
      </w:r>
      <w:r w:rsidR="00CF3003" w:rsidRPr="00635A5F">
        <w:rPr>
          <w:spacing w:val="-2"/>
          <w:szCs w:val="22"/>
        </w:rPr>
        <w:t xml:space="preserve"> and/or repeated violations of s</w:t>
      </w:r>
      <w:r w:rsidR="00A0496D" w:rsidRPr="00635A5F">
        <w:rPr>
          <w:spacing w:val="-2"/>
          <w:szCs w:val="22"/>
        </w:rPr>
        <w:t>ection</w:t>
      </w:r>
      <w:r w:rsidRPr="00635A5F">
        <w:rPr>
          <w:spacing w:val="-2"/>
          <w:szCs w:val="22"/>
        </w:rPr>
        <w:t xml:space="preserve"> </w:t>
      </w:r>
      <w:r w:rsidR="00A32948" w:rsidRPr="00635A5F">
        <w:rPr>
          <w:szCs w:val="22"/>
        </w:rPr>
        <w:t xml:space="preserve">73.3526(e)(11)(i) of the </w:t>
      </w:r>
      <w:r w:rsidRPr="00635A5F">
        <w:rPr>
          <w:spacing w:val="-2"/>
          <w:szCs w:val="22"/>
        </w:rPr>
        <w:t>Rules.</w:t>
      </w:r>
      <w:r w:rsidR="005534FA">
        <w:rPr>
          <w:rStyle w:val="FootnoteReference"/>
          <w:spacing w:val="-2"/>
          <w:szCs w:val="22"/>
        </w:rPr>
        <w:footnoteReference w:id="34"/>
      </w:r>
      <w:r w:rsidRPr="00635A5F">
        <w:rPr>
          <w:spacing w:val="-2"/>
          <w:szCs w:val="22"/>
        </w:rPr>
        <w:t xml:space="preserve"> </w:t>
      </w:r>
    </w:p>
    <w:p w14:paraId="292137A0" w14:textId="77777777" w:rsidR="009D0B9A" w:rsidRPr="00635A5F" w:rsidRDefault="009D0B9A" w:rsidP="00253621">
      <w:pPr>
        <w:pStyle w:val="Heading1"/>
        <w:rPr>
          <w:rFonts w:ascii="Times New Roman" w:hAnsi="Times New Roman"/>
          <w:szCs w:val="22"/>
        </w:rPr>
      </w:pPr>
      <w:r w:rsidRPr="00635A5F">
        <w:rPr>
          <w:rFonts w:ascii="Times New Roman" w:hAnsi="Times New Roman"/>
          <w:szCs w:val="22"/>
        </w:rPr>
        <w:t>ORDERING CLAUSES</w:t>
      </w:r>
    </w:p>
    <w:p w14:paraId="7A5FAAEC" w14:textId="78DBFA7C" w:rsidR="009D0B9A" w:rsidRPr="00635A5F" w:rsidRDefault="009D0B9A" w:rsidP="00253621">
      <w:pPr>
        <w:pStyle w:val="ParaNum"/>
        <w:rPr>
          <w:szCs w:val="22"/>
        </w:rPr>
      </w:pPr>
      <w:r w:rsidRPr="00635A5F">
        <w:rPr>
          <w:szCs w:val="22"/>
        </w:rPr>
        <w:t>ACCORDINGLY, IT IS ORDERED THAT, pursuant to section 503(b) of the Communication</w:t>
      </w:r>
      <w:r w:rsidR="00CF3003" w:rsidRPr="00635A5F">
        <w:rPr>
          <w:szCs w:val="22"/>
        </w:rPr>
        <w:t>s Act of 1934, as amended, and s</w:t>
      </w:r>
      <w:r w:rsidRPr="00635A5F">
        <w:rPr>
          <w:szCs w:val="22"/>
        </w:rPr>
        <w:t>ections 0.61(f)(1) and 1.80(a)(1) and (2) of the Commission’s rules</w:t>
      </w:r>
      <w:r w:rsidRPr="00635A5F">
        <w:rPr>
          <w:spacing w:val="-2"/>
          <w:szCs w:val="22"/>
        </w:rPr>
        <w:t>,</w:t>
      </w:r>
      <w:r w:rsidR="00231B4F" w:rsidRPr="00635A5F">
        <w:rPr>
          <w:spacing w:val="-2"/>
          <w:szCs w:val="22"/>
          <w:vertAlign w:val="superscript"/>
        </w:rPr>
        <w:footnoteReference w:id="35"/>
      </w:r>
      <w:r w:rsidR="008E799C">
        <w:rPr>
          <w:szCs w:val="22"/>
        </w:rPr>
        <w:t xml:space="preserve"> Pacific Telestations, LLC</w:t>
      </w:r>
      <w:r w:rsidR="009D3BC3" w:rsidRPr="00635A5F">
        <w:rPr>
          <w:szCs w:val="22"/>
        </w:rPr>
        <w:t xml:space="preserve"> </w:t>
      </w:r>
      <w:r w:rsidRPr="00635A5F">
        <w:rPr>
          <w:szCs w:val="22"/>
        </w:rPr>
        <w:t>SHALL FORFEIT to th</w:t>
      </w:r>
      <w:r w:rsidR="002E1DCE" w:rsidRPr="00635A5F">
        <w:rPr>
          <w:szCs w:val="22"/>
        </w:rPr>
        <w:t>e United States the sum of Ten Thousand Dollars ($10</w:t>
      </w:r>
      <w:r w:rsidRPr="00635A5F">
        <w:rPr>
          <w:szCs w:val="22"/>
        </w:rPr>
        <w:t>,000) for its wil</w:t>
      </w:r>
      <w:r w:rsidR="00CF3003" w:rsidRPr="00635A5F">
        <w:rPr>
          <w:szCs w:val="22"/>
        </w:rPr>
        <w:t>lful and/or repeated violation s</w:t>
      </w:r>
      <w:r w:rsidRPr="00635A5F">
        <w:rPr>
          <w:szCs w:val="22"/>
        </w:rPr>
        <w:t xml:space="preserve">ections </w:t>
      </w:r>
      <w:r w:rsidR="002E1DCE" w:rsidRPr="00635A5F">
        <w:rPr>
          <w:szCs w:val="22"/>
        </w:rPr>
        <w:t>73.3526(e)(11)(i) of Rules.</w:t>
      </w:r>
      <w:r w:rsidR="002E1DCE" w:rsidRPr="00635A5F">
        <w:rPr>
          <w:rStyle w:val="FootnoteReference"/>
          <w:sz w:val="22"/>
          <w:szCs w:val="22"/>
        </w:rPr>
        <w:footnoteReference w:id="36"/>
      </w:r>
      <w:r w:rsidR="002E1DCE" w:rsidRPr="00635A5F">
        <w:rPr>
          <w:szCs w:val="22"/>
        </w:rPr>
        <w:t xml:space="preserve"> </w:t>
      </w:r>
    </w:p>
    <w:p w14:paraId="432D099C" w14:textId="77777777" w:rsidR="009D0B9A" w:rsidRPr="00635A5F" w:rsidRDefault="009D0B9A" w:rsidP="00253621">
      <w:pPr>
        <w:pStyle w:val="ParaNum"/>
        <w:rPr>
          <w:szCs w:val="22"/>
        </w:rPr>
      </w:pPr>
      <w:r w:rsidRPr="00635A5F">
        <w:rPr>
          <w:szCs w:val="22"/>
        </w:rPr>
        <w:t xml:space="preserve">Payment of the forfeiture </w:t>
      </w:r>
      <w:r w:rsidR="00253621" w:rsidRPr="00635A5F">
        <w:rPr>
          <w:szCs w:val="22"/>
        </w:rPr>
        <w:t>SHALL be m</w:t>
      </w:r>
      <w:r w:rsidRPr="00635A5F">
        <w:rPr>
          <w:szCs w:val="22"/>
        </w:rPr>
        <w:t xml:space="preserve">ade in the manner provided for in Section 1.80(h) of the Commission’s rules within thirty (30) calendar days after the release date of this </w:t>
      </w:r>
      <w:r w:rsidRPr="00635A5F">
        <w:rPr>
          <w:i/>
          <w:szCs w:val="22"/>
        </w:rPr>
        <w:t>Forfeiture Order</w:t>
      </w:r>
      <w:r w:rsidRPr="00635A5F">
        <w:rPr>
          <w:szCs w:val="22"/>
        </w:rPr>
        <w:t>.</w:t>
      </w:r>
      <w:r w:rsidRPr="00635A5F">
        <w:rPr>
          <w:szCs w:val="22"/>
          <w:vertAlign w:val="superscript"/>
        </w:rPr>
        <w:footnoteReference w:id="37"/>
      </w:r>
      <w:r w:rsidRPr="00635A5F">
        <w:rPr>
          <w:szCs w:val="22"/>
        </w:rPr>
        <w:t xml:space="preserve">  If the forfeiture is not paid within the period specified, the case may be referred to the U.S. Department of Justice for enforcement</w:t>
      </w:r>
      <w:r w:rsidR="00CF3003" w:rsidRPr="00635A5F">
        <w:rPr>
          <w:szCs w:val="22"/>
        </w:rPr>
        <w:t xml:space="preserve"> of the forfeiture pursuant to s</w:t>
      </w:r>
      <w:r w:rsidRPr="00635A5F">
        <w:rPr>
          <w:szCs w:val="22"/>
        </w:rPr>
        <w:t>ection 504(a) of the Communications Act of 1934, as amended.</w:t>
      </w:r>
      <w:r w:rsidRPr="00635A5F">
        <w:rPr>
          <w:szCs w:val="22"/>
          <w:vertAlign w:val="superscript"/>
        </w:rPr>
        <w:footnoteReference w:id="38"/>
      </w:r>
      <w:r w:rsidRPr="00635A5F">
        <w:rPr>
          <w:szCs w:val="22"/>
        </w:rPr>
        <w:t xml:space="preserve">  </w:t>
      </w:r>
    </w:p>
    <w:p w14:paraId="31D67279" w14:textId="77777777" w:rsidR="00253621" w:rsidRPr="00635A5F" w:rsidRDefault="00253621" w:rsidP="00761488">
      <w:pPr>
        <w:pStyle w:val="ParaNum"/>
        <w:widowControl/>
        <w:rPr>
          <w:szCs w:val="22"/>
        </w:rPr>
      </w:pPr>
      <w:r w:rsidRPr="00635A5F">
        <w:rPr>
          <w:szCs w:val="22"/>
        </w:rPr>
        <w:t xml:space="preserve">Payments of the forfeiture must be made by check or similar instrument, wire transfer, or credit card, and must include the FRN referenced above.  </w:t>
      </w:r>
      <w:r w:rsidRPr="00635A5F">
        <w:rPr>
          <w:iCs/>
          <w:szCs w:val="22"/>
        </w:rPr>
        <w:t>An FCC Form 159 (Remittance Advice) must be submitted with payment unless payment is made online at the Commission’s Fee Filer website</w:t>
      </w:r>
      <w:r w:rsidRPr="00635A5F">
        <w:rPr>
          <w:szCs w:val="22"/>
        </w:rPr>
        <w:t>.</w:t>
      </w:r>
      <w:r w:rsidRPr="00635A5F">
        <w:rPr>
          <w:rStyle w:val="FootnoteReference"/>
          <w:sz w:val="22"/>
          <w:szCs w:val="22"/>
        </w:rPr>
        <w:footnoteReference w:id="39"/>
      </w:r>
      <w:r w:rsidRPr="00635A5F">
        <w:rPr>
          <w:szCs w:val="22"/>
        </w:rPr>
        <w:t xml:space="preserve">  When completing the FCC Form 159, enter the Account Number in block number 23A (call sign/other ID) and enter the letters “FORF” in block number 24A (payment type code).  Below are additional instructions you should follow based on the form of payment you select:</w:t>
      </w:r>
      <w:r w:rsidRPr="00635A5F">
        <w:rPr>
          <w:rStyle w:val="FootnoteReference"/>
          <w:sz w:val="22"/>
          <w:szCs w:val="22"/>
        </w:rPr>
        <w:footnoteReference w:id="40"/>
      </w:r>
      <w:r w:rsidRPr="00635A5F">
        <w:rPr>
          <w:szCs w:val="22"/>
        </w:rPr>
        <w:t xml:space="preserve"> </w:t>
      </w:r>
    </w:p>
    <w:p w14:paraId="0AF26CC5" w14:textId="77777777" w:rsidR="00253621" w:rsidRPr="00635A5F" w:rsidRDefault="00253621" w:rsidP="00253621">
      <w:pPr>
        <w:pStyle w:val="ParaNum"/>
        <w:numPr>
          <w:ilvl w:val="0"/>
          <w:numId w:val="11"/>
        </w:numPr>
        <w:rPr>
          <w:spacing w:val="-2"/>
          <w:szCs w:val="22"/>
        </w:rPr>
      </w:pPr>
      <w:r w:rsidRPr="00635A5F">
        <w:rPr>
          <w:spacing w:val="-2"/>
          <w:szCs w:val="22"/>
        </w:rPr>
        <w:t xml:space="preserve">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14:paraId="114368C2" w14:textId="77777777" w:rsidR="00253621" w:rsidRPr="00635A5F" w:rsidRDefault="00253621" w:rsidP="00253621">
      <w:pPr>
        <w:pStyle w:val="ParaNum"/>
        <w:widowControl/>
        <w:numPr>
          <w:ilvl w:val="0"/>
          <w:numId w:val="11"/>
        </w:numPr>
        <w:rPr>
          <w:spacing w:val="-2"/>
          <w:szCs w:val="22"/>
        </w:rPr>
      </w:pPr>
      <w:r w:rsidRPr="00635A5F">
        <w:rPr>
          <w:spacing w:val="-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62168DE0" w14:textId="77777777" w:rsidR="00253621" w:rsidRPr="00635A5F" w:rsidRDefault="00253621" w:rsidP="00253621">
      <w:pPr>
        <w:pStyle w:val="ParaNum"/>
        <w:numPr>
          <w:ilvl w:val="0"/>
          <w:numId w:val="11"/>
        </w:numPr>
        <w:rPr>
          <w:spacing w:val="-2"/>
          <w:szCs w:val="22"/>
        </w:rPr>
      </w:pPr>
      <w:r w:rsidRPr="00635A5F">
        <w:rPr>
          <w:spacing w:val="-2"/>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14:paraId="164DBB72" w14:textId="77777777" w:rsidR="00B43BB6" w:rsidRPr="00635A5F" w:rsidRDefault="00B43BB6" w:rsidP="00253621">
      <w:pPr>
        <w:pStyle w:val="ParaNum"/>
        <w:rPr>
          <w:szCs w:val="22"/>
        </w:rPr>
      </w:pPr>
      <w:r w:rsidRPr="00635A5F">
        <w:rPr>
          <w:szCs w:val="22"/>
        </w:rPr>
        <w:t xml:space="preserve">Requests for full payment of the forfeiture in this </w:t>
      </w:r>
      <w:r w:rsidRPr="00635A5F">
        <w:rPr>
          <w:i/>
          <w:szCs w:val="22"/>
        </w:rPr>
        <w:t>Forfeiture Order</w:t>
      </w:r>
      <w:r w:rsidRPr="00635A5F">
        <w:rPr>
          <w:szCs w:val="22"/>
        </w:rPr>
        <w:t xml:space="preserve"> under the installment plan should be sent to: Associate Managing Director- Financial Operations, 445 12th Street, S.W., Room 1-A625, Washington, D.C. 20554.</w:t>
      </w:r>
      <w:r w:rsidRPr="00635A5F">
        <w:rPr>
          <w:rStyle w:val="FootnoteReference"/>
          <w:sz w:val="22"/>
          <w:szCs w:val="22"/>
        </w:rPr>
        <w:footnoteReference w:id="41"/>
      </w:r>
    </w:p>
    <w:p w14:paraId="3F1CBB90" w14:textId="77777777" w:rsidR="00AA435E" w:rsidRPr="00635A5F" w:rsidRDefault="009D0B9A" w:rsidP="00AA435E">
      <w:pPr>
        <w:pStyle w:val="ParaNum"/>
        <w:rPr>
          <w:szCs w:val="22"/>
        </w:rPr>
      </w:pPr>
      <w:r w:rsidRPr="00635A5F">
        <w:rPr>
          <w:szCs w:val="22"/>
        </w:rPr>
        <w:t xml:space="preserve"> IT IS FURTHER ORDERED THAT </w:t>
      </w:r>
      <w:r w:rsidR="00AA435E" w:rsidRPr="00635A5F">
        <w:rPr>
          <w:szCs w:val="22"/>
        </w:rPr>
        <w:t xml:space="preserve">that copies of this </w:t>
      </w:r>
      <w:r w:rsidR="00AA435E" w:rsidRPr="00635A5F">
        <w:rPr>
          <w:i/>
          <w:szCs w:val="22"/>
        </w:rPr>
        <w:t>Forfeiture Order</w:t>
      </w:r>
      <w:r w:rsidR="00AA435E" w:rsidRPr="00635A5F">
        <w:rPr>
          <w:szCs w:val="22"/>
        </w:rPr>
        <w:t xml:space="preserve"> shall be sent, by First Class and Certified Mail, Return Receipt Requested, to Pacific Telestations, LLC, 600 North Harmon Loop Road, Suite 102, Dededo, GU 96912,</w:t>
      </w:r>
      <w:r w:rsidR="00F23BE1" w:rsidRPr="00635A5F">
        <w:rPr>
          <w:szCs w:val="22"/>
        </w:rPr>
        <w:t xml:space="preserve"> and to its counsel, John Wells</w:t>
      </w:r>
      <w:r w:rsidR="00AA435E" w:rsidRPr="00635A5F">
        <w:rPr>
          <w:szCs w:val="22"/>
        </w:rPr>
        <w:t xml:space="preserve"> King, Esq., Law Offices of John Wells King, 4051 Shoal Creek Lane East, Jacksonville, FL 32225-4793.</w:t>
      </w:r>
    </w:p>
    <w:p w14:paraId="4C54512A" w14:textId="77777777" w:rsidR="00253621" w:rsidRPr="00635A5F" w:rsidRDefault="00253621" w:rsidP="00AA435E">
      <w:pPr>
        <w:pStyle w:val="ParaNum"/>
        <w:numPr>
          <w:ilvl w:val="0"/>
          <w:numId w:val="0"/>
        </w:numPr>
        <w:rPr>
          <w:szCs w:val="22"/>
        </w:rPr>
      </w:pPr>
    </w:p>
    <w:p w14:paraId="59BA8788" w14:textId="77777777" w:rsidR="00253621" w:rsidRPr="00635A5F" w:rsidRDefault="00253621" w:rsidP="00253621">
      <w:pPr>
        <w:pStyle w:val="ParaNum"/>
        <w:numPr>
          <w:ilvl w:val="0"/>
          <w:numId w:val="0"/>
        </w:numPr>
        <w:ind w:left="720"/>
        <w:rPr>
          <w:szCs w:val="22"/>
        </w:rPr>
      </w:pPr>
    </w:p>
    <w:p w14:paraId="63EE4CFD" w14:textId="77777777" w:rsidR="00253621" w:rsidRPr="00635A5F" w:rsidRDefault="00253621" w:rsidP="00253621">
      <w:pPr>
        <w:pStyle w:val="ParaNum"/>
        <w:numPr>
          <w:ilvl w:val="0"/>
          <w:numId w:val="0"/>
        </w:numPr>
        <w:ind w:left="720"/>
        <w:rPr>
          <w:szCs w:val="22"/>
        </w:rPr>
      </w:pPr>
    </w:p>
    <w:p w14:paraId="480C64EB" w14:textId="77777777" w:rsidR="00253621" w:rsidRPr="00635A5F" w:rsidRDefault="009D0B9A" w:rsidP="00253621">
      <w:pPr>
        <w:pStyle w:val="ParaNum"/>
        <w:numPr>
          <w:ilvl w:val="0"/>
          <w:numId w:val="0"/>
        </w:numPr>
        <w:ind w:left="3600" w:firstLine="720"/>
        <w:rPr>
          <w:szCs w:val="22"/>
        </w:rPr>
      </w:pPr>
      <w:r w:rsidRPr="00635A5F">
        <w:rPr>
          <w:rFonts w:eastAsia="Calibri"/>
          <w:snapToGrid/>
          <w:kern w:val="0"/>
          <w:szCs w:val="22"/>
        </w:rPr>
        <w:t>FEDERAL COMMUNICATIONS COMMISSION</w:t>
      </w:r>
    </w:p>
    <w:p w14:paraId="1E887180" w14:textId="77777777" w:rsidR="00253621" w:rsidRPr="00635A5F" w:rsidRDefault="00253621" w:rsidP="00253621">
      <w:pPr>
        <w:widowControl/>
        <w:ind w:left="2160" w:firstLine="720"/>
        <w:jc w:val="both"/>
        <w:rPr>
          <w:rFonts w:eastAsia="Calibri"/>
          <w:snapToGrid/>
          <w:kern w:val="0"/>
          <w:szCs w:val="22"/>
        </w:rPr>
      </w:pPr>
    </w:p>
    <w:p w14:paraId="73770514" w14:textId="77777777" w:rsidR="00253621" w:rsidRPr="00635A5F" w:rsidRDefault="00253621" w:rsidP="00253621">
      <w:pPr>
        <w:widowControl/>
        <w:ind w:left="2160" w:firstLine="720"/>
        <w:jc w:val="both"/>
        <w:rPr>
          <w:rFonts w:eastAsia="Calibri"/>
          <w:snapToGrid/>
          <w:kern w:val="0"/>
          <w:szCs w:val="22"/>
        </w:rPr>
      </w:pPr>
    </w:p>
    <w:p w14:paraId="380AB858" w14:textId="77777777" w:rsidR="00253621" w:rsidRPr="00635A5F" w:rsidRDefault="00253621" w:rsidP="00253621">
      <w:pPr>
        <w:widowControl/>
        <w:ind w:left="2160" w:firstLine="720"/>
        <w:jc w:val="both"/>
        <w:rPr>
          <w:rFonts w:eastAsia="Calibri"/>
          <w:snapToGrid/>
          <w:kern w:val="0"/>
          <w:szCs w:val="22"/>
        </w:rPr>
      </w:pPr>
    </w:p>
    <w:p w14:paraId="0E4EC6FD" w14:textId="77777777" w:rsidR="009D0B9A" w:rsidRPr="00635A5F" w:rsidRDefault="009D0B9A" w:rsidP="00253621">
      <w:pPr>
        <w:widowControl/>
        <w:ind w:left="3600" w:firstLine="720"/>
        <w:jc w:val="both"/>
        <w:rPr>
          <w:rFonts w:eastAsia="Calibri"/>
          <w:snapToGrid/>
          <w:kern w:val="0"/>
          <w:szCs w:val="22"/>
        </w:rPr>
      </w:pPr>
      <w:r w:rsidRPr="00635A5F">
        <w:rPr>
          <w:rFonts w:eastAsia="Calibri"/>
          <w:snapToGrid/>
          <w:kern w:val="0"/>
          <w:szCs w:val="22"/>
        </w:rPr>
        <w:t>Barbara</w:t>
      </w:r>
      <w:r w:rsidR="00253621" w:rsidRPr="00635A5F">
        <w:rPr>
          <w:rFonts w:eastAsia="Calibri"/>
          <w:snapToGrid/>
          <w:kern w:val="0"/>
          <w:szCs w:val="22"/>
        </w:rPr>
        <w:tab/>
      </w:r>
      <w:r w:rsidRPr="00635A5F">
        <w:rPr>
          <w:rFonts w:eastAsia="Calibri"/>
          <w:snapToGrid/>
          <w:kern w:val="0"/>
          <w:szCs w:val="22"/>
        </w:rPr>
        <w:t>A. Kreisman</w:t>
      </w:r>
    </w:p>
    <w:p w14:paraId="7F34822B" w14:textId="77777777" w:rsidR="009D0B9A" w:rsidRPr="00635A5F" w:rsidRDefault="00253621" w:rsidP="009D0B9A">
      <w:pPr>
        <w:widowControl/>
        <w:jc w:val="both"/>
        <w:rPr>
          <w:rFonts w:eastAsia="Calibri"/>
          <w:snapToGrid/>
          <w:kern w:val="0"/>
          <w:szCs w:val="22"/>
        </w:rPr>
      </w:pPr>
      <w:r w:rsidRPr="00635A5F">
        <w:rPr>
          <w:rFonts w:eastAsia="Calibri"/>
          <w:snapToGrid/>
          <w:kern w:val="0"/>
          <w:szCs w:val="22"/>
        </w:rPr>
        <w:tab/>
      </w:r>
      <w:r w:rsidR="009D0B9A" w:rsidRPr="00635A5F">
        <w:rPr>
          <w:rFonts w:eastAsia="Calibri"/>
          <w:snapToGrid/>
          <w:kern w:val="0"/>
          <w:szCs w:val="22"/>
        </w:rPr>
        <w:tab/>
      </w:r>
      <w:r w:rsidR="009D0B9A" w:rsidRPr="00635A5F">
        <w:rPr>
          <w:rFonts w:eastAsia="Calibri"/>
          <w:snapToGrid/>
          <w:kern w:val="0"/>
          <w:szCs w:val="22"/>
        </w:rPr>
        <w:tab/>
      </w:r>
      <w:r w:rsidR="009D0B9A" w:rsidRPr="00635A5F">
        <w:rPr>
          <w:rFonts w:eastAsia="Calibri"/>
          <w:snapToGrid/>
          <w:kern w:val="0"/>
          <w:szCs w:val="22"/>
        </w:rPr>
        <w:tab/>
        <w:t xml:space="preserve">               </w:t>
      </w:r>
      <w:r w:rsidR="009D0B9A" w:rsidRPr="00635A5F">
        <w:rPr>
          <w:rFonts w:eastAsia="Calibri"/>
          <w:snapToGrid/>
          <w:kern w:val="0"/>
          <w:szCs w:val="22"/>
        </w:rPr>
        <w:tab/>
        <w:t xml:space="preserve">Chief, Video Division </w:t>
      </w:r>
    </w:p>
    <w:p w14:paraId="1C72968C" w14:textId="77777777" w:rsidR="002C00E8" w:rsidRPr="00635A5F" w:rsidRDefault="009D0B9A" w:rsidP="00253621">
      <w:pPr>
        <w:widowControl/>
        <w:ind w:left="2160" w:firstLine="720"/>
        <w:jc w:val="both"/>
        <w:rPr>
          <w:rFonts w:eastAsia="Calibri"/>
          <w:snapToGrid/>
          <w:kern w:val="0"/>
          <w:szCs w:val="22"/>
        </w:rPr>
      </w:pPr>
      <w:r w:rsidRPr="00635A5F">
        <w:rPr>
          <w:rFonts w:eastAsia="Calibri"/>
          <w:snapToGrid/>
          <w:kern w:val="0"/>
          <w:szCs w:val="22"/>
        </w:rPr>
        <w:t xml:space="preserve">               </w:t>
      </w:r>
      <w:r w:rsidRPr="00635A5F">
        <w:rPr>
          <w:rFonts w:eastAsia="Calibri"/>
          <w:snapToGrid/>
          <w:kern w:val="0"/>
          <w:szCs w:val="22"/>
        </w:rPr>
        <w:tab/>
        <w:t>Media Bureau</w:t>
      </w:r>
    </w:p>
    <w:sectPr w:rsidR="002C00E8" w:rsidRPr="00635A5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120E5B" w14:textId="77777777" w:rsidR="000E54D2" w:rsidRDefault="000E54D2">
      <w:pPr>
        <w:spacing w:line="20" w:lineRule="exact"/>
      </w:pPr>
    </w:p>
  </w:endnote>
  <w:endnote w:type="continuationSeparator" w:id="0">
    <w:p w14:paraId="7651AC5F" w14:textId="77777777" w:rsidR="000E54D2" w:rsidRDefault="000E54D2">
      <w:r>
        <w:t xml:space="preserve"> </w:t>
      </w:r>
    </w:p>
  </w:endnote>
  <w:endnote w:type="continuationNotice" w:id="1">
    <w:p w14:paraId="010364FE" w14:textId="77777777" w:rsidR="000E54D2" w:rsidRDefault="000E54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3A52"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4FC4BCF"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ED4CB"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74E57">
      <w:rPr>
        <w:noProof/>
      </w:rPr>
      <w:t>2</w:t>
    </w:r>
    <w:r>
      <w:fldChar w:fldCharType="end"/>
    </w:r>
  </w:p>
  <w:p w14:paraId="473635A7"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1F402"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9A46E" w14:textId="77777777" w:rsidR="000E54D2" w:rsidRDefault="000E54D2">
      <w:r>
        <w:separator/>
      </w:r>
    </w:p>
  </w:footnote>
  <w:footnote w:type="continuationSeparator" w:id="0">
    <w:p w14:paraId="3A6661E6" w14:textId="77777777" w:rsidR="000E54D2" w:rsidRDefault="000E54D2" w:rsidP="00C721AC">
      <w:pPr>
        <w:spacing w:before="120"/>
        <w:rPr>
          <w:sz w:val="20"/>
        </w:rPr>
      </w:pPr>
      <w:r>
        <w:rPr>
          <w:sz w:val="20"/>
        </w:rPr>
        <w:t xml:space="preserve">(Continued from previous page)  </w:t>
      </w:r>
      <w:r>
        <w:rPr>
          <w:sz w:val="20"/>
        </w:rPr>
        <w:separator/>
      </w:r>
    </w:p>
  </w:footnote>
  <w:footnote w:type="continuationNotice" w:id="1">
    <w:p w14:paraId="4DD08734" w14:textId="77777777" w:rsidR="000E54D2" w:rsidRDefault="000E54D2" w:rsidP="00C721AC">
      <w:pPr>
        <w:jc w:val="right"/>
        <w:rPr>
          <w:sz w:val="20"/>
        </w:rPr>
      </w:pPr>
      <w:r>
        <w:rPr>
          <w:sz w:val="20"/>
        </w:rPr>
        <w:t>(continued….)</w:t>
      </w:r>
    </w:p>
  </w:footnote>
  <w:footnote w:id="2">
    <w:p w14:paraId="5D4339A3" w14:textId="6AB7AA47" w:rsidR="009D0B9A" w:rsidRPr="002318D5" w:rsidRDefault="009D0B9A" w:rsidP="009D0B9A">
      <w:pPr>
        <w:pStyle w:val="FootnoteText"/>
      </w:pPr>
      <w:r w:rsidRPr="002318D5">
        <w:rPr>
          <w:rStyle w:val="FootnoteReference"/>
        </w:rPr>
        <w:footnoteRef/>
      </w:r>
      <w:r w:rsidRPr="002318D5">
        <w:t xml:space="preserve">  47 C.F</w:t>
      </w:r>
      <w:r>
        <w:t>.R. §§ 0.61(f)(1), 1.80(a)(1),</w:t>
      </w:r>
      <w:r w:rsidR="00A106D9">
        <w:t xml:space="preserve"> </w:t>
      </w:r>
      <w:r w:rsidRPr="002318D5">
        <w:t>(2).</w:t>
      </w:r>
    </w:p>
  </w:footnote>
  <w:footnote w:id="3">
    <w:p w14:paraId="7706FE99" w14:textId="77777777" w:rsidR="00735B15" w:rsidRDefault="00735B15" w:rsidP="00735B15">
      <w:pPr>
        <w:pStyle w:val="FootnoteText"/>
      </w:pPr>
      <w:r>
        <w:rPr>
          <w:rStyle w:val="FootnoteReference"/>
        </w:rPr>
        <w:footnoteRef/>
      </w:r>
      <w:r>
        <w:t xml:space="preserve"> 47 C.F.R. § 73.3526(e)(11)(i).</w:t>
      </w:r>
    </w:p>
  </w:footnote>
  <w:footnote w:id="4">
    <w:p w14:paraId="6262325C" w14:textId="3C8C3316" w:rsidR="009D0B9A" w:rsidRPr="002318D5" w:rsidRDefault="009D0B9A" w:rsidP="009D0B9A">
      <w:pPr>
        <w:pStyle w:val="FootnoteText"/>
      </w:pPr>
      <w:r w:rsidRPr="002318D5">
        <w:rPr>
          <w:rStyle w:val="FootnoteReference"/>
        </w:rPr>
        <w:footnoteRef/>
      </w:r>
      <w:r w:rsidRPr="002318D5">
        <w:t xml:space="preserve"> </w:t>
      </w:r>
      <w:r w:rsidR="00322C4E">
        <w:rPr>
          <w:i/>
        </w:rPr>
        <w:t>Pacific</w:t>
      </w:r>
      <w:r w:rsidR="00735B15">
        <w:rPr>
          <w:i/>
        </w:rPr>
        <w:t xml:space="preserve"> Telestations, LLC</w:t>
      </w:r>
      <w:r w:rsidRPr="002318D5">
        <w:t xml:space="preserve">, Notice of Apparent Liability for Forfeiture, </w:t>
      </w:r>
      <w:r w:rsidR="00735B15" w:rsidRPr="00735B15">
        <w:rPr>
          <w:iCs/>
          <w:color w:val="333333"/>
        </w:rPr>
        <w:t>30 FCC Rcd 14684</w:t>
      </w:r>
      <w:r w:rsidR="00735B15">
        <w:rPr>
          <w:rFonts w:ascii="Helvetica" w:hAnsi="Helvetica" w:cs="Helvetica"/>
          <w:i/>
          <w:iCs/>
          <w:color w:val="333333"/>
          <w:sz w:val="18"/>
          <w:szCs w:val="18"/>
        </w:rPr>
        <w:t xml:space="preserve"> </w:t>
      </w:r>
      <w:r w:rsidRPr="002318D5">
        <w:t>(Vid. Div. 2015)</w:t>
      </w:r>
      <w:r>
        <w:t xml:space="preserve"> (</w:t>
      </w:r>
      <w:r w:rsidR="00773573">
        <w:rPr>
          <w:i/>
        </w:rPr>
        <w:t>Pacific Telestations</w:t>
      </w:r>
      <w:r>
        <w:t>)</w:t>
      </w:r>
      <w:r w:rsidRPr="002318D5">
        <w:t>.</w:t>
      </w:r>
    </w:p>
  </w:footnote>
  <w:footnote w:id="5">
    <w:p w14:paraId="75E7BEC4" w14:textId="660F0544" w:rsidR="009D0B9A" w:rsidRPr="002318D5" w:rsidRDefault="009D0B9A" w:rsidP="009D0B9A">
      <w:pPr>
        <w:pStyle w:val="FootnoteText"/>
      </w:pPr>
      <w:r w:rsidRPr="002318D5">
        <w:rPr>
          <w:rStyle w:val="FootnoteReference"/>
        </w:rPr>
        <w:footnoteRef/>
      </w:r>
      <w:r w:rsidR="00773573">
        <w:t xml:space="preserve"> </w:t>
      </w:r>
      <w:r w:rsidR="00773573">
        <w:rPr>
          <w:i/>
        </w:rPr>
        <w:t>Pacific Telestations</w:t>
      </w:r>
      <w:r w:rsidR="00773573" w:rsidRPr="00773573">
        <w:t xml:space="preserve">, </w:t>
      </w:r>
      <w:r w:rsidR="00773573">
        <w:t>30 FCC Rcd at 14686, n.11 (finding that the Children’s Television Programming Report for the third and fourth quarter of 2012, fourth quarter of 2013</w:t>
      </w:r>
      <w:r w:rsidR="00695F62">
        <w:t>,</w:t>
      </w:r>
      <w:r w:rsidR="00773573">
        <w:t xml:space="preserve"> and first and second quarter of 2014 were not filed in a timely manner).  We note that the NAL</w:t>
      </w:r>
      <w:r w:rsidR="00DE5B81">
        <w:t xml:space="preserve"> mistakenly </w:t>
      </w:r>
      <w:r w:rsidR="00773573">
        <w:t>makes reference to third quarter of 2014 instead of fourth quarter 2013.</w:t>
      </w:r>
    </w:p>
  </w:footnote>
  <w:footnote w:id="6">
    <w:p w14:paraId="568E52D2" w14:textId="7A8D363E" w:rsidR="00E97EFE" w:rsidRDefault="00E97EFE" w:rsidP="00E97EFE">
      <w:pPr>
        <w:pStyle w:val="FootnoteText"/>
      </w:pPr>
      <w:r w:rsidRPr="002318D5">
        <w:rPr>
          <w:rStyle w:val="FootnoteReference"/>
        </w:rPr>
        <w:footnoteRef/>
      </w:r>
      <w:r w:rsidR="00AB2525">
        <w:t xml:space="preserve"> File No. </w:t>
      </w:r>
      <w:r w:rsidR="00EA3977">
        <w:t>BRCDT</w:t>
      </w:r>
      <w:r w:rsidR="008D4547">
        <w:t>-</w:t>
      </w:r>
      <w:r w:rsidR="00EA3977">
        <w:t>20140929AFC (granted Dec</w:t>
      </w:r>
      <w:r w:rsidR="00AB2525">
        <w:t>. 23</w:t>
      </w:r>
      <w:r w:rsidRPr="002318D5">
        <w:t>, 2015)</w:t>
      </w:r>
      <w:r w:rsidR="001035A0">
        <w:t xml:space="preserve"> (</w:t>
      </w:r>
      <w:r w:rsidR="008D4547">
        <w:t xml:space="preserve">KUAM </w:t>
      </w:r>
      <w:r w:rsidR="001035A0">
        <w:t>Renewal Application</w:t>
      </w:r>
      <w:r w:rsidR="00EA3977">
        <w:t>)</w:t>
      </w:r>
      <w:r w:rsidRPr="002318D5">
        <w:t>.</w:t>
      </w:r>
    </w:p>
  </w:footnote>
  <w:footnote w:id="7">
    <w:p w14:paraId="2D0C389A" w14:textId="77777777" w:rsidR="008D4547" w:rsidRDefault="008D4547">
      <w:pPr>
        <w:pStyle w:val="FootnoteText"/>
      </w:pPr>
      <w:r>
        <w:rPr>
          <w:rStyle w:val="FootnoteReference"/>
        </w:rPr>
        <w:footnoteRef/>
      </w:r>
      <w:r>
        <w:t xml:space="preserve"> </w:t>
      </w:r>
      <w:r>
        <w:rPr>
          <w:i/>
        </w:rPr>
        <w:t>Pacific Telestations</w:t>
      </w:r>
      <w:r w:rsidRPr="00773573">
        <w:t xml:space="preserve">, </w:t>
      </w:r>
      <w:r>
        <w:t xml:space="preserve">30 FCC Rcd at 14685-86, paras. 6-7.  </w:t>
      </w:r>
    </w:p>
  </w:footnote>
  <w:footnote w:id="8">
    <w:p w14:paraId="48E43E84" w14:textId="4E273DB6" w:rsidR="00AB2525" w:rsidRDefault="00AB2525">
      <w:pPr>
        <w:pStyle w:val="FootnoteText"/>
      </w:pPr>
      <w:r>
        <w:rPr>
          <w:rStyle w:val="FootnoteReference"/>
        </w:rPr>
        <w:footnoteRef/>
      </w:r>
      <w:r>
        <w:t xml:space="preserve"> </w:t>
      </w:r>
      <w:r w:rsidR="00A528B9">
        <w:rPr>
          <w:snapToGrid w:val="0"/>
          <w:kern w:val="28"/>
          <w:szCs w:val="22"/>
        </w:rPr>
        <w:t>The Licensee disclosed in the license renewal</w:t>
      </w:r>
      <w:r w:rsidR="00773573">
        <w:rPr>
          <w:snapToGrid w:val="0"/>
          <w:kern w:val="28"/>
          <w:szCs w:val="22"/>
        </w:rPr>
        <w:t xml:space="preserve"> application that</w:t>
      </w:r>
      <w:r w:rsidR="00A528B9">
        <w:rPr>
          <w:snapToGrid w:val="0"/>
          <w:kern w:val="28"/>
          <w:szCs w:val="22"/>
        </w:rPr>
        <w:t xml:space="preserve"> in the course of preparing the missing quarterly TV issues/programs lists to upload to its e-pif, it discovered that hard copies of 15 quarters were missing from the </w:t>
      </w:r>
      <w:r w:rsidR="00773573">
        <w:rPr>
          <w:snapToGrid w:val="0"/>
          <w:kern w:val="28"/>
          <w:szCs w:val="22"/>
        </w:rPr>
        <w:t>public file.</w:t>
      </w:r>
      <w:r w:rsidR="00532D6E">
        <w:rPr>
          <w:snapToGrid w:val="0"/>
          <w:kern w:val="28"/>
          <w:szCs w:val="22"/>
        </w:rPr>
        <w:t xml:space="preserve">  </w:t>
      </w:r>
      <w:r w:rsidR="00A528B9">
        <w:t>KUAM Renewal Application at Attachment 20, “Statement re Local Public File”</w:t>
      </w:r>
      <w:r w:rsidR="00773573">
        <w:t>.</w:t>
      </w:r>
    </w:p>
  </w:footnote>
  <w:footnote w:id="9">
    <w:p w14:paraId="4DDD9D4C" w14:textId="77777777" w:rsidR="008F427D" w:rsidRDefault="008F427D" w:rsidP="008F427D">
      <w:pPr>
        <w:pStyle w:val="FootnoteText"/>
      </w:pPr>
      <w:r>
        <w:rPr>
          <w:rStyle w:val="FootnoteReference"/>
        </w:rPr>
        <w:footnoteRef/>
      </w:r>
      <w:r>
        <w:t xml:space="preserve"> 47 C.F.R. § 73.3526(e)(11)(i).</w:t>
      </w:r>
    </w:p>
  </w:footnote>
  <w:footnote w:id="10">
    <w:p w14:paraId="49E83CDB" w14:textId="4E751433" w:rsidR="00635A5F" w:rsidRPr="000511FB" w:rsidRDefault="00635A5F" w:rsidP="00635A5F">
      <w:pPr>
        <w:pStyle w:val="FootnoteText"/>
      </w:pPr>
      <w:r>
        <w:rPr>
          <w:rStyle w:val="FootnoteReference"/>
        </w:rPr>
        <w:footnoteRef/>
      </w:r>
      <w:r>
        <w:t xml:space="preserve"> </w:t>
      </w:r>
      <w:r w:rsidR="00A528B9">
        <w:t xml:space="preserve">The Licensee failed to upload to the Station’s e-pif copies of the Station’s TV issue/programs lists that were in the Station’s physical public file prior to August 2, 2012.  </w:t>
      </w:r>
      <w:r>
        <w:rPr>
          <w:snapToGrid w:val="0"/>
          <w:kern w:val="28"/>
          <w:szCs w:val="22"/>
        </w:rPr>
        <w:t xml:space="preserve">Broadcasters’ e-pif requirements were phased in between August 2012 and February 2013. </w:t>
      </w:r>
      <w:r w:rsidRPr="000511FB">
        <w:rPr>
          <w:snapToGrid w:val="0"/>
          <w:kern w:val="28"/>
        </w:rPr>
        <w:t xml:space="preserve"> </w:t>
      </w:r>
      <w:r w:rsidRPr="000511FB">
        <w:t>S</w:t>
      </w:r>
      <w:r w:rsidRPr="000511FB">
        <w:rPr>
          <w:i/>
          <w:iCs/>
        </w:rPr>
        <w:t xml:space="preserve">ee </w:t>
      </w:r>
      <w:hyperlink r:id="rId1" w:history="1">
        <w:r w:rsidRPr="000511FB">
          <w:rPr>
            <w:i/>
            <w:iCs/>
          </w:rPr>
          <w:t>Effective Date Announced for Online Publication of Broadcast Television Public Inspection Files</w:t>
        </w:r>
        <w:r w:rsidRPr="000511FB">
          <w:t>, Public Notice, 27 FCC Rcd 7478 (2012)</w:t>
        </w:r>
      </w:hyperlink>
      <w:r w:rsidRPr="000511FB">
        <w:t xml:space="preserve">(announcing effective date of electronic public file rule); </w:t>
      </w:r>
      <w:hyperlink r:id="rId2" w:history="1">
        <w:r w:rsidRPr="000511FB">
          <w:rPr>
            <w:i/>
            <w:iCs/>
          </w:rPr>
          <w:t>Television Broadcast Stations Reminded of Their Online Public Inspection File Obligations</w:t>
        </w:r>
        <w:r w:rsidRPr="000511FB">
          <w:t>, Public Notice, 27 FCC Rcd 15315 (2012)</w:t>
        </w:r>
      </w:hyperlink>
      <w:r w:rsidRPr="000511FB">
        <w:t xml:space="preserve"> (reminding stations to upload copies of existing public file documents to their electronic public file); </w:t>
      </w:r>
      <w:hyperlink r:id="rId3" w:history="1">
        <w:r w:rsidRPr="000511FB">
          <w:rPr>
            <w:i/>
            <w:iCs/>
          </w:rPr>
          <w:t>Television Broadcast Stations Reminded of the Upcoming Public Inspection Filing Deadline</w:t>
        </w:r>
        <w:r w:rsidRPr="000511FB">
          <w:t>, Public Notice, 28 FCC Rcd 429 (2013)</w:t>
        </w:r>
      </w:hyperlink>
      <w:r w:rsidRPr="000511FB">
        <w:t xml:space="preserve">(providing a final remainder to broadcasters to upload copies of existing public file documents to their electronic public file); </w:t>
      </w:r>
      <w:r w:rsidRPr="000511FB">
        <w:rPr>
          <w:i/>
          <w:iCs/>
        </w:rPr>
        <w:t>see also</w:t>
      </w:r>
      <w:r w:rsidRPr="000511FB">
        <w:t xml:space="preserve"> </w:t>
      </w:r>
      <w:r w:rsidR="00A23FD1">
        <w:rPr>
          <w:i/>
        </w:rPr>
        <w:t xml:space="preserve">Standardized and Enhanced Disclosure Requirements for Television Broadcast Licensee Public Interest Obligations, </w:t>
      </w:r>
      <w:r w:rsidRPr="00A23FD1">
        <w:t>Second Report and Order</w:t>
      </w:r>
      <w:r w:rsidRPr="000511FB">
        <w:t xml:space="preserve">, </w:t>
      </w:r>
      <w:hyperlink r:id="rId4" w:anchor="co_pp_sp_4493_4580" w:history="1">
        <w:r w:rsidRPr="000511FB">
          <w:t>27 FCC Rcd</w:t>
        </w:r>
        <w:r w:rsidR="00A23FD1">
          <w:t>, 4525,</w:t>
        </w:r>
        <w:r w:rsidRPr="000511FB">
          <w:t xml:space="preserve"> 4580, para. 97</w:t>
        </w:r>
      </w:hyperlink>
      <w:r w:rsidRPr="000511FB">
        <w:t xml:space="preserve"> (establishing compliance periods for complying with broadcasters new electronic public file requirement).</w:t>
      </w:r>
    </w:p>
  </w:footnote>
  <w:footnote w:id="11">
    <w:p w14:paraId="04CED22A" w14:textId="007E9BCB" w:rsidR="007755FA" w:rsidRPr="000A381C" w:rsidRDefault="007755FA" w:rsidP="00EA2291">
      <w:pPr>
        <w:spacing w:after="120"/>
        <w:ind w:right="-18"/>
      </w:pPr>
      <w:r w:rsidRPr="00E51EC1">
        <w:rPr>
          <w:rStyle w:val="FootnoteReference"/>
        </w:rPr>
        <w:footnoteRef/>
      </w:r>
      <w:r w:rsidRPr="00EA2291">
        <w:rPr>
          <w:sz w:val="20"/>
        </w:rPr>
        <w:t xml:space="preserve"> Response</w:t>
      </w:r>
      <w:r w:rsidR="00E51EC1" w:rsidRPr="00EA2291">
        <w:rPr>
          <w:sz w:val="20"/>
        </w:rPr>
        <w:t xml:space="preserve"> of Pacific Telestations, LLC </w:t>
      </w:r>
      <w:r w:rsidRPr="00EA2291">
        <w:rPr>
          <w:sz w:val="20"/>
        </w:rPr>
        <w:t>at 1 (</w:t>
      </w:r>
      <w:r w:rsidR="00E51EC1" w:rsidRPr="00EA2291">
        <w:rPr>
          <w:sz w:val="20"/>
        </w:rPr>
        <w:t xml:space="preserve">filed </w:t>
      </w:r>
      <w:r w:rsidRPr="00EA2291">
        <w:rPr>
          <w:sz w:val="20"/>
        </w:rPr>
        <w:t>Jan. 19, 2016) (Response).</w:t>
      </w:r>
    </w:p>
  </w:footnote>
  <w:footnote w:id="12">
    <w:p w14:paraId="0D6159F8" w14:textId="59C11D62" w:rsidR="008F427D" w:rsidRPr="008F427D" w:rsidRDefault="008F427D">
      <w:pPr>
        <w:pStyle w:val="FootnoteText"/>
      </w:pPr>
      <w:r>
        <w:rPr>
          <w:rStyle w:val="FootnoteReference"/>
        </w:rPr>
        <w:footnoteRef/>
      </w:r>
      <w:r>
        <w:t xml:space="preserve"> </w:t>
      </w:r>
      <w:r>
        <w:rPr>
          <w:i/>
        </w:rPr>
        <w:t>Id</w:t>
      </w:r>
      <w:r>
        <w:t>. at</w:t>
      </w:r>
      <w:r w:rsidR="00773573">
        <w:t xml:space="preserve"> 2-3 and</w:t>
      </w:r>
      <w:r>
        <w:t xml:space="preserve"> Exhibits 1-6</w:t>
      </w:r>
      <w:r w:rsidR="00773573">
        <w:t xml:space="preserve">.  </w:t>
      </w:r>
    </w:p>
  </w:footnote>
  <w:footnote w:id="13">
    <w:p w14:paraId="6AC54839" w14:textId="77777777" w:rsidR="00937CDE" w:rsidRPr="00702BA6" w:rsidRDefault="00937CDE" w:rsidP="00937CDE">
      <w:pPr>
        <w:pStyle w:val="FootnoteText"/>
      </w:pPr>
      <w:r>
        <w:rPr>
          <w:rStyle w:val="FootnoteReference"/>
        </w:rPr>
        <w:footnoteRef/>
      </w:r>
      <w:r>
        <w:t xml:space="preserve"> </w:t>
      </w:r>
      <w:r>
        <w:rPr>
          <w:i/>
        </w:rPr>
        <w:t>Id</w:t>
      </w:r>
      <w:r>
        <w:t>. at 7.</w:t>
      </w:r>
    </w:p>
  </w:footnote>
  <w:footnote w:id="14">
    <w:p w14:paraId="2D709756" w14:textId="77777777" w:rsidR="00D6284F" w:rsidRDefault="00D6284F" w:rsidP="00D6284F">
      <w:pPr>
        <w:pStyle w:val="FootnoteText"/>
      </w:pPr>
      <w:r>
        <w:rPr>
          <w:rStyle w:val="FootnoteReference"/>
        </w:rPr>
        <w:footnoteRef/>
      </w:r>
      <w:r>
        <w:t xml:space="preserve"> File No. BALCDT-20130131AAX (granted Feb. 3, 2013).</w:t>
      </w:r>
    </w:p>
  </w:footnote>
  <w:footnote w:id="15">
    <w:p w14:paraId="536A95FB" w14:textId="0CDCCA82" w:rsidR="00250C7C" w:rsidRDefault="00250C7C" w:rsidP="00250C7C">
      <w:pPr>
        <w:pStyle w:val="FootnoteText"/>
      </w:pPr>
      <w:r>
        <w:rPr>
          <w:rStyle w:val="FootnoteReference"/>
        </w:rPr>
        <w:footnoteRef/>
      </w:r>
      <w:r>
        <w:t xml:space="preserve"> File No. BTCCDT-</w:t>
      </w:r>
      <w:r w:rsidR="005E31F5">
        <w:t>20121121</w:t>
      </w:r>
      <w:r>
        <w:t>AAL (granted Dec. 27, 2012).</w:t>
      </w:r>
    </w:p>
  </w:footnote>
  <w:footnote w:id="16">
    <w:p w14:paraId="3B08B2EC" w14:textId="77777777" w:rsidR="00250C7C" w:rsidRPr="00421992" w:rsidRDefault="00250C7C" w:rsidP="00250C7C">
      <w:pPr>
        <w:pStyle w:val="FootnoteText"/>
      </w:pPr>
      <w:r w:rsidRPr="00421992">
        <w:rPr>
          <w:rStyle w:val="FootnoteReference"/>
        </w:rPr>
        <w:footnoteRef/>
      </w:r>
      <w:r w:rsidRPr="00421992">
        <w:t xml:space="preserve"> File No. BALCDT-20130131AAX</w:t>
      </w:r>
      <w:r w:rsidR="008D4547">
        <w:t xml:space="preserve">; Response at 6; </w:t>
      </w:r>
      <w:r w:rsidR="008D4547" w:rsidRPr="005333B1">
        <w:rPr>
          <w:i/>
        </w:rPr>
        <w:t>see</w:t>
      </w:r>
      <w:r w:rsidR="008D4547">
        <w:t xml:space="preserve"> </w:t>
      </w:r>
      <w:r w:rsidR="005D113C">
        <w:t>Renewal Application at Attachment 20, “Statement re Local Public File”.</w:t>
      </w:r>
    </w:p>
  </w:footnote>
  <w:footnote w:id="17">
    <w:p w14:paraId="4911D1C3" w14:textId="48D94285" w:rsidR="009F3B25" w:rsidRDefault="009F3B25">
      <w:pPr>
        <w:pStyle w:val="FootnoteText"/>
      </w:pPr>
      <w:r>
        <w:rPr>
          <w:rStyle w:val="FootnoteReference"/>
        </w:rPr>
        <w:footnoteRef/>
      </w:r>
      <w:r>
        <w:t xml:space="preserve"> Response at 5-6.</w:t>
      </w:r>
    </w:p>
  </w:footnote>
  <w:footnote w:id="18">
    <w:p w14:paraId="3708D655" w14:textId="7A88CB7E" w:rsidR="00421992" w:rsidRPr="00421992" w:rsidRDefault="00421992" w:rsidP="00421992">
      <w:pPr>
        <w:widowControl/>
        <w:autoSpaceDE w:val="0"/>
        <w:autoSpaceDN w:val="0"/>
        <w:adjustRightInd w:val="0"/>
        <w:spacing w:after="120"/>
        <w:rPr>
          <w:snapToGrid/>
          <w:kern w:val="0"/>
          <w:sz w:val="20"/>
        </w:rPr>
      </w:pPr>
      <w:r w:rsidRPr="008D4547">
        <w:rPr>
          <w:rStyle w:val="FootnoteReference"/>
        </w:rPr>
        <w:footnoteRef/>
      </w:r>
      <w:r w:rsidRPr="008D4547">
        <w:rPr>
          <w:sz w:val="20"/>
        </w:rPr>
        <w:t xml:space="preserve">  </w:t>
      </w:r>
      <w:r w:rsidR="003B0D30">
        <w:rPr>
          <w:sz w:val="20"/>
        </w:rPr>
        <w:t>Response</w:t>
      </w:r>
      <w:r w:rsidRPr="008D4547">
        <w:rPr>
          <w:sz w:val="20"/>
        </w:rPr>
        <w:t xml:space="preserve"> at 5 (</w:t>
      </w:r>
      <w:r w:rsidR="00A23FD1">
        <w:rPr>
          <w:sz w:val="20"/>
        </w:rPr>
        <w:t>“</w:t>
      </w:r>
      <w:r w:rsidRPr="008D4547">
        <w:rPr>
          <w:snapToGrid/>
          <w:kern w:val="0"/>
          <w:sz w:val="20"/>
        </w:rPr>
        <w:t xml:space="preserve">The failures of which the </w:t>
      </w:r>
      <w:r w:rsidRPr="00D03D39">
        <w:rPr>
          <w:i/>
          <w:snapToGrid/>
          <w:kern w:val="0"/>
          <w:sz w:val="20"/>
        </w:rPr>
        <w:t>NAL</w:t>
      </w:r>
      <w:r w:rsidRPr="008D4547">
        <w:rPr>
          <w:snapToGrid/>
          <w:kern w:val="0"/>
          <w:sz w:val="20"/>
        </w:rPr>
        <w:t xml:space="preserve"> takes notice were neither willful nor repeated failures of the current licensee….Pacific Telestations, LLC, cannot be charged with the conscious and deliberate commission or</w:t>
      </w:r>
      <w:r w:rsidRPr="005534FA">
        <w:rPr>
          <w:snapToGrid/>
          <w:kern w:val="0"/>
          <w:sz w:val="20"/>
        </w:rPr>
        <w:t xml:space="preserve"> omission of an a</w:t>
      </w:r>
      <w:r w:rsidRPr="00421992">
        <w:rPr>
          <w:snapToGrid/>
          <w:kern w:val="0"/>
          <w:sz w:val="20"/>
        </w:rPr>
        <w:t>ct by another corporate entity.”</w:t>
      </w:r>
      <w:r w:rsidR="00A106D9">
        <w:rPr>
          <w:snapToGrid/>
          <w:kern w:val="0"/>
          <w:sz w:val="20"/>
        </w:rPr>
        <w:t>).</w:t>
      </w:r>
    </w:p>
  </w:footnote>
  <w:footnote w:id="19">
    <w:p w14:paraId="1489FF4C" w14:textId="62E7A50C" w:rsidR="002E1DCE" w:rsidRDefault="002E1DCE" w:rsidP="002E1DCE">
      <w:pPr>
        <w:pStyle w:val="FootnoteText"/>
        <w:jc w:val="both"/>
      </w:pPr>
      <w:r>
        <w:rPr>
          <w:rStyle w:val="FootnoteReference"/>
        </w:rPr>
        <w:footnoteRef/>
      </w:r>
      <w:r w:rsidR="00A106D9">
        <w:t xml:space="preserve"> 47 U.S.C. § 503(b)(1)(A),</w:t>
      </w:r>
      <w:r w:rsidR="00ED0434">
        <w:t xml:space="preserve"> (B); 47 C.F.R. § 1.80(a)(1), </w:t>
      </w:r>
      <w:r>
        <w:t xml:space="preserve">(2).  </w:t>
      </w:r>
    </w:p>
  </w:footnote>
  <w:footnote w:id="20">
    <w:p w14:paraId="2E0F03F7" w14:textId="77777777" w:rsidR="002E1DCE" w:rsidRDefault="002E1DCE" w:rsidP="002E1DCE">
      <w:pPr>
        <w:pStyle w:val="FootnoteText"/>
        <w:jc w:val="both"/>
      </w:pPr>
      <w:r>
        <w:rPr>
          <w:rStyle w:val="FootnoteReference"/>
        </w:rPr>
        <w:footnoteRef/>
      </w:r>
      <w:r>
        <w:t xml:space="preserve"> 47 U.S.C. § 503(b); 47 C.F.R. § 1.80(f).</w:t>
      </w:r>
    </w:p>
  </w:footnote>
  <w:footnote w:id="21">
    <w:p w14:paraId="1117DB19" w14:textId="64660092" w:rsidR="002E1DCE" w:rsidRDefault="002E1DCE" w:rsidP="002E1DCE">
      <w:pPr>
        <w:pStyle w:val="FootnoteText"/>
        <w:jc w:val="both"/>
      </w:pPr>
      <w:r>
        <w:rPr>
          <w:rStyle w:val="FootnoteReference"/>
        </w:rPr>
        <w:footnoteRef/>
      </w:r>
      <w:r>
        <w:t xml:space="preserve"> </w:t>
      </w:r>
      <w:r>
        <w:rPr>
          <w:i/>
        </w:rPr>
        <w:t xml:space="preserve">See, e.g., SBC Communications, Inc., </w:t>
      </w:r>
      <w:r>
        <w:t>Forfeiture</w:t>
      </w:r>
      <w:r w:rsidR="00A106D9">
        <w:t xml:space="preserve"> Order, 17 FCC Rcd 7589, 7591, para.</w:t>
      </w:r>
      <w:r>
        <w:t xml:space="preserve"> 4 (2002). </w:t>
      </w:r>
    </w:p>
  </w:footnote>
  <w:footnote w:id="22">
    <w:p w14:paraId="5B3D02AE" w14:textId="4FC614FB" w:rsidR="004C2213" w:rsidRDefault="004C2213">
      <w:pPr>
        <w:pStyle w:val="FootnoteText"/>
      </w:pPr>
      <w:r>
        <w:rPr>
          <w:rStyle w:val="FootnoteReference"/>
        </w:rPr>
        <w:footnoteRef/>
      </w:r>
      <w:r>
        <w:t xml:space="preserve"> Quarters </w:t>
      </w:r>
      <w:r w:rsidR="00532D6E">
        <w:t>three</w:t>
      </w:r>
      <w:r>
        <w:t xml:space="preserve"> and </w:t>
      </w:r>
      <w:r w:rsidR="00532D6E">
        <w:t>four</w:t>
      </w:r>
      <w:r w:rsidR="00A106D9">
        <w:t xml:space="preserve"> of 2012, q</w:t>
      </w:r>
      <w:r>
        <w:t xml:space="preserve">uarter </w:t>
      </w:r>
      <w:r w:rsidR="00532D6E">
        <w:t>four</w:t>
      </w:r>
      <w:r>
        <w:t xml:space="preserve"> of 201</w:t>
      </w:r>
      <w:r w:rsidR="00421992">
        <w:t>3</w:t>
      </w:r>
      <w:r w:rsidR="00A106D9">
        <w:t>, and q</w:t>
      </w:r>
      <w:r>
        <w:t xml:space="preserve">uarters </w:t>
      </w:r>
      <w:r w:rsidR="00532D6E">
        <w:t>one</w:t>
      </w:r>
      <w:r>
        <w:t xml:space="preserve"> and </w:t>
      </w:r>
      <w:r w:rsidR="00532D6E">
        <w:t>two</w:t>
      </w:r>
      <w:r>
        <w:t xml:space="preserve"> of 2014.  </w:t>
      </w:r>
      <w:r>
        <w:rPr>
          <w:i/>
        </w:rPr>
        <w:t xml:space="preserve">NAL </w:t>
      </w:r>
      <w:r>
        <w:t xml:space="preserve">at 14684, n.11.  </w:t>
      </w:r>
    </w:p>
  </w:footnote>
  <w:footnote w:id="23">
    <w:p w14:paraId="4E9CBAAE" w14:textId="77777777" w:rsidR="00AA435E" w:rsidRDefault="00AA435E" w:rsidP="00AA435E">
      <w:pPr>
        <w:pStyle w:val="FootnoteText"/>
        <w:widowControl w:val="0"/>
      </w:pPr>
      <w:r>
        <w:rPr>
          <w:rStyle w:val="FootnoteReference"/>
        </w:rPr>
        <w:footnoteRef/>
      </w:r>
      <w:r>
        <w:t xml:space="preserve"> 47 C.F.R. § 73.3526(e)(11)(i).  </w:t>
      </w:r>
    </w:p>
  </w:footnote>
  <w:footnote w:id="24">
    <w:p w14:paraId="6DB28D82" w14:textId="77777777" w:rsidR="00AA435E" w:rsidRDefault="00AA435E" w:rsidP="00AA435E">
      <w:pPr>
        <w:pStyle w:val="FootnoteText"/>
      </w:pPr>
      <w:r>
        <w:rPr>
          <w:rStyle w:val="FootnoteReference"/>
        </w:rPr>
        <w:footnoteRef/>
      </w:r>
      <w:r>
        <w:t xml:space="preserve"> Response at 5-6.</w:t>
      </w:r>
    </w:p>
  </w:footnote>
  <w:footnote w:id="25">
    <w:p w14:paraId="75EBAE6F" w14:textId="77777777" w:rsidR="0019115D" w:rsidRDefault="0019115D" w:rsidP="0019115D">
      <w:pPr>
        <w:pStyle w:val="FootnoteText"/>
      </w:pPr>
      <w:r>
        <w:rPr>
          <w:rStyle w:val="FootnoteReference"/>
        </w:rPr>
        <w:footnoteRef/>
      </w:r>
      <w:r>
        <w:t xml:space="preserve"> </w:t>
      </w:r>
      <w:r>
        <w:rPr>
          <w:i/>
        </w:rPr>
        <w:t>EZ Sacramento, Inc.</w:t>
      </w:r>
      <w:r>
        <w:t xml:space="preserve">, Forfeiture Order, 14 FCC Rcd 13539, 13540 (MMB 1999) (emphasis added) (citing </w:t>
      </w:r>
      <w:r>
        <w:rPr>
          <w:i/>
        </w:rPr>
        <w:t>Winslow Communications, Inc.</w:t>
      </w:r>
      <w:r>
        <w:t xml:space="preserve">,  Memorandum Opinion and Order, 45 FCC 2d. 662, 663 (1972) (“The transfer of control of stock of the corporation subsequent to the violations does not excuse the licensee of the violations.”)); </w:t>
      </w:r>
      <w:r>
        <w:rPr>
          <w:i/>
        </w:rPr>
        <w:t>Mapleton Licensee of San Luis Obispo</w:t>
      </w:r>
      <w:r>
        <w:t xml:space="preserve">, Forfeiture Order, 27 FCC Rcd 4099, 4101 n. 19 (EB 2012); </w:t>
      </w:r>
      <w:r>
        <w:rPr>
          <w:i/>
        </w:rPr>
        <w:t>Hensley Broadcasting, Inc.</w:t>
      </w:r>
      <w:r>
        <w:t>, Forfeiture Order, 24 FCC Rcd 115, 116 n. 9 (EB 2009).</w:t>
      </w:r>
    </w:p>
  </w:footnote>
  <w:footnote w:id="26">
    <w:p w14:paraId="59821DDA" w14:textId="2C428125" w:rsidR="0063475E" w:rsidRDefault="0063475E" w:rsidP="0063475E">
      <w:pPr>
        <w:pStyle w:val="FootnoteText"/>
      </w:pPr>
      <w:r>
        <w:rPr>
          <w:rStyle w:val="FootnoteReference"/>
        </w:rPr>
        <w:footnoteRef/>
      </w:r>
      <w:r>
        <w:t xml:space="preserve"> </w:t>
      </w:r>
      <w:r w:rsidR="005E31F5">
        <w:t>Response at 6.</w:t>
      </w:r>
    </w:p>
  </w:footnote>
  <w:footnote w:id="27">
    <w:p w14:paraId="23C0C410" w14:textId="6761C153" w:rsidR="00B630D4" w:rsidRPr="005E31F5" w:rsidRDefault="00B630D4">
      <w:pPr>
        <w:pStyle w:val="FootnoteText"/>
      </w:pPr>
      <w:r>
        <w:rPr>
          <w:rStyle w:val="FootnoteReference"/>
        </w:rPr>
        <w:footnoteRef/>
      </w:r>
      <w:r>
        <w:t xml:space="preserve"> </w:t>
      </w:r>
      <w:r w:rsidR="005E31F5">
        <w:rPr>
          <w:i/>
        </w:rPr>
        <w:t xml:space="preserve">New DMIC, Inc., </w:t>
      </w:r>
      <w:r w:rsidR="005E31F5">
        <w:t>13 FCC Rcd 23611, 23614 (MB 1998).</w:t>
      </w:r>
    </w:p>
  </w:footnote>
  <w:footnote w:id="28">
    <w:p w14:paraId="62D49B5F" w14:textId="7F367A54" w:rsidR="00077CD0" w:rsidRDefault="00077CD0" w:rsidP="00077CD0">
      <w:pPr>
        <w:pStyle w:val="FootnoteText"/>
      </w:pPr>
      <w:r>
        <w:rPr>
          <w:rStyle w:val="FootnoteReference"/>
        </w:rPr>
        <w:footnoteRef/>
      </w:r>
      <w:r>
        <w:t xml:space="preserve"> </w:t>
      </w:r>
      <w:r>
        <w:rPr>
          <w:i/>
        </w:rPr>
        <w:t>See</w:t>
      </w:r>
      <w:r>
        <w:t xml:space="preserve"> </w:t>
      </w:r>
      <w:hyperlink r:id="rId5" w:history="1">
        <w:r>
          <w:rPr>
            <w:bCs/>
            <w:i/>
            <w:iCs/>
          </w:rPr>
          <w:t>P.D</w:t>
        </w:r>
        <w:r>
          <w:rPr>
            <w:i/>
            <w:iCs/>
          </w:rPr>
          <w:t xml:space="preserve">. </w:t>
        </w:r>
        <w:r>
          <w:rPr>
            <w:bCs/>
            <w:i/>
            <w:iCs/>
          </w:rPr>
          <w:t>Communications</w:t>
        </w:r>
        <w:r>
          <w:rPr>
            <w:i/>
            <w:iCs/>
          </w:rPr>
          <w:t xml:space="preserve">, </w:t>
        </w:r>
        <w:r>
          <w:rPr>
            <w:bCs/>
            <w:i/>
            <w:iCs/>
          </w:rPr>
          <w:t>LLC</w:t>
        </w:r>
        <w:r>
          <w:rPr>
            <w:i/>
            <w:iCs/>
          </w:rPr>
          <w:t>,</w:t>
        </w:r>
        <w:r w:rsidR="005E31F5">
          <w:t xml:space="preserve"> 20 FCC Rcd 16557 (MB</w:t>
        </w:r>
        <w:r>
          <w:t xml:space="preserve"> 2005)</w:t>
        </w:r>
      </w:hyperlink>
      <w:r>
        <w:t xml:space="preserve">.  </w:t>
      </w:r>
    </w:p>
  </w:footnote>
  <w:footnote w:id="29">
    <w:p w14:paraId="1091292D" w14:textId="0E8A8566" w:rsidR="00E03944" w:rsidRDefault="00E03944">
      <w:pPr>
        <w:pStyle w:val="FootnoteText"/>
      </w:pPr>
      <w:r>
        <w:rPr>
          <w:rStyle w:val="FootnoteReference"/>
        </w:rPr>
        <w:footnoteRef/>
      </w:r>
      <w:r>
        <w:t xml:space="preserve"> File No.BTCCDT-20121121AAL.</w:t>
      </w:r>
    </w:p>
  </w:footnote>
  <w:footnote w:id="30">
    <w:p w14:paraId="6D8FBC0D" w14:textId="0E398DFB" w:rsidR="00AA435E" w:rsidRDefault="00AA435E" w:rsidP="00AA435E">
      <w:pPr>
        <w:pStyle w:val="FootnoteText"/>
      </w:pPr>
      <w:r>
        <w:rPr>
          <w:rStyle w:val="FootnoteReference"/>
        </w:rPr>
        <w:footnoteRef/>
      </w:r>
      <w:r w:rsidR="00A03CB3">
        <w:t xml:space="preserve"> </w:t>
      </w:r>
      <w:r w:rsidR="00E03944">
        <w:rPr>
          <w:i/>
        </w:rPr>
        <w:t>Id.</w:t>
      </w:r>
      <w:r w:rsidR="00CB6F5B">
        <w:t xml:space="preserve"> </w:t>
      </w:r>
      <w:r w:rsidR="00B630D4">
        <w:t xml:space="preserve">(The application </w:t>
      </w:r>
      <w:r w:rsidR="005E31F5">
        <w:t>indicates that the transfer of control</w:t>
      </w:r>
      <w:r w:rsidR="00B630D4">
        <w:t xml:space="preserve"> was an intra-family transaction.)</w:t>
      </w:r>
    </w:p>
  </w:footnote>
  <w:footnote w:id="31">
    <w:p w14:paraId="7CADB5E3" w14:textId="16F3CBCB" w:rsidR="00FE54DB" w:rsidRPr="00421992" w:rsidRDefault="00FE54DB" w:rsidP="00FE54DB">
      <w:pPr>
        <w:pStyle w:val="FootnoteText"/>
      </w:pPr>
      <w:r w:rsidRPr="00421992">
        <w:rPr>
          <w:rStyle w:val="FootnoteReference"/>
        </w:rPr>
        <w:footnoteRef/>
      </w:r>
      <w:r w:rsidRPr="00421992">
        <w:t xml:space="preserve"> </w:t>
      </w:r>
      <w:r w:rsidRPr="00532D6E">
        <w:t>Response at</w:t>
      </w:r>
      <w:r>
        <w:t xml:space="preserve"> 5-6</w:t>
      </w:r>
      <w:r w:rsidRPr="00532D6E">
        <w:t xml:space="preserve">.  Response at 6, n.8.  </w:t>
      </w:r>
      <w:r w:rsidR="00B630D4">
        <w:t xml:space="preserve">The </w:t>
      </w:r>
      <w:r w:rsidRPr="00532D6E">
        <w:t>consummation of the pro forma assignment application merely changed the Licens</w:t>
      </w:r>
      <w:r w:rsidR="005E31F5">
        <w:t>ee from a corporation to an LLC</w:t>
      </w:r>
      <w:r w:rsidRPr="00532D6E">
        <w:t xml:space="preserve"> while maintaining the same ownership structure.  File No. B</w:t>
      </w:r>
      <w:r w:rsidR="00B630D4">
        <w:t>ALC</w:t>
      </w:r>
      <w:r w:rsidRPr="00532D6E">
        <w:t>DT-</w:t>
      </w:r>
      <w:r>
        <w:t>20</w:t>
      </w:r>
      <w:r w:rsidR="00B630D4">
        <w:t>13</w:t>
      </w:r>
      <w:r w:rsidR="005E31F5">
        <w:t>0</w:t>
      </w:r>
      <w:r w:rsidR="00B630D4">
        <w:t>131AAX</w:t>
      </w:r>
      <w:r w:rsidRPr="00532D6E">
        <w:t xml:space="preserve">.  </w:t>
      </w:r>
    </w:p>
  </w:footnote>
  <w:footnote w:id="32">
    <w:p w14:paraId="2F6D2AF3" w14:textId="77777777" w:rsidR="0019115D" w:rsidRDefault="0019115D" w:rsidP="0019115D">
      <w:pPr>
        <w:pStyle w:val="FootnoteText"/>
      </w:pPr>
      <w:r>
        <w:rPr>
          <w:rStyle w:val="FootnoteReference"/>
        </w:rPr>
        <w:footnoteRef/>
      </w:r>
      <w:r>
        <w:t xml:space="preserve"> </w:t>
      </w:r>
      <w:r>
        <w:rPr>
          <w:i/>
        </w:rPr>
        <w:t>See Forfeiture Policy Statement and Amendment of Section 1.80(b) of the Rules to Incorporate the Forfeiture Guidelines</w:t>
      </w:r>
      <w:r>
        <w:t xml:space="preserve">, Report and Order, 12 FCC Rcd 17087, 17113-15 (1997) </w:t>
      </w:r>
      <w:r>
        <w:rPr>
          <w:i/>
        </w:rPr>
        <w:t>(“Forfeiture Policy Statement”),</w:t>
      </w:r>
      <w:r>
        <w:t xml:space="preserve"> </w:t>
      </w:r>
      <w:r>
        <w:rPr>
          <w:i/>
        </w:rPr>
        <w:t>recon. denied</w:t>
      </w:r>
      <w:r>
        <w:t>, 15 FCC Rcd 303 (1999); 47 C.F.R. § 1.80(b)(4), note to paragraph (b)(4), Section I.</w:t>
      </w:r>
    </w:p>
  </w:footnote>
  <w:footnote w:id="33">
    <w:p w14:paraId="0A156FCB" w14:textId="77777777" w:rsidR="0019115D" w:rsidRDefault="0019115D" w:rsidP="0019115D">
      <w:pPr>
        <w:pStyle w:val="FootnoteText"/>
      </w:pPr>
      <w:r>
        <w:rPr>
          <w:rStyle w:val="FootnoteReference"/>
        </w:rPr>
        <w:footnoteRef/>
      </w:r>
      <w:r>
        <w:t xml:space="preserve"> 47 U.S.C. § 503(b)(2)(D); </w:t>
      </w:r>
      <w:r>
        <w:rPr>
          <w:i/>
        </w:rPr>
        <w:t xml:space="preserve">see also Forfeiture Policy Statement, </w:t>
      </w:r>
      <w:r>
        <w:t xml:space="preserve">12 FCC Rcd at 17100-01; 47 C.F.R. § 1.80(b)(4) and note to paragraph (b)(4), Section II. </w:t>
      </w:r>
    </w:p>
  </w:footnote>
  <w:footnote w:id="34">
    <w:p w14:paraId="63FA7CF8" w14:textId="183B1EDD" w:rsidR="005534FA" w:rsidRDefault="005534FA">
      <w:pPr>
        <w:pStyle w:val="FootnoteText"/>
      </w:pPr>
      <w:r>
        <w:rPr>
          <w:rStyle w:val="FootnoteReference"/>
        </w:rPr>
        <w:footnoteRef/>
      </w:r>
      <w:r>
        <w:t xml:space="preserve"> 47 C.F.R. § 73.3526(e)(11)(i).</w:t>
      </w:r>
    </w:p>
  </w:footnote>
  <w:footnote w:id="35">
    <w:p w14:paraId="736E651B" w14:textId="77777777" w:rsidR="009D0B9A" w:rsidRPr="00B43BB6" w:rsidRDefault="009D0B9A" w:rsidP="009D0B9A">
      <w:pPr>
        <w:pStyle w:val="FootnoteText"/>
      </w:pPr>
      <w:r w:rsidRPr="00B43BB6">
        <w:rPr>
          <w:rStyle w:val="FootnoteReference"/>
        </w:rPr>
        <w:footnoteRef/>
      </w:r>
      <w:r w:rsidRPr="00B43BB6">
        <w:t xml:space="preserve"> 47 U.S.C. § 503(b); 47 C.F.R. §§ 0.61(f)(1) &amp; 1.80(a)(1),</w:t>
      </w:r>
      <w:r w:rsidR="00CF3003">
        <w:t xml:space="preserve"> </w:t>
      </w:r>
      <w:r w:rsidRPr="00B43BB6">
        <w:t>(2).</w:t>
      </w:r>
    </w:p>
  </w:footnote>
  <w:footnote w:id="36">
    <w:p w14:paraId="6D29BD02" w14:textId="77777777" w:rsidR="002E1DCE" w:rsidRDefault="002E1DCE" w:rsidP="002E1DCE">
      <w:pPr>
        <w:pStyle w:val="FootnoteText"/>
      </w:pPr>
      <w:r>
        <w:rPr>
          <w:rStyle w:val="FootnoteReference"/>
        </w:rPr>
        <w:footnoteRef/>
      </w:r>
      <w:r>
        <w:t xml:space="preserve"> 47 C.F.R. § 73.3526(e)(11)(i).</w:t>
      </w:r>
    </w:p>
  </w:footnote>
  <w:footnote w:id="37">
    <w:p w14:paraId="7544EDD5" w14:textId="77777777" w:rsidR="009D0B9A" w:rsidRPr="00B43BB6" w:rsidRDefault="009D0B9A" w:rsidP="009D0B9A">
      <w:pPr>
        <w:pStyle w:val="FootnoteText"/>
      </w:pPr>
      <w:r w:rsidRPr="00B43BB6">
        <w:rPr>
          <w:rStyle w:val="FootnoteReference"/>
        </w:rPr>
        <w:footnoteRef/>
      </w:r>
      <w:r w:rsidRPr="00B43BB6">
        <w:t xml:space="preserve"> 47 C.F.R. § 1.80(h).</w:t>
      </w:r>
    </w:p>
  </w:footnote>
  <w:footnote w:id="38">
    <w:p w14:paraId="70650B2C" w14:textId="77777777" w:rsidR="009D0B9A" w:rsidRPr="00B43BB6" w:rsidRDefault="009D0B9A" w:rsidP="009D0B9A">
      <w:pPr>
        <w:pStyle w:val="FootnoteText"/>
      </w:pPr>
      <w:r w:rsidRPr="00B43BB6">
        <w:rPr>
          <w:rStyle w:val="FootnoteReference"/>
        </w:rPr>
        <w:footnoteRef/>
      </w:r>
      <w:r w:rsidRPr="00B43BB6">
        <w:t xml:space="preserve"> 47 U.S.C. § 504(a).</w:t>
      </w:r>
    </w:p>
  </w:footnote>
  <w:footnote w:id="39">
    <w:p w14:paraId="6F6A8E7E" w14:textId="74BDDB8D" w:rsidR="00253621" w:rsidRDefault="00253621" w:rsidP="00253621">
      <w:pPr>
        <w:pStyle w:val="FootnoteText"/>
        <w:widowControl w:val="0"/>
      </w:pPr>
      <w:r>
        <w:rPr>
          <w:rStyle w:val="FootnoteReference"/>
        </w:rPr>
        <w:footnoteRef/>
      </w:r>
      <w:r>
        <w:t xml:space="preserve"> </w:t>
      </w:r>
      <w:r w:rsidRPr="00436E1C">
        <w:rPr>
          <w:rFonts w:eastAsia="MS Mincho" w:cs="Arial"/>
        </w:rPr>
        <w:t xml:space="preserve">Payment may be made at the Commission’s online Fee Filer website: https://www.fcc.gov/encyclopedia/fee-filer. Payment may also be made by FCC Form 159; detailed instructions for completing the form may be obtained at </w:t>
      </w:r>
      <w:hyperlink r:id="rId6" w:history="1">
        <w:r w:rsidRPr="00FF0843">
          <w:rPr>
            <w:rStyle w:val="Hyperlink"/>
            <w:rFonts w:eastAsia="MS Mincho" w:cs="Arial"/>
          </w:rPr>
          <w:t>http://www.fcc.gov/Forms/Form159/159.pdf</w:t>
        </w:r>
      </w:hyperlink>
      <w:r w:rsidRPr="00436E1C">
        <w:rPr>
          <w:rFonts w:eastAsia="MS Mincho" w:cs="Arial"/>
        </w:rPr>
        <w:t>.</w:t>
      </w:r>
    </w:p>
  </w:footnote>
  <w:footnote w:id="40">
    <w:p w14:paraId="65E96D2F" w14:textId="77777777" w:rsidR="00253621" w:rsidRDefault="00253621" w:rsidP="00761488">
      <w:pPr>
        <w:pStyle w:val="FootnoteText"/>
      </w:pPr>
      <w:r>
        <w:rPr>
          <w:rStyle w:val="FootnoteReference"/>
        </w:rPr>
        <w:footnoteRef/>
      </w:r>
      <w:r>
        <w:t xml:space="preserve"> For q</w:t>
      </w:r>
      <w:r w:rsidRPr="001B654A">
        <w:t>uestions regardi</w:t>
      </w:r>
      <w:r>
        <w:t>ng payment procedures,</w:t>
      </w:r>
      <w:r w:rsidRPr="001B654A">
        <w:t xml:space="preserve"> contact the Financial Operations Group Help Desk b</w:t>
      </w:r>
      <w:r>
        <w:t>y phone at 1-877-480-3201 or e-</w:t>
      </w:r>
      <w:r w:rsidRPr="001B654A">
        <w:t>mail at ARINQUIRIES@fcc.gov.</w:t>
      </w:r>
    </w:p>
  </w:footnote>
  <w:footnote w:id="41">
    <w:p w14:paraId="470E9631" w14:textId="77777777" w:rsidR="00B43BB6" w:rsidRDefault="00B43BB6" w:rsidP="00B43BB6">
      <w:pPr>
        <w:pStyle w:val="FootnoteText"/>
      </w:pPr>
      <w:r w:rsidRPr="00825515">
        <w:rPr>
          <w:rStyle w:val="FootnoteReference"/>
        </w:rPr>
        <w:footnoteRef/>
      </w:r>
      <w:r w:rsidRPr="00825515">
        <w:t xml:space="preserve"> </w:t>
      </w:r>
      <w:r w:rsidRPr="00825515">
        <w:rPr>
          <w:i/>
        </w:rPr>
        <w:t>See</w:t>
      </w:r>
      <w:r w:rsidRPr="00825515">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2203B" w14:textId="77777777" w:rsidR="00C05E9A" w:rsidRDefault="00C05E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00636" w14:textId="511DE439" w:rsidR="00D25FB5" w:rsidRDefault="00D25FB5" w:rsidP="00810B6F">
    <w:pPr>
      <w:pStyle w:val="Header"/>
      <w:rPr>
        <w:b w:val="0"/>
      </w:rPr>
    </w:pPr>
    <w:r>
      <w:tab/>
      <w:t>Federal Communications Commission</w:t>
    </w:r>
    <w:r>
      <w:tab/>
    </w:r>
    <w:r w:rsidR="007755FA">
      <w:t>DA 16-</w:t>
    </w:r>
    <w:r w:rsidR="00BA258F">
      <w:t>552</w:t>
    </w:r>
  </w:p>
  <w:p w14:paraId="687B0561" w14:textId="77777777" w:rsidR="00D25FB5" w:rsidRDefault="0025362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4CFD32A" wp14:editId="73E4D58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56FFB4"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28A4A2E"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80ABC" w14:textId="2FC81791" w:rsidR="00D25FB5" w:rsidRDefault="00253621" w:rsidP="00810B6F">
    <w:pPr>
      <w:pStyle w:val="Header"/>
      <w:rPr>
        <w:b w:val="0"/>
      </w:rPr>
    </w:pPr>
    <w:r>
      <w:rPr>
        <w:noProof/>
      </w:rPr>
      <mc:AlternateContent>
        <mc:Choice Requires="wps">
          <w:drawing>
            <wp:anchor distT="0" distB="0" distL="114300" distR="114300" simplePos="0" relativeHeight="251658240" behindDoc="1" locked="0" layoutInCell="0" allowOverlap="1" wp14:anchorId="2CE0DC76" wp14:editId="49765FB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CDFF5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9D0B9A">
      <w:rPr>
        <w:spacing w:val="-2"/>
      </w:rPr>
      <w:t>DA 16-</w:t>
    </w:r>
    <w:r w:rsidR="00BA258F">
      <w:rPr>
        <w:spacing w:val="-2"/>
      </w:rPr>
      <w:t>552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3B0330"/>
    <w:multiLevelType w:val="hybridMultilevel"/>
    <w:tmpl w:val="12FC92C6"/>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CC11F87"/>
    <w:multiLevelType w:val="hybridMultilevel"/>
    <w:tmpl w:val="522CD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2A0C38"/>
    <w:multiLevelType w:val="hybridMultilevel"/>
    <w:tmpl w:val="CDBE93EE"/>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341241F"/>
    <w:multiLevelType w:val="singleLevel"/>
    <w:tmpl w:val="90407C64"/>
    <w:lvl w:ilvl="0">
      <w:start w:val="1"/>
      <w:numFmt w:val="decimal"/>
      <w:pStyle w:val="NumberedList"/>
      <w:lvlText w:val="%1."/>
      <w:lvlJc w:val="left"/>
      <w:pPr>
        <w:tabs>
          <w:tab w:val="num" w:pos="990"/>
        </w:tabs>
        <w:ind w:left="-90" w:firstLine="720"/>
      </w:pPr>
      <w:rPr>
        <w:rFonts w:ascii="Times New Roman" w:hAnsi="Times New Roman" w:hint="default"/>
        <w:b w:val="0"/>
        <w:i w:val="0"/>
        <w:sz w:val="22"/>
        <w:u w:val="none"/>
      </w:rPr>
    </w:lvl>
  </w:abstractNum>
  <w:abstractNum w:abstractNumId="10">
    <w:nsid w:val="61182925"/>
    <w:multiLevelType w:val="singleLevel"/>
    <w:tmpl w:val="22F0B588"/>
    <w:lvl w:ilvl="0">
      <w:start w:val="1"/>
      <w:numFmt w:val="decimal"/>
      <w:pStyle w:val="ParaNum"/>
      <w:lvlText w:val="%1."/>
      <w:lvlJc w:val="left"/>
      <w:pPr>
        <w:tabs>
          <w:tab w:val="num" w:pos="1080"/>
        </w:tabs>
        <w:ind w:left="0" w:firstLine="720"/>
      </w:pPr>
      <w:rPr>
        <w:color w:val="auto"/>
      </w:rPr>
    </w:lvl>
  </w:abstractNum>
  <w:num w:numId="1">
    <w:abstractNumId w:val="2"/>
  </w:num>
  <w:num w:numId="2">
    <w:abstractNumId w:val="10"/>
  </w:num>
  <w:num w:numId="3">
    <w:abstractNumId w:val="4"/>
  </w:num>
  <w:num w:numId="4">
    <w:abstractNumId w:val="8"/>
  </w:num>
  <w:num w:numId="5">
    <w:abstractNumId w:val="3"/>
  </w:num>
  <w:num w:numId="6">
    <w:abstractNumId w:val="0"/>
  </w:num>
  <w:num w:numId="7">
    <w:abstractNumId w:val="9"/>
  </w:num>
  <w:num w:numId="8">
    <w:abstractNumId w:val="6"/>
  </w:num>
  <w:num w:numId="9">
    <w:abstractNumId w:val="1"/>
  </w:num>
  <w:num w:numId="10">
    <w:abstractNumId w:val="7"/>
  </w:num>
  <w:num w:numId="11">
    <w:abstractNumId w:val="5"/>
  </w:num>
  <w:num w:numId="12">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9A"/>
    <w:rsid w:val="00024A38"/>
    <w:rsid w:val="000333A9"/>
    <w:rsid w:val="00036039"/>
    <w:rsid w:val="0003766A"/>
    <w:rsid w:val="00037F90"/>
    <w:rsid w:val="000511FB"/>
    <w:rsid w:val="00077CD0"/>
    <w:rsid w:val="0008376C"/>
    <w:rsid w:val="000875BF"/>
    <w:rsid w:val="00096D8C"/>
    <w:rsid w:val="000A381C"/>
    <w:rsid w:val="000C0B65"/>
    <w:rsid w:val="000E05FE"/>
    <w:rsid w:val="000E3D42"/>
    <w:rsid w:val="000E54D2"/>
    <w:rsid w:val="001035A0"/>
    <w:rsid w:val="00116468"/>
    <w:rsid w:val="00122BD5"/>
    <w:rsid w:val="00133F79"/>
    <w:rsid w:val="001351A4"/>
    <w:rsid w:val="00141B3D"/>
    <w:rsid w:val="00151A0B"/>
    <w:rsid w:val="0016294C"/>
    <w:rsid w:val="00174E57"/>
    <w:rsid w:val="00175431"/>
    <w:rsid w:val="0019115D"/>
    <w:rsid w:val="00194A66"/>
    <w:rsid w:val="001C73B4"/>
    <w:rsid w:val="001D3DB4"/>
    <w:rsid w:val="001D6BCF"/>
    <w:rsid w:val="001D6E11"/>
    <w:rsid w:val="001E01CA"/>
    <w:rsid w:val="00210EFE"/>
    <w:rsid w:val="002318D5"/>
    <w:rsid w:val="00231B4F"/>
    <w:rsid w:val="00250C7C"/>
    <w:rsid w:val="00253621"/>
    <w:rsid w:val="0025643C"/>
    <w:rsid w:val="00273371"/>
    <w:rsid w:val="00275CF5"/>
    <w:rsid w:val="0028301F"/>
    <w:rsid w:val="0028391F"/>
    <w:rsid w:val="00284EB5"/>
    <w:rsid w:val="00285017"/>
    <w:rsid w:val="00287119"/>
    <w:rsid w:val="002A2D2E"/>
    <w:rsid w:val="002B0C79"/>
    <w:rsid w:val="002C00E8"/>
    <w:rsid w:val="002C3A5A"/>
    <w:rsid w:val="002E1DCE"/>
    <w:rsid w:val="003050A4"/>
    <w:rsid w:val="00322C4E"/>
    <w:rsid w:val="00343749"/>
    <w:rsid w:val="003660ED"/>
    <w:rsid w:val="003A2BF2"/>
    <w:rsid w:val="003B0550"/>
    <w:rsid w:val="003B0D30"/>
    <w:rsid w:val="003B694F"/>
    <w:rsid w:val="003D128E"/>
    <w:rsid w:val="003F171C"/>
    <w:rsid w:val="00402022"/>
    <w:rsid w:val="00405CA5"/>
    <w:rsid w:val="00412FC5"/>
    <w:rsid w:val="00421992"/>
    <w:rsid w:val="00422276"/>
    <w:rsid w:val="004242F1"/>
    <w:rsid w:val="0044514C"/>
    <w:rsid w:val="00445A00"/>
    <w:rsid w:val="00451B0F"/>
    <w:rsid w:val="00467B61"/>
    <w:rsid w:val="0047766B"/>
    <w:rsid w:val="00486F86"/>
    <w:rsid w:val="004B3590"/>
    <w:rsid w:val="004C2213"/>
    <w:rsid w:val="004C2EE3"/>
    <w:rsid w:val="004D487E"/>
    <w:rsid w:val="004E4A22"/>
    <w:rsid w:val="004F05E9"/>
    <w:rsid w:val="00511968"/>
    <w:rsid w:val="00530FC7"/>
    <w:rsid w:val="00532D6E"/>
    <w:rsid w:val="005333B1"/>
    <w:rsid w:val="005534FA"/>
    <w:rsid w:val="0055614C"/>
    <w:rsid w:val="00564EB2"/>
    <w:rsid w:val="0056729A"/>
    <w:rsid w:val="00574E96"/>
    <w:rsid w:val="0058781D"/>
    <w:rsid w:val="005D113C"/>
    <w:rsid w:val="005D232E"/>
    <w:rsid w:val="005E14C2"/>
    <w:rsid w:val="005E14EE"/>
    <w:rsid w:val="005E31F5"/>
    <w:rsid w:val="005F2E0E"/>
    <w:rsid w:val="00600D00"/>
    <w:rsid w:val="00604D8F"/>
    <w:rsid w:val="00605D7C"/>
    <w:rsid w:val="00607BA5"/>
    <w:rsid w:val="0061180A"/>
    <w:rsid w:val="00614391"/>
    <w:rsid w:val="00626EB6"/>
    <w:rsid w:val="0063475E"/>
    <w:rsid w:val="00635A5F"/>
    <w:rsid w:val="00640A19"/>
    <w:rsid w:val="00655D03"/>
    <w:rsid w:val="00667EFE"/>
    <w:rsid w:val="00683388"/>
    <w:rsid w:val="00683F84"/>
    <w:rsid w:val="00695F62"/>
    <w:rsid w:val="006A6A81"/>
    <w:rsid w:val="006C171D"/>
    <w:rsid w:val="006F7393"/>
    <w:rsid w:val="0070224F"/>
    <w:rsid w:val="00702BA6"/>
    <w:rsid w:val="007115F7"/>
    <w:rsid w:val="007247E0"/>
    <w:rsid w:val="00735B15"/>
    <w:rsid w:val="00755FBD"/>
    <w:rsid w:val="00761488"/>
    <w:rsid w:val="00773573"/>
    <w:rsid w:val="00774713"/>
    <w:rsid w:val="007755FA"/>
    <w:rsid w:val="00785689"/>
    <w:rsid w:val="0079754B"/>
    <w:rsid w:val="007A1E6D"/>
    <w:rsid w:val="007B0EB2"/>
    <w:rsid w:val="007B0F6C"/>
    <w:rsid w:val="007C3C8C"/>
    <w:rsid w:val="007E20F5"/>
    <w:rsid w:val="00810B6F"/>
    <w:rsid w:val="00822CE0"/>
    <w:rsid w:val="008343B3"/>
    <w:rsid w:val="00841AB1"/>
    <w:rsid w:val="00866515"/>
    <w:rsid w:val="00881EA6"/>
    <w:rsid w:val="00893CDF"/>
    <w:rsid w:val="008C68F1"/>
    <w:rsid w:val="008D4547"/>
    <w:rsid w:val="008E799C"/>
    <w:rsid w:val="008F427D"/>
    <w:rsid w:val="008F5CBA"/>
    <w:rsid w:val="00921803"/>
    <w:rsid w:val="009220E1"/>
    <w:rsid w:val="00926503"/>
    <w:rsid w:val="00937CDE"/>
    <w:rsid w:val="00951C4B"/>
    <w:rsid w:val="009726D8"/>
    <w:rsid w:val="009C3C02"/>
    <w:rsid w:val="009C75CA"/>
    <w:rsid w:val="009D0B9A"/>
    <w:rsid w:val="009D3BC3"/>
    <w:rsid w:val="009F014E"/>
    <w:rsid w:val="009F3B25"/>
    <w:rsid w:val="009F76DB"/>
    <w:rsid w:val="00A03CB3"/>
    <w:rsid w:val="00A0496D"/>
    <w:rsid w:val="00A106D9"/>
    <w:rsid w:val="00A23FD1"/>
    <w:rsid w:val="00A32948"/>
    <w:rsid w:val="00A32C3B"/>
    <w:rsid w:val="00A33812"/>
    <w:rsid w:val="00A424F9"/>
    <w:rsid w:val="00A45F4F"/>
    <w:rsid w:val="00A523DB"/>
    <w:rsid w:val="00A528B9"/>
    <w:rsid w:val="00A600A9"/>
    <w:rsid w:val="00A9002B"/>
    <w:rsid w:val="00A92863"/>
    <w:rsid w:val="00AA435E"/>
    <w:rsid w:val="00AA55B7"/>
    <w:rsid w:val="00AA5B9E"/>
    <w:rsid w:val="00AB2407"/>
    <w:rsid w:val="00AB2525"/>
    <w:rsid w:val="00AB53DF"/>
    <w:rsid w:val="00AF3A4A"/>
    <w:rsid w:val="00B07E5C"/>
    <w:rsid w:val="00B232A7"/>
    <w:rsid w:val="00B238B1"/>
    <w:rsid w:val="00B43BB6"/>
    <w:rsid w:val="00B5733A"/>
    <w:rsid w:val="00B630D4"/>
    <w:rsid w:val="00B65388"/>
    <w:rsid w:val="00B73585"/>
    <w:rsid w:val="00B811F7"/>
    <w:rsid w:val="00B83B90"/>
    <w:rsid w:val="00B85170"/>
    <w:rsid w:val="00B949B6"/>
    <w:rsid w:val="00BA258F"/>
    <w:rsid w:val="00BA3977"/>
    <w:rsid w:val="00BA5DC6"/>
    <w:rsid w:val="00BA6196"/>
    <w:rsid w:val="00BB55A5"/>
    <w:rsid w:val="00BC6D8C"/>
    <w:rsid w:val="00C05E9A"/>
    <w:rsid w:val="00C34006"/>
    <w:rsid w:val="00C426B1"/>
    <w:rsid w:val="00C66160"/>
    <w:rsid w:val="00C721AC"/>
    <w:rsid w:val="00C72B04"/>
    <w:rsid w:val="00C90D6A"/>
    <w:rsid w:val="00CA247E"/>
    <w:rsid w:val="00CA2740"/>
    <w:rsid w:val="00CB6F5B"/>
    <w:rsid w:val="00CC72B6"/>
    <w:rsid w:val="00CF3003"/>
    <w:rsid w:val="00D0218D"/>
    <w:rsid w:val="00D03D39"/>
    <w:rsid w:val="00D25FB5"/>
    <w:rsid w:val="00D315E2"/>
    <w:rsid w:val="00D44223"/>
    <w:rsid w:val="00D6284F"/>
    <w:rsid w:val="00D70C95"/>
    <w:rsid w:val="00D9650A"/>
    <w:rsid w:val="00DA2529"/>
    <w:rsid w:val="00DB130A"/>
    <w:rsid w:val="00DB2EBB"/>
    <w:rsid w:val="00DC10A1"/>
    <w:rsid w:val="00DC4CC5"/>
    <w:rsid w:val="00DC655F"/>
    <w:rsid w:val="00DD0B59"/>
    <w:rsid w:val="00DD7EBD"/>
    <w:rsid w:val="00DE5B81"/>
    <w:rsid w:val="00DE6C76"/>
    <w:rsid w:val="00DE7F37"/>
    <w:rsid w:val="00DF62B6"/>
    <w:rsid w:val="00E03944"/>
    <w:rsid w:val="00E07225"/>
    <w:rsid w:val="00E0788E"/>
    <w:rsid w:val="00E502D0"/>
    <w:rsid w:val="00E51EC1"/>
    <w:rsid w:val="00E525F1"/>
    <w:rsid w:val="00E5409F"/>
    <w:rsid w:val="00E84983"/>
    <w:rsid w:val="00E97EFE"/>
    <w:rsid w:val="00EA2291"/>
    <w:rsid w:val="00EA3977"/>
    <w:rsid w:val="00EA63C0"/>
    <w:rsid w:val="00ED0434"/>
    <w:rsid w:val="00ED70BF"/>
    <w:rsid w:val="00EE1CF1"/>
    <w:rsid w:val="00EE6488"/>
    <w:rsid w:val="00EF3D64"/>
    <w:rsid w:val="00F021FA"/>
    <w:rsid w:val="00F1537A"/>
    <w:rsid w:val="00F23BE1"/>
    <w:rsid w:val="00F3088C"/>
    <w:rsid w:val="00F515FC"/>
    <w:rsid w:val="00F62E97"/>
    <w:rsid w:val="00F64209"/>
    <w:rsid w:val="00F746FD"/>
    <w:rsid w:val="00F93BF5"/>
    <w:rsid w:val="00FB6FAF"/>
    <w:rsid w:val="00FE5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BC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link w:val="FootnoteTextChar"/>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9D0B9A"/>
    <w:pPr>
      <w:numPr>
        <w:numId w:val="7"/>
      </w:numPr>
      <w:spacing w:after="220"/>
    </w:p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D0B9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B43BB6"/>
    <w:rPr>
      <w:lang w:val="en-US" w:eastAsia="en-US" w:bidi="ar-SA"/>
    </w:rPr>
  </w:style>
  <w:style w:type="character" w:customStyle="1" w:styleId="ParaNumChar">
    <w:name w:val="ParaNum Char"/>
    <w:link w:val="ParaNum"/>
    <w:rsid w:val="00253621"/>
    <w:rPr>
      <w:snapToGrid w:val="0"/>
      <w:kern w:val="28"/>
      <w:sz w:val="22"/>
    </w:rPr>
  </w:style>
  <w:style w:type="paragraph" w:styleId="BalloonText">
    <w:name w:val="Balloon Text"/>
    <w:basedOn w:val="Normal"/>
    <w:link w:val="BalloonTextChar"/>
    <w:rsid w:val="009220E1"/>
    <w:rPr>
      <w:rFonts w:ascii="Segoe UI" w:hAnsi="Segoe UI" w:cs="Segoe UI"/>
      <w:sz w:val="18"/>
      <w:szCs w:val="18"/>
    </w:rPr>
  </w:style>
  <w:style w:type="character" w:customStyle="1" w:styleId="BalloonTextChar">
    <w:name w:val="Balloon Text Char"/>
    <w:basedOn w:val="DefaultParagraphFont"/>
    <w:link w:val="BalloonText"/>
    <w:rsid w:val="009220E1"/>
    <w:rPr>
      <w:rFonts w:ascii="Segoe UI" w:hAnsi="Segoe UI" w:cs="Segoe UI"/>
      <w:snapToGrid w:val="0"/>
      <w:kern w:val="28"/>
      <w:sz w:val="18"/>
      <w:szCs w:val="18"/>
    </w:rPr>
  </w:style>
  <w:style w:type="paragraph" w:styleId="ListParagraph">
    <w:name w:val="List Paragraph"/>
    <w:basedOn w:val="Normal"/>
    <w:uiPriority w:val="34"/>
    <w:qFormat/>
    <w:rsid w:val="007755FA"/>
    <w:pPr>
      <w:ind w:left="720"/>
      <w:contextualSpacing/>
    </w:pPr>
  </w:style>
  <w:style w:type="character" w:styleId="CommentReference">
    <w:name w:val="annotation reference"/>
    <w:basedOn w:val="DefaultParagraphFont"/>
    <w:rsid w:val="00D315E2"/>
    <w:rPr>
      <w:sz w:val="16"/>
      <w:szCs w:val="16"/>
    </w:rPr>
  </w:style>
  <w:style w:type="paragraph" w:styleId="CommentText">
    <w:name w:val="annotation text"/>
    <w:basedOn w:val="Normal"/>
    <w:link w:val="CommentTextChar"/>
    <w:rsid w:val="00D315E2"/>
    <w:rPr>
      <w:sz w:val="20"/>
    </w:rPr>
  </w:style>
  <w:style w:type="character" w:customStyle="1" w:styleId="CommentTextChar">
    <w:name w:val="Comment Text Char"/>
    <w:basedOn w:val="DefaultParagraphFont"/>
    <w:link w:val="CommentText"/>
    <w:rsid w:val="00D315E2"/>
    <w:rPr>
      <w:snapToGrid w:val="0"/>
      <w:kern w:val="28"/>
    </w:rPr>
  </w:style>
  <w:style w:type="paragraph" w:styleId="CommentSubject">
    <w:name w:val="annotation subject"/>
    <w:basedOn w:val="CommentText"/>
    <w:next w:val="CommentText"/>
    <w:link w:val="CommentSubjectChar"/>
    <w:rsid w:val="00D315E2"/>
    <w:rPr>
      <w:b/>
      <w:bCs/>
    </w:rPr>
  </w:style>
  <w:style w:type="character" w:customStyle="1" w:styleId="CommentSubjectChar">
    <w:name w:val="Comment Subject Char"/>
    <w:basedOn w:val="CommentTextChar"/>
    <w:link w:val="CommentSubject"/>
    <w:rsid w:val="00D315E2"/>
    <w:rPr>
      <w:b/>
      <w:bCs/>
      <w:snapToGrid w:val="0"/>
      <w:kern w:val="28"/>
    </w:rPr>
  </w:style>
  <w:style w:type="paragraph" w:styleId="Revision">
    <w:name w:val="Revision"/>
    <w:hidden/>
    <w:uiPriority w:val="99"/>
    <w:semiHidden/>
    <w:rsid w:val="003B0D3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ft"/>
    <w:link w:val="FootnoteTextChar"/>
    <w:rsid w:val="000E3D42"/>
    <w:pPr>
      <w:spacing w:after="120"/>
    </w:pPr>
  </w:style>
  <w:style w:type="character" w:styleId="FootnoteReference">
    <w:name w:val="footnote reference"/>
    <w:aliases w:val="Style 4,Style 12,(NECG) Footnote Reference,Appel note de bas de p,Style 124,Style 13,o,fr,Style 3,Footnote Reference1,Style 17,FR,Footnote Reference/,Style 6,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customStyle="1" w:styleId="NumberedList">
    <w:name w:val="Numbered List"/>
    <w:basedOn w:val="Normal"/>
    <w:rsid w:val="009D0B9A"/>
    <w:pPr>
      <w:numPr>
        <w:numId w:val="7"/>
      </w:numPr>
      <w:spacing w:after="220"/>
    </w:pPr>
  </w:style>
  <w:style w:type="character" w:customStyle="1" w:styleId="FootnoteTextChar">
    <w:name w:val="Footnote Text Char"/>
    <w:aliases w:val="Footnote Text Char1 Char1,Footnote Text Char7 Char Char1,Footnote Text Char4 Char1 Char Char1,Footnote Text Char Char Char4 Char Char1,Footnote Text Char7 Char Char Char Char Char1,Footnote Text Char4 Char1 Char Char Char Char Char1"/>
    <w:link w:val="FootnoteText"/>
    <w:rsid w:val="009D0B9A"/>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rsid w:val="00B43BB6"/>
    <w:rPr>
      <w:lang w:val="en-US" w:eastAsia="en-US" w:bidi="ar-SA"/>
    </w:rPr>
  </w:style>
  <w:style w:type="character" w:customStyle="1" w:styleId="ParaNumChar">
    <w:name w:val="ParaNum Char"/>
    <w:link w:val="ParaNum"/>
    <w:rsid w:val="00253621"/>
    <w:rPr>
      <w:snapToGrid w:val="0"/>
      <w:kern w:val="28"/>
      <w:sz w:val="22"/>
    </w:rPr>
  </w:style>
  <w:style w:type="paragraph" w:styleId="BalloonText">
    <w:name w:val="Balloon Text"/>
    <w:basedOn w:val="Normal"/>
    <w:link w:val="BalloonTextChar"/>
    <w:rsid w:val="009220E1"/>
    <w:rPr>
      <w:rFonts w:ascii="Segoe UI" w:hAnsi="Segoe UI" w:cs="Segoe UI"/>
      <w:sz w:val="18"/>
      <w:szCs w:val="18"/>
    </w:rPr>
  </w:style>
  <w:style w:type="character" w:customStyle="1" w:styleId="BalloonTextChar">
    <w:name w:val="Balloon Text Char"/>
    <w:basedOn w:val="DefaultParagraphFont"/>
    <w:link w:val="BalloonText"/>
    <w:rsid w:val="009220E1"/>
    <w:rPr>
      <w:rFonts w:ascii="Segoe UI" w:hAnsi="Segoe UI" w:cs="Segoe UI"/>
      <w:snapToGrid w:val="0"/>
      <w:kern w:val="28"/>
      <w:sz w:val="18"/>
      <w:szCs w:val="18"/>
    </w:rPr>
  </w:style>
  <w:style w:type="paragraph" w:styleId="ListParagraph">
    <w:name w:val="List Paragraph"/>
    <w:basedOn w:val="Normal"/>
    <w:uiPriority w:val="34"/>
    <w:qFormat/>
    <w:rsid w:val="007755FA"/>
    <w:pPr>
      <w:ind w:left="720"/>
      <w:contextualSpacing/>
    </w:pPr>
  </w:style>
  <w:style w:type="character" w:styleId="CommentReference">
    <w:name w:val="annotation reference"/>
    <w:basedOn w:val="DefaultParagraphFont"/>
    <w:rsid w:val="00D315E2"/>
    <w:rPr>
      <w:sz w:val="16"/>
      <w:szCs w:val="16"/>
    </w:rPr>
  </w:style>
  <w:style w:type="paragraph" w:styleId="CommentText">
    <w:name w:val="annotation text"/>
    <w:basedOn w:val="Normal"/>
    <w:link w:val="CommentTextChar"/>
    <w:rsid w:val="00D315E2"/>
    <w:rPr>
      <w:sz w:val="20"/>
    </w:rPr>
  </w:style>
  <w:style w:type="character" w:customStyle="1" w:styleId="CommentTextChar">
    <w:name w:val="Comment Text Char"/>
    <w:basedOn w:val="DefaultParagraphFont"/>
    <w:link w:val="CommentText"/>
    <w:rsid w:val="00D315E2"/>
    <w:rPr>
      <w:snapToGrid w:val="0"/>
      <w:kern w:val="28"/>
    </w:rPr>
  </w:style>
  <w:style w:type="paragraph" w:styleId="CommentSubject">
    <w:name w:val="annotation subject"/>
    <w:basedOn w:val="CommentText"/>
    <w:next w:val="CommentText"/>
    <w:link w:val="CommentSubjectChar"/>
    <w:rsid w:val="00D315E2"/>
    <w:rPr>
      <w:b/>
      <w:bCs/>
    </w:rPr>
  </w:style>
  <w:style w:type="character" w:customStyle="1" w:styleId="CommentSubjectChar">
    <w:name w:val="Comment Subject Char"/>
    <w:basedOn w:val="CommentTextChar"/>
    <w:link w:val="CommentSubject"/>
    <w:rsid w:val="00D315E2"/>
    <w:rPr>
      <w:b/>
      <w:bCs/>
      <w:snapToGrid w:val="0"/>
      <w:kern w:val="28"/>
    </w:rPr>
  </w:style>
  <w:style w:type="paragraph" w:styleId="Revision">
    <w:name w:val="Revision"/>
    <w:hidden/>
    <w:uiPriority w:val="99"/>
    <w:semiHidden/>
    <w:rsid w:val="003B0D3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1.next.westlaw.com/Link/Document/FullText?findType=Y&amp;serNum=2029774417&amp;pubNum=0004493&amp;originatingDoc=I7a9080fdade311e590d4edf60ce7d742&amp;refType=CA&amp;originationContext=document&amp;transitionType=DocumentItem&amp;contextData=(sc.UserEnteredCitation)" TargetMode="External"/><Relationship Id="rId2" Type="http://schemas.openxmlformats.org/officeDocument/2006/relationships/hyperlink" Target="https://1.next.westlaw.com/Link/Document/FullText?findType=Y&amp;serNum=2029410838&amp;pubNum=0004493&amp;originatingDoc=I7a9080fdade311e590d4edf60ce7d742&amp;refType=CA&amp;originationContext=document&amp;transitionType=DocumentItem&amp;contextData=(sc.UserEnteredCitation)" TargetMode="External"/><Relationship Id="rId1" Type="http://schemas.openxmlformats.org/officeDocument/2006/relationships/hyperlink" Target="https://1.next.westlaw.com/Link/Document/FullText?findType=Y&amp;serNum=2028157601&amp;pubNum=0004493&amp;originatingDoc=I7a9080fdade311e590d4edf60ce7d742&amp;refType=CA&amp;originationContext=document&amp;transitionType=DocumentItem&amp;contextData=(sc.UserEnteredCitation)" TargetMode="External"/><Relationship Id="rId6" Type="http://schemas.openxmlformats.org/officeDocument/2006/relationships/hyperlink" Target="http://www.fcc.gov/Forms/Form159/159.pdf" TargetMode="External"/><Relationship Id="rId5" Type="http://schemas.openxmlformats.org/officeDocument/2006/relationships/hyperlink" Target="https://a.next.westlaw.com/Link/Document/FullText?findType=Y&amp;serNum=2007554944&amp;pubNum=4493&amp;originatingDoc=Idf613f65109811df8bf6cd8525c41437&amp;refType=CA&amp;originationContext=document&amp;transitionType=DocumentItem&amp;contextData=(sc.Search)" TargetMode="External"/><Relationship Id="rId4" Type="http://schemas.openxmlformats.org/officeDocument/2006/relationships/hyperlink" Target="https://1.next.westlaw.com/Link/Document/FullText?findType=Y&amp;serNum=2027608244&amp;pubNum=0004493&amp;originatingDoc=I7a9080fdade311e590d4edf60ce7d742&amp;refType=CA&amp;fi=co_pp_sp_4493_4580&amp;originationContext=document&amp;transitionType=DocumentItem&amp;contextData=(sc.UserEnteredCit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1775</Words>
  <Characters>9657</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11499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2016-05-17T16:28:00Z</cp:lastPrinted>
  <dcterms:created xsi:type="dcterms:W3CDTF">2016-05-18T14:04:00Z</dcterms:created>
  <dcterms:modified xsi:type="dcterms:W3CDTF">2016-05-18T14:04:00Z</dcterms:modified>
  <cp:category> </cp:category>
  <cp:contentStatus> </cp:contentStatus>
</cp:coreProperties>
</file>