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F975D"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E4E9449" w14:textId="77777777" w:rsidR="00921803" w:rsidRDefault="00921803" w:rsidP="00921803">
      <w:pPr>
        <w:pStyle w:val="StyleBoldCentered"/>
      </w:pPr>
      <w:r>
        <w:t>F</w:t>
      </w:r>
      <w:r>
        <w:rPr>
          <w:caps w:val="0"/>
        </w:rPr>
        <w:t>ederal Communications Commission</w:t>
      </w:r>
    </w:p>
    <w:p w14:paraId="279BBBFE" w14:textId="77777777" w:rsidR="004C2EE3" w:rsidRDefault="00810B6F" w:rsidP="00096D8C">
      <w:pPr>
        <w:pStyle w:val="StyleBoldCentered"/>
      </w:pPr>
      <w:r>
        <w:rPr>
          <w:caps w:val="0"/>
        </w:rPr>
        <w:t>Washington, D.C. 20554</w:t>
      </w:r>
    </w:p>
    <w:p w14:paraId="1C87C256" w14:textId="77777777" w:rsidR="004C2EE3" w:rsidRDefault="004C2EE3" w:rsidP="0070224F"/>
    <w:p w14:paraId="1F372686"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739CD014" w14:textId="77777777">
        <w:tc>
          <w:tcPr>
            <w:tcW w:w="4698" w:type="dxa"/>
          </w:tcPr>
          <w:p w14:paraId="21CDAEE2" w14:textId="77777777" w:rsidR="00CF43A7" w:rsidRDefault="00CF43A7" w:rsidP="007115F7">
            <w:pPr>
              <w:tabs>
                <w:tab w:val="center" w:pos="4680"/>
              </w:tabs>
              <w:suppressAutoHyphens/>
              <w:rPr>
                <w:spacing w:val="-2"/>
              </w:rPr>
            </w:pPr>
            <w:r>
              <w:rPr>
                <w:spacing w:val="-2"/>
              </w:rPr>
              <w:t>In the Matter of</w:t>
            </w:r>
          </w:p>
          <w:p w14:paraId="6ABAE386" w14:textId="77777777" w:rsidR="00CF43A7" w:rsidRDefault="00CF43A7" w:rsidP="007115F7">
            <w:pPr>
              <w:tabs>
                <w:tab w:val="center" w:pos="4680"/>
              </w:tabs>
              <w:suppressAutoHyphens/>
              <w:rPr>
                <w:spacing w:val="-2"/>
              </w:rPr>
            </w:pPr>
          </w:p>
          <w:p w14:paraId="1EB77A34" w14:textId="77777777" w:rsidR="004C2EE3" w:rsidRPr="007115F7" w:rsidRDefault="00DE3FF5" w:rsidP="007115F7">
            <w:pPr>
              <w:tabs>
                <w:tab w:val="center" w:pos="4680"/>
              </w:tabs>
              <w:suppressAutoHyphens/>
              <w:rPr>
                <w:spacing w:val="-2"/>
              </w:rPr>
            </w:pPr>
            <w:r>
              <w:rPr>
                <w:spacing w:val="-2"/>
              </w:rPr>
              <w:t>Removing</w:t>
            </w:r>
            <w:r w:rsidR="00CF43A7">
              <w:rPr>
                <w:spacing w:val="-2"/>
              </w:rPr>
              <w:t xml:space="preserve"> Cuba from</w:t>
            </w:r>
            <w:r>
              <w:rPr>
                <w:spacing w:val="-2"/>
              </w:rPr>
              <w:t xml:space="preserve"> the Exclusion List for</w:t>
            </w:r>
            <w:r w:rsidR="00CF43A7">
              <w:rPr>
                <w:spacing w:val="-2"/>
              </w:rPr>
              <w:t xml:space="preserve"> </w:t>
            </w:r>
            <w:r w:rsidR="00D70FDA">
              <w:rPr>
                <w:spacing w:val="-2"/>
              </w:rPr>
              <w:t>International</w:t>
            </w:r>
            <w:r>
              <w:rPr>
                <w:spacing w:val="-2"/>
              </w:rPr>
              <w:t xml:space="preserve"> Section 214 Authorizations</w:t>
            </w:r>
          </w:p>
        </w:tc>
        <w:tc>
          <w:tcPr>
            <w:tcW w:w="630" w:type="dxa"/>
          </w:tcPr>
          <w:p w14:paraId="7FD7CD4A" w14:textId="77777777" w:rsidR="004C2EE3" w:rsidRDefault="004C2EE3">
            <w:pPr>
              <w:tabs>
                <w:tab w:val="center" w:pos="4680"/>
              </w:tabs>
              <w:suppressAutoHyphens/>
              <w:rPr>
                <w:b/>
                <w:spacing w:val="-2"/>
              </w:rPr>
            </w:pPr>
            <w:r>
              <w:rPr>
                <w:b/>
                <w:spacing w:val="-2"/>
              </w:rPr>
              <w:t>)</w:t>
            </w:r>
          </w:p>
          <w:p w14:paraId="14EB9D20" w14:textId="77777777" w:rsidR="004C2EE3" w:rsidRDefault="004C2EE3">
            <w:pPr>
              <w:tabs>
                <w:tab w:val="center" w:pos="4680"/>
              </w:tabs>
              <w:suppressAutoHyphens/>
              <w:rPr>
                <w:b/>
                <w:spacing w:val="-2"/>
              </w:rPr>
            </w:pPr>
            <w:r>
              <w:rPr>
                <w:b/>
                <w:spacing w:val="-2"/>
              </w:rPr>
              <w:t>)</w:t>
            </w:r>
          </w:p>
          <w:p w14:paraId="2DF7973D" w14:textId="77777777" w:rsidR="004C2EE3" w:rsidRDefault="004C2EE3">
            <w:pPr>
              <w:tabs>
                <w:tab w:val="center" w:pos="4680"/>
              </w:tabs>
              <w:suppressAutoHyphens/>
              <w:rPr>
                <w:b/>
                <w:spacing w:val="-2"/>
              </w:rPr>
            </w:pPr>
            <w:r>
              <w:rPr>
                <w:b/>
                <w:spacing w:val="-2"/>
              </w:rPr>
              <w:t>)</w:t>
            </w:r>
          </w:p>
          <w:p w14:paraId="0E71C4FF" w14:textId="77777777" w:rsidR="004C2EE3" w:rsidRDefault="004C2EE3">
            <w:pPr>
              <w:tabs>
                <w:tab w:val="center" w:pos="4680"/>
              </w:tabs>
              <w:suppressAutoHyphens/>
              <w:rPr>
                <w:b/>
                <w:spacing w:val="-2"/>
              </w:rPr>
            </w:pPr>
            <w:r>
              <w:rPr>
                <w:b/>
                <w:spacing w:val="-2"/>
              </w:rPr>
              <w:t>)</w:t>
            </w:r>
          </w:p>
          <w:p w14:paraId="3D9F2934" w14:textId="77777777" w:rsidR="004C2EE3" w:rsidRDefault="004C2EE3">
            <w:pPr>
              <w:tabs>
                <w:tab w:val="center" w:pos="4680"/>
              </w:tabs>
              <w:suppressAutoHyphens/>
              <w:rPr>
                <w:spacing w:val="-2"/>
              </w:rPr>
            </w:pPr>
          </w:p>
        </w:tc>
        <w:tc>
          <w:tcPr>
            <w:tcW w:w="4248" w:type="dxa"/>
          </w:tcPr>
          <w:p w14:paraId="1DFC7D12" w14:textId="77777777" w:rsidR="004C2EE3" w:rsidRDefault="004C2EE3">
            <w:pPr>
              <w:tabs>
                <w:tab w:val="center" w:pos="4680"/>
              </w:tabs>
              <w:suppressAutoHyphens/>
              <w:rPr>
                <w:spacing w:val="-2"/>
              </w:rPr>
            </w:pPr>
          </w:p>
          <w:p w14:paraId="7A56D275" w14:textId="77777777" w:rsidR="004C2EE3" w:rsidRDefault="004C2EE3">
            <w:pPr>
              <w:pStyle w:val="TOAHeading"/>
              <w:tabs>
                <w:tab w:val="clear" w:pos="9360"/>
                <w:tab w:val="center" w:pos="4680"/>
              </w:tabs>
              <w:rPr>
                <w:spacing w:val="-2"/>
              </w:rPr>
            </w:pPr>
          </w:p>
          <w:p w14:paraId="6FD4D82C" w14:textId="77777777" w:rsidR="004C2EE3" w:rsidRDefault="00CF43A7">
            <w:pPr>
              <w:tabs>
                <w:tab w:val="center" w:pos="4680"/>
              </w:tabs>
              <w:suppressAutoHyphens/>
              <w:rPr>
                <w:spacing w:val="-2"/>
              </w:rPr>
            </w:pPr>
            <w:r>
              <w:rPr>
                <w:spacing w:val="-2"/>
              </w:rPr>
              <w:t>IB Docket No. 15-289</w:t>
            </w:r>
          </w:p>
          <w:p w14:paraId="537611FC" w14:textId="77777777" w:rsidR="006465E4" w:rsidRDefault="006465E4">
            <w:pPr>
              <w:tabs>
                <w:tab w:val="center" w:pos="4680"/>
              </w:tabs>
              <w:suppressAutoHyphens/>
              <w:rPr>
                <w:spacing w:val="-2"/>
              </w:rPr>
            </w:pPr>
            <w:r>
              <w:rPr>
                <w:spacing w:val="-2"/>
              </w:rPr>
              <w:t>(Terminated)</w:t>
            </w:r>
          </w:p>
        </w:tc>
      </w:tr>
    </w:tbl>
    <w:p w14:paraId="61E77FCE" w14:textId="77777777" w:rsidR="00841AB1" w:rsidRDefault="00CF43A7" w:rsidP="00F021FA">
      <w:pPr>
        <w:pStyle w:val="StyleBoldCentered"/>
      </w:pPr>
      <w:r>
        <w:t>ORDER</w:t>
      </w:r>
    </w:p>
    <w:p w14:paraId="091EFB73" w14:textId="77777777" w:rsidR="004C2EE3" w:rsidRDefault="004C2EE3">
      <w:pPr>
        <w:tabs>
          <w:tab w:val="left" w:pos="-720"/>
        </w:tabs>
        <w:suppressAutoHyphens/>
        <w:spacing w:line="227" w:lineRule="auto"/>
        <w:rPr>
          <w:spacing w:val="-2"/>
        </w:rPr>
      </w:pPr>
    </w:p>
    <w:p w14:paraId="04A116B0" w14:textId="77777777" w:rsidR="004C2EE3" w:rsidRPr="00CF43A7" w:rsidRDefault="004C2EE3" w:rsidP="00133F79">
      <w:pPr>
        <w:tabs>
          <w:tab w:val="left" w:pos="720"/>
          <w:tab w:val="right" w:pos="9360"/>
        </w:tabs>
        <w:suppressAutoHyphens/>
        <w:spacing w:line="227" w:lineRule="auto"/>
        <w:rPr>
          <w:spacing w:val="-2"/>
        </w:rPr>
      </w:pPr>
      <w:r>
        <w:rPr>
          <w:b/>
          <w:spacing w:val="-2"/>
        </w:rPr>
        <w:t>Adopted:</w:t>
      </w:r>
      <w:r w:rsidR="00E636B1">
        <w:rPr>
          <w:b/>
          <w:spacing w:val="-2"/>
        </w:rPr>
        <w:t xml:space="preserve">  January 15</w:t>
      </w:r>
      <w:r w:rsidR="00B51FB4">
        <w:rPr>
          <w:b/>
          <w:spacing w:val="-2"/>
        </w:rPr>
        <w:t>, 2016</w:t>
      </w:r>
      <w:r w:rsidR="00B51FB4">
        <w:rPr>
          <w:b/>
          <w:spacing w:val="-2"/>
        </w:rPr>
        <w:tab/>
      </w:r>
      <w:r w:rsidR="00822CE0">
        <w:rPr>
          <w:b/>
          <w:spacing w:val="-2"/>
        </w:rPr>
        <w:t>Released</w:t>
      </w:r>
      <w:r>
        <w:rPr>
          <w:b/>
          <w:spacing w:val="-2"/>
        </w:rPr>
        <w:t>:</w:t>
      </w:r>
      <w:r w:rsidR="00822CE0">
        <w:rPr>
          <w:b/>
          <w:spacing w:val="-2"/>
        </w:rPr>
        <w:t xml:space="preserve"> </w:t>
      </w:r>
      <w:r>
        <w:rPr>
          <w:b/>
          <w:spacing w:val="-2"/>
        </w:rPr>
        <w:t xml:space="preserve"> </w:t>
      </w:r>
      <w:r w:rsidR="00E636B1">
        <w:rPr>
          <w:b/>
          <w:spacing w:val="-2"/>
        </w:rPr>
        <w:t>January 15</w:t>
      </w:r>
      <w:r w:rsidR="00B51FB4">
        <w:rPr>
          <w:b/>
          <w:spacing w:val="-2"/>
        </w:rPr>
        <w:t>, 2016</w:t>
      </w:r>
    </w:p>
    <w:p w14:paraId="32F02259" w14:textId="77777777" w:rsidR="00822CE0" w:rsidRDefault="00822CE0"/>
    <w:p w14:paraId="416283F4" w14:textId="77777777" w:rsidR="004C2EE3" w:rsidRDefault="004C2EE3">
      <w:pPr>
        <w:rPr>
          <w:spacing w:val="-2"/>
        </w:rPr>
      </w:pPr>
      <w:r>
        <w:t xml:space="preserve">By </w:t>
      </w:r>
      <w:r w:rsidR="004E4A22">
        <w:t>the</w:t>
      </w:r>
      <w:r w:rsidR="00952D58">
        <w:t xml:space="preserve"> Chief, International Bureau</w:t>
      </w:r>
      <w:r>
        <w:rPr>
          <w:spacing w:val="-2"/>
        </w:rPr>
        <w:t>:</w:t>
      </w:r>
    </w:p>
    <w:p w14:paraId="7B6CF663" w14:textId="77777777" w:rsidR="00412FC5" w:rsidRDefault="00412FC5" w:rsidP="00320B67">
      <w:pPr>
        <w:jc w:val="center"/>
      </w:pPr>
    </w:p>
    <w:p w14:paraId="1E353080" w14:textId="77777777" w:rsidR="002C00E8" w:rsidRDefault="00CF43A7" w:rsidP="002C00E8">
      <w:pPr>
        <w:pStyle w:val="Heading1"/>
      </w:pPr>
      <w:r>
        <w:t>INTRODUCTION</w:t>
      </w:r>
    </w:p>
    <w:p w14:paraId="79924DC7" w14:textId="77777777" w:rsidR="000974BB" w:rsidRDefault="00F772A1" w:rsidP="003E51A8">
      <w:pPr>
        <w:pStyle w:val="ParaNum"/>
      </w:pPr>
      <w:r>
        <w:t xml:space="preserve">In this Order, </w:t>
      </w:r>
      <w:r w:rsidR="008E1F7E" w:rsidRPr="008E1F7E">
        <w:t>we remove</w:t>
      </w:r>
      <w:r w:rsidR="00AC29D7">
        <w:t xml:space="preserve"> </w:t>
      </w:r>
      <w:r w:rsidR="008E1F7E" w:rsidRPr="008E1F7E">
        <w:t>Cuba</w:t>
      </w:r>
      <w:r w:rsidR="00AC29D7">
        <w:t xml:space="preserve"> </w:t>
      </w:r>
      <w:r w:rsidR="008E1F7E" w:rsidRPr="008E1F7E">
        <w:t>from the Commission’s “Exclusion List for International Section 214 Authorizations</w:t>
      </w:r>
      <w:r w:rsidR="006D20A3">
        <w:t>”</w:t>
      </w:r>
      <w:r w:rsidR="008E1F7E" w:rsidRPr="008E1F7E">
        <w:t xml:space="preserve"> (Exclusion List)</w:t>
      </w:r>
      <w:r w:rsidR="00AC29D7">
        <w:t>.</w:t>
      </w:r>
      <w:r w:rsidR="008E1F7E" w:rsidRPr="008E1F7E">
        <w:rPr>
          <w:vertAlign w:val="superscript"/>
        </w:rPr>
        <w:footnoteReference w:id="2"/>
      </w:r>
      <w:r w:rsidR="00D571A7">
        <w:t xml:space="preserve">  </w:t>
      </w:r>
      <w:r w:rsidR="00A57034">
        <w:t>T</w:t>
      </w:r>
      <w:r w:rsidR="00AC29D7">
        <w:t>h</w:t>
      </w:r>
      <w:r w:rsidR="00B22213">
        <w:t xml:space="preserve">e </w:t>
      </w:r>
      <w:r w:rsidR="00B22213" w:rsidRPr="000974BB">
        <w:t>Exclusion List</w:t>
      </w:r>
      <w:r w:rsidR="00F34378">
        <w:t xml:space="preserve"> </w:t>
      </w:r>
      <w:r w:rsidR="00B22213" w:rsidRPr="000974BB">
        <w:t>identif</w:t>
      </w:r>
      <w:r w:rsidR="00B22213">
        <w:t>ies</w:t>
      </w:r>
      <w:r w:rsidR="00964B8A" w:rsidRPr="000974BB">
        <w:t xml:space="preserve"> </w:t>
      </w:r>
      <w:r w:rsidR="00B22213" w:rsidRPr="000974BB">
        <w:t xml:space="preserve">countries and facilities that are not </w:t>
      </w:r>
      <w:r w:rsidR="00964B8A">
        <w:t>covered by grant of</w:t>
      </w:r>
      <w:r w:rsidR="00B22213" w:rsidRPr="000974BB">
        <w:t xml:space="preserve"> a global facilities-based Section 214 application</w:t>
      </w:r>
      <w:r w:rsidR="00B22213">
        <w:t xml:space="preserve"> and</w:t>
      </w:r>
      <w:r w:rsidR="00B22213" w:rsidRPr="000974BB">
        <w:t xml:space="preserve"> require a separate international Section 214 </w:t>
      </w:r>
      <w:r w:rsidR="00964B8A">
        <w:t xml:space="preserve">application filed </w:t>
      </w:r>
      <w:r w:rsidR="00FF26C0">
        <w:t>under s</w:t>
      </w:r>
      <w:r w:rsidR="00964B8A">
        <w:t>ection 63.18(e)(3) of the Commission’s rules</w:t>
      </w:r>
      <w:r w:rsidR="00B22213" w:rsidRPr="000974BB">
        <w:t>.</w:t>
      </w:r>
      <w:r w:rsidR="00B22213">
        <w:rPr>
          <w:rStyle w:val="FootnoteReference"/>
        </w:rPr>
        <w:footnoteReference w:id="3"/>
      </w:r>
      <w:r w:rsidR="00B22213" w:rsidRPr="000974BB">
        <w:t xml:space="preserve"> </w:t>
      </w:r>
      <w:r w:rsidR="00B22213">
        <w:t xml:space="preserve"> </w:t>
      </w:r>
      <w:r w:rsidR="00B22213" w:rsidRPr="000F4698">
        <w:t>W</w:t>
      </w:r>
      <w:r w:rsidR="003F363F" w:rsidRPr="000F4698">
        <w:rPr>
          <w:szCs w:val="22"/>
        </w:rPr>
        <w:t xml:space="preserve">e </w:t>
      </w:r>
      <w:r w:rsidR="00B22213" w:rsidRPr="000F4698">
        <w:rPr>
          <w:szCs w:val="22"/>
        </w:rPr>
        <w:t xml:space="preserve">recently </w:t>
      </w:r>
      <w:r w:rsidR="003F363F" w:rsidRPr="000F4698">
        <w:rPr>
          <w:szCs w:val="22"/>
        </w:rPr>
        <w:t>proposed to remove Cuba from the Exclusion List based on</w:t>
      </w:r>
      <w:r w:rsidR="000701DC" w:rsidRPr="000F4698">
        <w:rPr>
          <w:szCs w:val="22"/>
        </w:rPr>
        <w:t xml:space="preserve"> </w:t>
      </w:r>
      <w:r w:rsidR="00F34378" w:rsidRPr="000F4698">
        <w:rPr>
          <w:szCs w:val="22"/>
        </w:rPr>
        <w:t>S</w:t>
      </w:r>
      <w:r w:rsidR="003F363F" w:rsidRPr="000F4698">
        <w:rPr>
          <w:szCs w:val="22"/>
        </w:rPr>
        <w:t>tate Department</w:t>
      </w:r>
      <w:r w:rsidR="00F34378" w:rsidRPr="000F4698">
        <w:rPr>
          <w:szCs w:val="22"/>
        </w:rPr>
        <w:t xml:space="preserve"> </w:t>
      </w:r>
      <w:r w:rsidR="00B22213" w:rsidRPr="000F4698">
        <w:rPr>
          <w:szCs w:val="22"/>
        </w:rPr>
        <w:t>guidance</w:t>
      </w:r>
      <w:r w:rsidR="007D5A7F" w:rsidRPr="000F4698">
        <w:rPr>
          <w:szCs w:val="22"/>
        </w:rPr>
        <w:t xml:space="preserve"> </w:t>
      </w:r>
      <w:r w:rsidR="003F363F" w:rsidRPr="000F4698">
        <w:rPr>
          <w:szCs w:val="22"/>
        </w:rPr>
        <w:t xml:space="preserve">announcing certain changes to its policy </w:t>
      </w:r>
      <w:r w:rsidR="007D5A7F" w:rsidRPr="000F4698">
        <w:rPr>
          <w:szCs w:val="22"/>
        </w:rPr>
        <w:t xml:space="preserve">concerning Cuba </w:t>
      </w:r>
      <w:r w:rsidR="003F363F" w:rsidRPr="000F4698">
        <w:rPr>
          <w:szCs w:val="22"/>
        </w:rPr>
        <w:t>and requesting that the Commission remove Cuba from the Exclusion List</w:t>
      </w:r>
      <w:r w:rsidR="00FE026A" w:rsidRPr="000F4698">
        <w:t>.</w:t>
      </w:r>
      <w:r w:rsidR="00FE026A" w:rsidRPr="000F4698">
        <w:rPr>
          <w:vertAlign w:val="superscript"/>
        </w:rPr>
        <w:footnoteReference w:id="4"/>
      </w:r>
    </w:p>
    <w:p w14:paraId="7CBEBCBB" w14:textId="77777777" w:rsidR="00F817B2" w:rsidRDefault="00F817B2" w:rsidP="00365240">
      <w:pPr>
        <w:pStyle w:val="Heading1"/>
        <w:tabs>
          <w:tab w:val="left" w:pos="720"/>
        </w:tabs>
      </w:pPr>
      <w:r w:rsidRPr="003F363F">
        <w:t>BACKGROUND</w:t>
      </w:r>
    </w:p>
    <w:p w14:paraId="3C5B5270" w14:textId="77777777" w:rsidR="006601C3" w:rsidRDefault="006D20A3" w:rsidP="00AB4445">
      <w:pPr>
        <w:pStyle w:val="ParaNum"/>
      </w:pPr>
      <w:r>
        <w:t xml:space="preserve">The International Bureau </w:t>
      </w:r>
      <w:r w:rsidR="00F54031">
        <w:t xml:space="preserve">(Bureau) </w:t>
      </w:r>
      <w:r>
        <w:t xml:space="preserve">adopted the Exclusion List in 1996, as required by the Commission’s </w:t>
      </w:r>
      <w:r w:rsidR="004A621F" w:rsidRPr="004A621F">
        <w:rPr>
          <w:i/>
        </w:rPr>
        <w:t xml:space="preserve">1996 </w:t>
      </w:r>
      <w:r w:rsidRPr="004A621F">
        <w:rPr>
          <w:i/>
        </w:rPr>
        <w:t>S</w:t>
      </w:r>
      <w:r w:rsidRPr="006D20A3">
        <w:rPr>
          <w:i/>
        </w:rPr>
        <w:t>treamlining Order</w:t>
      </w:r>
      <w:r>
        <w:t>.</w:t>
      </w:r>
      <w:r>
        <w:rPr>
          <w:rStyle w:val="FootnoteReference"/>
        </w:rPr>
        <w:footnoteReference w:id="5"/>
      </w:r>
      <w:r>
        <w:t xml:space="preserve"> </w:t>
      </w:r>
      <w:r w:rsidR="00E636B1">
        <w:t xml:space="preserve"> </w:t>
      </w:r>
      <w:r w:rsidR="001B77AE">
        <w:t>I</w:t>
      </w:r>
      <w:r w:rsidR="006601C3">
        <w:t xml:space="preserve">n the </w:t>
      </w:r>
      <w:r w:rsidR="006601C3" w:rsidRPr="00A74B11">
        <w:rPr>
          <w:i/>
        </w:rPr>
        <w:t>1996 Streamlining Order</w:t>
      </w:r>
      <w:r w:rsidR="006601C3">
        <w:t xml:space="preserve">, the Commission adopted new rules that permitted applicants to obtain global facilities-based </w:t>
      </w:r>
      <w:r w:rsidR="004A621F">
        <w:t xml:space="preserve">international Section 214 </w:t>
      </w:r>
      <w:r w:rsidR="006601C3">
        <w:t>authority, rather than country</w:t>
      </w:r>
      <w:r w:rsidR="004A621F">
        <w:t>-</w:t>
      </w:r>
      <w:r w:rsidR="006601C3">
        <w:t>specific authority.</w:t>
      </w:r>
      <w:r w:rsidR="006601C3">
        <w:rPr>
          <w:rStyle w:val="FootnoteReference"/>
        </w:rPr>
        <w:footnoteReference w:id="6"/>
      </w:r>
      <w:r w:rsidR="006601C3">
        <w:t xml:space="preserve">  </w:t>
      </w:r>
      <w:r w:rsidR="009F6704">
        <w:t xml:space="preserve">At the same time, the </w:t>
      </w:r>
      <w:r w:rsidR="006601C3" w:rsidRPr="00C64DE2">
        <w:t xml:space="preserve">Commission </w:t>
      </w:r>
      <w:r w:rsidR="00C64DE2">
        <w:t>tasked the Bureau with maintaining “a list that identifies any restrictions on providing service to particular countries or using particular facilities, and whether separate Section 214 authority is needed for these countries and/or facilities.”</w:t>
      </w:r>
      <w:r w:rsidR="00C64DE2">
        <w:rPr>
          <w:rStyle w:val="FootnoteReference"/>
        </w:rPr>
        <w:footnoteReference w:id="7"/>
      </w:r>
      <w:r w:rsidR="00C64DE2">
        <w:t xml:space="preserve">  The Commission noted</w:t>
      </w:r>
      <w:r w:rsidR="00866DB3">
        <w:t>,</w:t>
      </w:r>
      <w:r w:rsidR="00C64DE2">
        <w:t xml:space="preserve"> as an example</w:t>
      </w:r>
      <w:r w:rsidR="00866DB3">
        <w:t>,</w:t>
      </w:r>
      <w:r w:rsidR="00C64DE2">
        <w:t xml:space="preserve"> the </w:t>
      </w:r>
      <w:r w:rsidR="0038308E">
        <w:t xml:space="preserve">State Department’s </w:t>
      </w:r>
      <w:r w:rsidR="00C64DE2">
        <w:t>separate filing requirements for service to Cuba.</w:t>
      </w:r>
      <w:r w:rsidR="00C64DE2">
        <w:rPr>
          <w:rStyle w:val="FootnoteReference"/>
        </w:rPr>
        <w:footnoteReference w:id="8"/>
      </w:r>
      <w:r w:rsidR="00C64DE2">
        <w:t xml:space="preserve">  </w:t>
      </w:r>
      <w:r w:rsidR="003A1D28">
        <w:t xml:space="preserve">Consistent with that direction, </w:t>
      </w:r>
      <w:r w:rsidR="00B22213">
        <w:t xml:space="preserve">on July 29, 1996, </w:t>
      </w:r>
      <w:r w:rsidR="00C64DE2">
        <w:t>t</w:t>
      </w:r>
      <w:r w:rsidR="006601C3">
        <w:t xml:space="preserve">he </w:t>
      </w:r>
      <w:r w:rsidR="008F4928">
        <w:t xml:space="preserve">Bureau </w:t>
      </w:r>
      <w:r w:rsidR="00B22213">
        <w:t xml:space="preserve">adopted the </w:t>
      </w:r>
      <w:r w:rsidR="00B22213" w:rsidRPr="0038308E">
        <w:rPr>
          <w:i/>
        </w:rPr>
        <w:t xml:space="preserve">Exclusion List </w:t>
      </w:r>
      <w:r w:rsidR="0038308E" w:rsidRPr="0038308E">
        <w:rPr>
          <w:i/>
        </w:rPr>
        <w:t>Order</w:t>
      </w:r>
      <w:r w:rsidR="0038308E">
        <w:t xml:space="preserve"> </w:t>
      </w:r>
      <w:r w:rsidR="00A74B11">
        <w:t xml:space="preserve">and </w:t>
      </w:r>
      <w:r w:rsidR="00A74B11">
        <w:lastRenderedPageBreak/>
        <w:t>i</w:t>
      </w:r>
      <w:r w:rsidR="008F4928">
        <w:t xml:space="preserve">ncluded Cuba on the </w:t>
      </w:r>
      <w:r w:rsidR="0038308E">
        <w:t>Exclusion L</w:t>
      </w:r>
      <w:r w:rsidR="00B22213">
        <w:t>ist</w:t>
      </w:r>
      <w:r w:rsidR="008F4928">
        <w:t>.</w:t>
      </w:r>
      <w:r w:rsidR="00496B75">
        <w:rPr>
          <w:rStyle w:val="FootnoteReference"/>
        </w:rPr>
        <w:footnoteReference w:id="9"/>
      </w:r>
      <w:r w:rsidR="008F4928">
        <w:t xml:space="preserve">  </w:t>
      </w:r>
      <w:r w:rsidR="004A621F">
        <w:t>As a result</w:t>
      </w:r>
      <w:r w:rsidR="003A1D28" w:rsidRPr="003A1D28">
        <w:t xml:space="preserve">, </w:t>
      </w:r>
      <w:r w:rsidR="003A1D28">
        <w:t>a</w:t>
      </w:r>
      <w:r w:rsidR="006601C3">
        <w:t xml:space="preserve">pplicants seeking to provide facilities-based service between the </w:t>
      </w:r>
      <w:r w:rsidR="00FF26C0">
        <w:t>United Sta</w:t>
      </w:r>
      <w:r w:rsidR="00496B75">
        <w:t>t</w:t>
      </w:r>
      <w:r w:rsidR="00FF26C0">
        <w:t>es</w:t>
      </w:r>
      <w:r w:rsidR="006601C3">
        <w:t xml:space="preserve"> and Cuba were required to file a separate </w:t>
      </w:r>
      <w:r w:rsidR="00EA783B">
        <w:t>S</w:t>
      </w:r>
      <w:r w:rsidR="006601C3">
        <w:t>ection 214 application that would be coordinated with the State Department and processed by the Commission on a non-streamlined basis.</w:t>
      </w:r>
    </w:p>
    <w:p w14:paraId="167659F2" w14:textId="77777777" w:rsidR="00E636B1" w:rsidRDefault="00F82D2E" w:rsidP="00D77BD3">
      <w:pPr>
        <w:pStyle w:val="ParaNum"/>
      </w:pPr>
      <w:r>
        <w:t>T</w:t>
      </w:r>
      <w:r w:rsidR="004A621F" w:rsidRPr="004A621F">
        <w:t xml:space="preserve">he Commission has licensed and regulated telecommunications services between the United States and Cuba in conformance with guidance from the State Department, first received in 1993, </w:t>
      </w:r>
      <w:r w:rsidR="002006C7">
        <w:t>and updated periodically</w:t>
      </w:r>
      <w:r w:rsidR="004A621F" w:rsidRPr="004A621F">
        <w:t>.</w:t>
      </w:r>
      <w:r w:rsidR="004A621F">
        <w:t xml:space="preserve">  </w:t>
      </w:r>
      <w:r w:rsidR="000F4698" w:rsidRPr="00444EFB">
        <w:t>On January 21, 2010, based on revised policy guidance from the State Department, the International Bureau announced that it would continue to identify Cuba on the Exclusion List.</w:t>
      </w:r>
      <w:r w:rsidR="000F4698">
        <w:rPr>
          <w:rStyle w:val="FootnoteReference"/>
        </w:rPr>
        <w:footnoteReference w:id="10"/>
      </w:r>
      <w:r w:rsidR="000F4698" w:rsidRPr="00444EFB">
        <w:t xml:space="preserve"> </w:t>
      </w:r>
      <w:r w:rsidR="000F4698">
        <w:t xml:space="preserve"> </w:t>
      </w:r>
      <w:r w:rsidR="00F54031">
        <w:t>O</w:t>
      </w:r>
      <w:r w:rsidR="006601C3">
        <w:t xml:space="preserve">n October 26, 2015, the State Department rescinded its </w:t>
      </w:r>
      <w:r w:rsidR="001B139E">
        <w:t xml:space="preserve">January 12, </w:t>
      </w:r>
      <w:r w:rsidR="006601C3">
        <w:t>2010 guidance and replaced it with new guidance.</w:t>
      </w:r>
      <w:r w:rsidR="004A1E5B">
        <w:rPr>
          <w:rStyle w:val="FootnoteReference"/>
        </w:rPr>
        <w:footnoteReference w:id="11"/>
      </w:r>
      <w:r w:rsidR="006601C3">
        <w:t xml:space="preserve"> </w:t>
      </w:r>
      <w:r w:rsidR="00862C5E">
        <w:t xml:space="preserve"> </w:t>
      </w:r>
      <w:r w:rsidR="006601C3">
        <w:t>As part of that new guidance</w:t>
      </w:r>
      <w:r w:rsidR="001B139E">
        <w:t>,</w:t>
      </w:r>
      <w:r w:rsidR="006601C3">
        <w:t xml:space="preserve"> the State Department recommended that </w:t>
      </w:r>
      <w:r w:rsidR="001B139E">
        <w:t>the Commission “remove Cuba from the Commission</w:t>
      </w:r>
      <w:r w:rsidR="00D70FDA">
        <w:t>’</w:t>
      </w:r>
      <w:r w:rsidR="001B139E">
        <w:t>s ‘Exclusion List for International Section 214 Authorizations’ and allow all carriers to provide telecommunications services between the United States and Cuba pursuant to global Section 214 authority under section 63.18(e)(l) of the Commission rules</w:t>
      </w:r>
      <w:r w:rsidR="006601C3">
        <w:t>.</w:t>
      </w:r>
      <w:r w:rsidR="005528A9">
        <w:t>”</w:t>
      </w:r>
      <w:r w:rsidR="006601C3">
        <w:rPr>
          <w:rStyle w:val="FootnoteReference"/>
        </w:rPr>
        <w:footnoteReference w:id="12"/>
      </w:r>
      <w:r w:rsidR="006601C3">
        <w:t xml:space="preserve">  </w:t>
      </w:r>
    </w:p>
    <w:p w14:paraId="556568C9" w14:textId="77777777" w:rsidR="00B20C8D" w:rsidRDefault="006601C3" w:rsidP="00D77BD3">
      <w:pPr>
        <w:pStyle w:val="ParaNum"/>
      </w:pPr>
      <w:r>
        <w:t>On November 24, 2015, we released a public notice seeking comment on removing Cuba from the Exclusion List.</w:t>
      </w:r>
      <w:r w:rsidR="00605299">
        <w:rPr>
          <w:rStyle w:val="FootnoteReference"/>
        </w:rPr>
        <w:footnoteReference w:id="13"/>
      </w:r>
      <w:r w:rsidR="00F54031">
        <w:t xml:space="preserve">  </w:t>
      </w:r>
      <w:r w:rsidR="00FB246F">
        <w:t>All c</w:t>
      </w:r>
      <w:r w:rsidR="00F54031">
        <w:t>ommenters support removing</w:t>
      </w:r>
      <w:r w:rsidR="00E636B1">
        <w:t xml:space="preserve"> Cuba from the Exclusion List, </w:t>
      </w:r>
      <w:r>
        <w:t>consistent with State Department recommendations.</w:t>
      </w:r>
      <w:r>
        <w:rPr>
          <w:rStyle w:val="FootnoteReference"/>
        </w:rPr>
        <w:footnoteReference w:id="14"/>
      </w:r>
      <w:r w:rsidR="00E636B1">
        <w:t xml:space="preserve">  </w:t>
      </w:r>
      <w:r w:rsidR="00E636B1" w:rsidRPr="00E636B1">
        <w:t>AT&amp;T states that removal of Cuba from the Exclusion List would help foster competition for bilateral communications between the United States and Cuba, and thus increase the flow of information to and from the Cuban people.</w:t>
      </w:r>
      <w:r w:rsidR="00E636B1">
        <w:rPr>
          <w:rStyle w:val="FootnoteReference"/>
        </w:rPr>
        <w:footnoteReference w:id="15"/>
      </w:r>
      <w:r w:rsidR="00E636B1">
        <w:t xml:space="preserve">  </w:t>
      </w:r>
      <w:r w:rsidR="00E636B1" w:rsidRPr="00E636B1">
        <w:t>Medtronic supports removing Cuba from the Exclusion List, claiming it would be easier for carriers to obtain authority to Cuba, which will then promote connectivity for medical devices and services, such as remote monitoring of medical devices and exchange of medical information between the two countries.</w:t>
      </w:r>
      <w:r w:rsidR="00E636B1">
        <w:rPr>
          <w:rStyle w:val="FootnoteReference"/>
        </w:rPr>
        <w:footnoteReference w:id="16"/>
      </w:r>
    </w:p>
    <w:p w14:paraId="2E71D8FD" w14:textId="77777777" w:rsidR="00DD0DD5" w:rsidRDefault="00DD0DD5" w:rsidP="00DD0DD5">
      <w:pPr>
        <w:pStyle w:val="Heading1"/>
      </w:pPr>
      <w:r>
        <w:t>DISCUSSION</w:t>
      </w:r>
    </w:p>
    <w:p w14:paraId="609E1FF3" w14:textId="4A26C733" w:rsidR="00642B40" w:rsidRDefault="00A45F8C" w:rsidP="003F31EB">
      <w:pPr>
        <w:pStyle w:val="ParaNum"/>
      </w:pPr>
      <w:r>
        <w:t>We adopt our proposal</w:t>
      </w:r>
      <w:r w:rsidR="00E604E6" w:rsidRPr="00F12B7F">
        <w:rPr>
          <w:i/>
        </w:rPr>
        <w:t xml:space="preserve"> </w:t>
      </w:r>
      <w:r w:rsidR="00E604E6">
        <w:t xml:space="preserve">to remove Cuba from the Commission’s Exclusion List.  We agree with </w:t>
      </w:r>
      <w:r w:rsidR="00E54CBA">
        <w:t xml:space="preserve">the </w:t>
      </w:r>
      <w:r w:rsidR="00E604E6">
        <w:t>commenters that removing Cuba from the Exclusion List</w:t>
      </w:r>
      <w:r w:rsidR="00DD68AC">
        <w:t xml:space="preserve"> will make </w:t>
      </w:r>
      <w:r w:rsidR="00E604E6">
        <w:t xml:space="preserve">it easier for U.S. </w:t>
      </w:r>
      <w:r w:rsidR="007F163E">
        <w:t>f</w:t>
      </w:r>
      <w:r w:rsidR="00E604E6">
        <w:t>acilities</w:t>
      </w:r>
      <w:r w:rsidR="00E54CBA">
        <w:t>-based</w:t>
      </w:r>
      <w:r w:rsidR="00E604E6">
        <w:t xml:space="preserve"> </w:t>
      </w:r>
      <w:r w:rsidR="007F163E">
        <w:t xml:space="preserve">carriers </w:t>
      </w:r>
      <w:r w:rsidR="004026BB">
        <w:t>to initiate service to Cuba, promote open communications</w:t>
      </w:r>
      <w:r w:rsidR="00FA0546">
        <w:t>,</w:t>
      </w:r>
      <w:r w:rsidR="004026BB">
        <w:t xml:space="preserve"> and</w:t>
      </w:r>
      <w:r w:rsidR="00DD68AC">
        <w:t xml:space="preserve"> </w:t>
      </w:r>
      <w:r w:rsidR="004026BB">
        <w:t>help foster bilateral</w:t>
      </w:r>
      <w:r w:rsidR="003F31EB">
        <w:t xml:space="preserve"> communications between the United States</w:t>
      </w:r>
      <w:r w:rsidR="004026BB">
        <w:t xml:space="preserve"> and Cuba.</w:t>
      </w:r>
      <w:r w:rsidR="004026BB">
        <w:rPr>
          <w:rStyle w:val="FootnoteReference"/>
        </w:rPr>
        <w:footnoteReference w:id="17"/>
      </w:r>
      <w:r w:rsidR="00E604E6">
        <w:t xml:space="preserve"> </w:t>
      </w:r>
      <w:r w:rsidR="00FD03BC">
        <w:t xml:space="preserve"> </w:t>
      </w:r>
      <w:r w:rsidR="00866DB3">
        <w:t>With this action</w:t>
      </w:r>
      <w:r w:rsidR="00FD03BC">
        <w:t xml:space="preserve">, we streamline the Section 214 authorization process by including Cuba </w:t>
      </w:r>
      <w:r w:rsidR="003F31EB">
        <w:t>with</w:t>
      </w:r>
      <w:r w:rsidR="00FD03BC">
        <w:t xml:space="preserve">in </w:t>
      </w:r>
      <w:r w:rsidR="00F12B7F">
        <w:t xml:space="preserve">the </w:t>
      </w:r>
      <w:r w:rsidR="00FD03BC">
        <w:t xml:space="preserve">global Section 214 authority </w:t>
      </w:r>
      <w:r w:rsidR="003F31EB">
        <w:t>of</w:t>
      </w:r>
      <w:r w:rsidR="00FD03BC">
        <w:t xml:space="preserve"> section 63.18(e)(1) of the Commission’s rules,</w:t>
      </w:r>
      <w:r w:rsidR="00F12B7F">
        <w:t xml:space="preserve"> rather than </w:t>
      </w:r>
      <w:r w:rsidR="003F31EB">
        <w:t>requiring carriers</w:t>
      </w:r>
      <w:r w:rsidR="00F12B7F">
        <w:t xml:space="preserve"> to file a separate application under section 63.</w:t>
      </w:r>
      <w:r w:rsidR="00E80F46">
        <w:t>1</w:t>
      </w:r>
      <w:r w:rsidR="00F12B7F">
        <w:t>8(e)(3).</w:t>
      </w:r>
      <w:r w:rsidR="00FD03BC">
        <w:t xml:space="preserve"> </w:t>
      </w:r>
      <w:r w:rsidR="00F12B7F">
        <w:t xml:space="preserve"> Streamlining this process </w:t>
      </w:r>
      <w:r w:rsidR="00FD03BC">
        <w:t xml:space="preserve">will allow carriers seeking new international Section 214 authority </w:t>
      </w:r>
      <w:r w:rsidR="00FD03BC">
        <w:lastRenderedPageBreak/>
        <w:t>for facilities-based service to Cuba to receive such authority sooner</w:t>
      </w:r>
      <w:r w:rsidR="00F12B7F">
        <w:t xml:space="preserve">, and </w:t>
      </w:r>
      <w:r w:rsidR="00155A5B">
        <w:t xml:space="preserve">will </w:t>
      </w:r>
      <w:r w:rsidR="00F12B7F">
        <w:t xml:space="preserve">permit </w:t>
      </w:r>
      <w:r w:rsidR="00FD03BC">
        <w:t>carriers with existing global Section 214 authority to provide services between the United States and Cuba without additional authori</w:t>
      </w:r>
      <w:r w:rsidR="00F12B7F">
        <w:t>zation</w:t>
      </w:r>
      <w:r w:rsidR="00FD03BC">
        <w:t>.</w:t>
      </w:r>
      <w:r w:rsidR="00DD68AC" w:rsidRPr="00DD68AC">
        <w:t xml:space="preserve">  </w:t>
      </w:r>
      <w:r w:rsidR="00097077">
        <w:t>Our s</w:t>
      </w:r>
      <w:r w:rsidR="00DD68AC" w:rsidRPr="00DD68AC" w:rsidDel="00F70AA9">
        <w:t>treamlined processing allows for an application to be granted, unless opposed by the Commission or another party, on the 14</w:t>
      </w:r>
      <w:r w:rsidR="00DD68AC" w:rsidRPr="00F12B7F" w:rsidDel="00F70AA9">
        <w:rPr>
          <w:vertAlign w:val="superscript"/>
        </w:rPr>
        <w:t>th</w:t>
      </w:r>
      <w:r w:rsidR="00DD68AC" w:rsidRPr="00DD68AC" w:rsidDel="00F70AA9">
        <w:t xml:space="preserve"> day after being placed on public notice, and the applicant may then commence operations on the 15</w:t>
      </w:r>
      <w:r w:rsidR="00DD68AC" w:rsidRPr="00F12B7F" w:rsidDel="00F70AA9">
        <w:rPr>
          <w:vertAlign w:val="superscript"/>
        </w:rPr>
        <w:t>th</w:t>
      </w:r>
      <w:r w:rsidR="00DD68AC" w:rsidRPr="00DD68AC" w:rsidDel="00F70AA9">
        <w:t xml:space="preserve"> day after the public notice listing.</w:t>
      </w:r>
      <w:r w:rsidR="00DD68AC" w:rsidRPr="00DD68AC" w:rsidDel="00F70AA9">
        <w:rPr>
          <w:vertAlign w:val="superscript"/>
        </w:rPr>
        <w:footnoteReference w:id="18"/>
      </w:r>
      <w:r w:rsidR="003F31EB">
        <w:t xml:space="preserve">  </w:t>
      </w:r>
      <w:r w:rsidR="003D47EF">
        <w:t xml:space="preserve">Such action </w:t>
      </w:r>
      <w:r w:rsidR="0034770A">
        <w:t xml:space="preserve">benefits the public interest as it will likely </w:t>
      </w:r>
      <w:r w:rsidR="003D47EF">
        <w:t xml:space="preserve">alleviate administrative </w:t>
      </w:r>
      <w:r w:rsidR="0088254C">
        <w:t xml:space="preserve">and cost </w:t>
      </w:r>
      <w:r w:rsidR="003D47EF">
        <w:t>burdens on both th</w:t>
      </w:r>
      <w:r w:rsidR="00A505AB">
        <w:t>e applicant and the Commission</w:t>
      </w:r>
      <w:r w:rsidR="00347541">
        <w:t>,</w:t>
      </w:r>
      <w:r w:rsidR="0088254C">
        <w:t xml:space="preserve"> </w:t>
      </w:r>
      <w:r w:rsidR="00347541">
        <w:t>and</w:t>
      </w:r>
      <w:r w:rsidR="00283CF0">
        <w:t xml:space="preserve"> </w:t>
      </w:r>
      <w:r w:rsidR="003D47EF">
        <w:t xml:space="preserve">promote competition </w:t>
      </w:r>
      <w:r w:rsidR="00A505AB">
        <w:t>on the U.S-</w:t>
      </w:r>
      <w:r w:rsidR="0034770A">
        <w:t xml:space="preserve">Cuba </w:t>
      </w:r>
      <w:r w:rsidR="00A505AB">
        <w:t>route</w:t>
      </w:r>
      <w:r w:rsidR="003D47EF">
        <w:t>.</w:t>
      </w:r>
    </w:p>
    <w:p w14:paraId="2D3C9667" w14:textId="77777777" w:rsidR="003D47EF" w:rsidRDefault="003D47EF" w:rsidP="003D47EF">
      <w:pPr>
        <w:pStyle w:val="Heading1"/>
      </w:pPr>
      <w:r>
        <w:t>ordering clauses</w:t>
      </w:r>
    </w:p>
    <w:p w14:paraId="0862C131" w14:textId="77985B35" w:rsidR="00107BAC" w:rsidRDefault="003D47EF" w:rsidP="008E1F7E">
      <w:pPr>
        <w:pStyle w:val="ParaNum"/>
      </w:pPr>
      <w:r>
        <w:t>IT IS ORDERED</w:t>
      </w:r>
      <w:r w:rsidR="008E1F7E">
        <w:t xml:space="preserve">, </w:t>
      </w:r>
      <w:r w:rsidR="008E1F7E" w:rsidRPr="008E1F7E">
        <w:t xml:space="preserve">pursuant to Sections 4(i) and 214 of the Communications Act of 1934, as amended, 47 U.S.C. §§ 154(i), 214, and Sections 0.51 and 0.261 of the Commission’s rules, 47 CFR §§ 0.51, 0.261, </w:t>
      </w:r>
      <w:r w:rsidR="00347541">
        <w:t xml:space="preserve">that </w:t>
      </w:r>
      <w:r w:rsidR="008E1F7E" w:rsidRPr="008E1F7E">
        <w:t>this Order IS ADOPTED</w:t>
      </w:r>
      <w:r w:rsidR="0078598E">
        <w:t xml:space="preserve"> and Cuba is removed from the </w:t>
      </w:r>
      <w:r w:rsidR="0078598E" w:rsidRPr="0078598E">
        <w:t>Exclusion List for International Section 214 Authorizations</w:t>
      </w:r>
      <w:r w:rsidR="00E80F46">
        <w:t xml:space="preserve"> and that IB Docket No. </w:t>
      </w:r>
      <w:r w:rsidR="00E80F46">
        <w:rPr>
          <w:spacing w:val="-2"/>
        </w:rPr>
        <w:t>15-289 is TERMINATED</w:t>
      </w:r>
      <w:r w:rsidR="008E1F7E">
        <w:t>.</w:t>
      </w:r>
    </w:p>
    <w:p w14:paraId="4F9A2B20" w14:textId="09E64DE2" w:rsidR="008E1F7E" w:rsidRDefault="008E1F7E" w:rsidP="008E1F7E">
      <w:pPr>
        <w:pStyle w:val="ParaNum"/>
      </w:pPr>
      <w:r w:rsidRPr="008E1F7E">
        <w:t>IT IS FURTHER ORDERED that this Order SHALL BE EFFECTIVE upon release.  Petit</w:t>
      </w:r>
      <w:r w:rsidR="0014263C">
        <w:t>ions for reconsideration under S</w:t>
      </w:r>
      <w:r w:rsidRPr="008E1F7E">
        <w:t>ection 1.106 of the Commission’s rules, 47 CFR § 1.106, or</w:t>
      </w:r>
      <w:r w:rsidR="0014263C">
        <w:t xml:space="preserve"> applications for review under S</w:t>
      </w:r>
      <w:r w:rsidRPr="008E1F7E">
        <w:t>ection 1.115 of the Commission’s rules, 47 CFR § 1.115, may be filed within 30 days of the date of the release of this Order</w:t>
      </w:r>
      <w:r>
        <w:t>.</w:t>
      </w:r>
    </w:p>
    <w:p w14:paraId="6875388C" w14:textId="77777777" w:rsidR="003D47EF" w:rsidRDefault="003D47EF" w:rsidP="008E1F7E">
      <w:pPr>
        <w:pStyle w:val="ParaNum"/>
        <w:numPr>
          <w:ilvl w:val="0"/>
          <w:numId w:val="0"/>
        </w:numPr>
        <w:ind w:left="720"/>
      </w:pPr>
    </w:p>
    <w:p w14:paraId="74074F76" w14:textId="77777777" w:rsidR="005B1EF7" w:rsidRPr="003D47EF" w:rsidRDefault="005B1EF7" w:rsidP="003F31EB">
      <w:pPr>
        <w:pStyle w:val="ParaNum"/>
        <w:numPr>
          <w:ilvl w:val="0"/>
          <w:numId w:val="0"/>
        </w:numPr>
        <w:spacing w:after="0"/>
        <w:ind w:left="2880" w:firstLine="720"/>
      </w:pPr>
      <w:r>
        <w:t>FEDERAL COMMUNICATIONS COMMISSION</w:t>
      </w:r>
    </w:p>
    <w:p w14:paraId="578064B1" w14:textId="1C3D48EE" w:rsidR="00CF43A7" w:rsidRDefault="00CF43A7" w:rsidP="003F31EB"/>
    <w:p w14:paraId="7623A507" w14:textId="77777777" w:rsidR="004533BC" w:rsidRDefault="004533BC" w:rsidP="003F31EB"/>
    <w:p w14:paraId="73A3B9D5" w14:textId="77777777" w:rsidR="005B1EF7" w:rsidRDefault="005B1EF7" w:rsidP="003F31EB"/>
    <w:p w14:paraId="6B1D10EB" w14:textId="77777777" w:rsidR="004217AC" w:rsidRDefault="004217AC" w:rsidP="003F31EB"/>
    <w:p w14:paraId="551F00FB" w14:textId="77777777" w:rsidR="005B1EF7" w:rsidRDefault="005B1EF7" w:rsidP="003F31EB">
      <w:r>
        <w:tab/>
      </w:r>
      <w:r>
        <w:tab/>
      </w:r>
      <w:r>
        <w:tab/>
      </w:r>
      <w:r>
        <w:tab/>
      </w:r>
      <w:r>
        <w:tab/>
      </w:r>
    </w:p>
    <w:p w14:paraId="21756F88" w14:textId="77777777" w:rsidR="005B1EF7" w:rsidRDefault="005B1EF7" w:rsidP="003F31EB">
      <w:pPr>
        <w:ind w:left="2880" w:firstLine="720"/>
      </w:pPr>
      <w:r>
        <w:t>Mindel De La Torre</w:t>
      </w:r>
    </w:p>
    <w:p w14:paraId="31447FC9" w14:textId="77777777" w:rsidR="005B1EF7" w:rsidRDefault="005B1EF7" w:rsidP="003F31EB">
      <w:pPr>
        <w:ind w:left="2880" w:firstLine="720"/>
      </w:pPr>
      <w:r>
        <w:t>Chief, International Bureau</w:t>
      </w:r>
    </w:p>
    <w:p w14:paraId="2BE71185" w14:textId="77777777" w:rsidR="001B2E7C" w:rsidRDefault="001B2E7C" w:rsidP="005B1EF7">
      <w:pPr>
        <w:ind w:left="2880" w:firstLine="720"/>
      </w:pPr>
    </w:p>
    <w:p w14:paraId="5A97EA70" w14:textId="77777777" w:rsidR="00416F78" w:rsidRDefault="00416F78" w:rsidP="005B1EF7">
      <w:pPr>
        <w:ind w:left="2880" w:firstLine="720"/>
        <w:rPr>
          <w:rFonts w:ascii="Arial" w:hAnsi="Arial" w:cs="Arial"/>
          <w:color w:val="252525"/>
          <w:sz w:val="21"/>
          <w:szCs w:val="21"/>
        </w:rPr>
      </w:pPr>
    </w:p>
    <w:p w14:paraId="1109C3B3" w14:textId="77777777" w:rsidR="00416F78" w:rsidRPr="00CF43A7" w:rsidRDefault="00416F78" w:rsidP="0034770A">
      <w:pPr>
        <w:ind w:left="2880" w:firstLine="720"/>
      </w:pPr>
    </w:p>
    <w:sectPr w:rsidR="00416F78" w:rsidRPr="00CF43A7" w:rsidSect="00653FE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A1A97" w14:textId="77777777" w:rsidR="00EB5293" w:rsidRDefault="00EB5293">
      <w:pPr>
        <w:spacing w:line="20" w:lineRule="exact"/>
      </w:pPr>
    </w:p>
  </w:endnote>
  <w:endnote w:type="continuationSeparator" w:id="0">
    <w:p w14:paraId="5C56225E" w14:textId="77777777" w:rsidR="00EB5293" w:rsidRDefault="00EB5293">
      <w:r>
        <w:t xml:space="preserve"> </w:t>
      </w:r>
    </w:p>
  </w:endnote>
  <w:endnote w:type="continuationNotice" w:id="1">
    <w:p w14:paraId="6CEA6A22" w14:textId="77777777" w:rsidR="00EB5293" w:rsidRDefault="00EB52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918F0" w14:textId="77777777" w:rsidR="000667B0" w:rsidRDefault="000667B0" w:rsidP="0055614C">
    <w:pPr>
      <w:pStyle w:val="Footer"/>
      <w:framePr w:wrap="around" w:vAnchor="text" w:hAnchor="margin" w:xAlign="center" w:y="1"/>
    </w:pPr>
    <w:r>
      <w:fldChar w:fldCharType="begin"/>
    </w:r>
    <w:r>
      <w:instrText xml:space="preserve">PAGE  </w:instrText>
    </w:r>
    <w:r>
      <w:fldChar w:fldCharType="end"/>
    </w:r>
  </w:p>
  <w:p w14:paraId="29AE6DAE" w14:textId="77777777" w:rsidR="000667B0" w:rsidRDefault="00066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C5448" w14:textId="77777777" w:rsidR="000667B0" w:rsidRDefault="000667B0" w:rsidP="0055614C">
    <w:pPr>
      <w:pStyle w:val="Footer"/>
      <w:framePr w:wrap="around" w:vAnchor="text" w:hAnchor="margin" w:xAlign="center" w:y="1"/>
    </w:pPr>
    <w:r>
      <w:fldChar w:fldCharType="begin"/>
    </w:r>
    <w:r>
      <w:instrText xml:space="preserve">PAGE  </w:instrText>
    </w:r>
    <w:r>
      <w:fldChar w:fldCharType="separate"/>
    </w:r>
    <w:r w:rsidR="006D678D">
      <w:rPr>
        <w:noProof/>
      </w:rPr>
      <w:t>2</w:t>
    </w:r>
    <w:r>
      <w:fldChar w:fldCharType="end"/>
    </w:r>
  </w:p>
  <w:p w14:paraId="129A06BB" w14:textId="77777777" w:rsidR="000667B0" w:rsidRDefault="000667B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8359F" w14:textId="77777777" w:rsidR="000667B0" w:rsidRDefault="000667B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3748D" w14:textId="77777777" w:rsidR="00EB5293" w:rsidRDefault="00EB5293">
      <w:r>
        <w:separator/>
      </w:r>
    </w:p>
  </w:footnote>
  <w:footnote w:type="continuationSeparator" w:id="0">
    <w:p w14:paraId="2720A0C4" w14:textId="77777777" w:rsidR="00EB5293" w:rsidRDefault="00EB5293" w:rsidP="00C721AC">
      <w:pPr>
        <w:spacing w:before="120"/>
        <w:rPr>
          <w:sz w:val="20"/>
        </w:rPr>
      </w:pPr>
      <w:r>
        <w:rPr>
          <w:sz w:val="20"/>
        </w:rPr>
        <w:t xml:space="preserve">(Continued from previous page)  </w:t>
      </w:r>
      <w:r>
        <w:rPr>
          <w:sz w:val="20"/>
        </w:rPr>
        <w:separator/>
      </w:r>
    </w:p>
  </w:footnote>
  <w:footnote w:type="continuationNotice" w:id="1">
    <w:p w14:paraId="6B5C9AE4" w14:textId="77777777" w:rsidR="00EB5293" w:rsidRDefault="00EB5293" w:rsidP="00C721AC">
      <w:pPr>
        <w:jc w:val="right"/>
        <w:rPr>
          <w:sz w:val="20"/>
        </w:rPr>
      </w:pPr>
      <w:r>
        <w:rPr>
          <w:sz w:val="20"/>
        </w:rPr>
        <w:t>(continued….)</w:t>
      </w:r>
    </w:p>
  </w:footnote>
  <w:footnote w:id="2">
    <w:p w14:paraId="62C7CE0D" w14:textId="77777777" w:rsidR="008E1F7E" w:rsidRDefault="008E1F7E" w:rsidP="008E1F7E">
      <w:pPr>
        <w:pStyle w:val="FootnoteText"/>
      </w:pPr>
      <w:r>
        <w:rPr>
          <w:rStyle w:val="FootnoteReference"/>
        </w:rPr>
        <w:footnoteRef/>
      </w:r>
      <w:r>
        <w:t xml:space="preserve"> </w:t>
      </w:r>
      <w:r w:rsidR="001B2E7C" w:rsidRPr="008F4928">
        <w:rPr>
          <w:i/>
        </w:rPr>
        <w:t>Streamlining the International Section 214 Authorization Process and Tariff Requirements</w:t>
      </w:r>
      <w:r w:rsidR="001B2E7C">
        <w:rPr>
          <w:i/>
        </w:rPr>
        <w:t xml:space="preserve"> – Exclusion List</w:t>
      </w:r>
      <w:r w:rsidR="001B2E7C" w:rsidRPr="008F4928">
        <w:t xml:space="preserve">, </w:t>
      </w:r>
      <w:r w:rsidR="001B2E7C">
        <w:t xml:space="preserve">IB Docket No. 95-118, Order, DA 96-1205 </w:t>
      </w:r>
      <w:r w:rsidR="001B2E7C" w:rsidRPr="008F4928">
        <w:t xml:space="preserve">(Telecom Div., IB </w:t>
      </w:r>
      <w:r w:rsidR="001B2E7C">
        <w:t xml:space="preserve">rel. July 29, </w:t>
      </w:r>
      <w:r w:rsidR="001B2E7C" w:rsidRPr="008F4928">
        <w:t>1996)</w:t>
      </w:r>
      <w:r w:rsidR="001B2E7C">
        <w:t>,</w:t>
      </w:r>
      <w:r w:rsidR="001B2E7C" w:rsidRPr="008F4928">
        <w:t xml:space="preserve"> </w:t>
      </w:r>
      <w:r w:rsidR="001B2E7C">
        <w:rPr>
          <w:i/>
        </w:rPr>
        <w:t>recon.</w:t>
      </w:r>
      <w:r w:rsidR="001B2E7C">
        <w:t xml:space="preserve"> 11 FCC Rcd 14372 (</w:t>
      </w:r>
      <w:r w:rsidR="001B2E7C" w:rsidRPr="008F4928">
        <w:t>Telecom Div., IB 1996)</w:t>
      </w:r>
      <w:r w:rsidR="001B2E7C">
        <w:t xml:space="preserve"> (</w:t>
      </w:r>
      <w:r w:rsidR="001B2E7C" w:rsidRPr="00365240">
        <w:rPr>
          <w:i/>
        </w:rPr>
        <w:t>Exclusion List Order</w:t>
      </w:r>
      <w:r w:rsidR="001B2E7C">
        <w:t>)</w:t>
      </w:r>
      <w:r w:rsidR="001B2E7C" w:rsidRPr="008F4928">
        <w:t>.</w:t>
      </w:r>
    </w:p>
  </w:footnote>
  <w:footnote w:id="3">
    <w:p w14:paraId="2638B393" w14:textId="6DFD3F59" w:rsidR="00B22213" w:rsidRPr="0062059E" w:rsidRDefault="00B22213" w:rsidP="00B22213">
      <w:pPr>
        <w:pStyle w:val="FootnoteText"/>
      </w:pPr>
      <w:r>
        <w:rPr>
          <w:rStyle w:val="FootnoteReference"/>
        </w:rPr>
        <w:footnoteRef/>
      </w:r>
      <w:r>
        <w:t xml:space="preserve"> </w:t>
      </w:r>
      <w:r w:rsidR="00F34378" w:rsidRPr="00F34378">
        <w:rPr>
          <w:i/>
          <w:iCs/>
        </w:rPr>
        <w:t>Id</w:t>
      </w:r>
      <w:r w:rsidR="00F34378">
        <w:rPr>
          <w:iCs/>
        </w:rPr>
        <w:t>.</w:t>
      </w:r>
      <w:r>
        <w:rPr>
          <w:iCs/>
        </w:rPr>
        <w:t xml:space="preserve">; 47 U.S.C. </w:t>
      </w:r>
      <w:r w:rsidR="00F34378">
        <w:t xml:space="preserve">§ </w:t>
      </w:r>
      <w:r>
        <w:rPr>
          <w:iCs/>
        </w:rPr>
        <w:t>214</w:t>
      </w:r>
      <w:r w:rsidR="006D20A3">
        <w:rPr>
          <w:iCs/>
        </w:rPr>
        <w:t>; 47 CFR</w:t>
      </w:r>
      <w:r w:rsidR="004A621F">
        <w:rPr>
          <w:iCs/>
        </w:rPr>
        <w:t xml:space="preserve"> </w:t>
      </w:r>
      <w:r w:rsidR="006D20A3">
        <w:rPr>
          <w:iCs/>
        </w:rPr>
        <w:t>§ 63.18(e)(3)</w:t>
      </w:r>
      <w:r>
        <w:rPr>
          <w:iCs/>
        </w:rPr>
        <w:t>.</w:t>
      </w:r>
    </w:p>
  </w:footnote>
  <w:footnote w:id="4">
    <w:p w14:paraId="684DC2A0" w14:textId="17253211" w:rsidR="00FE026A" w:rsidRDefault="00FE026A" w:rsidP="00FE026A">
      <w:pPr>
        <w:pStyle w:val="FootnoteText"/>
      </w:pPr>
      <w:r>
        <w:rPr>
          <w:rStyle w:val="FootnoteReference"/>
        </w:rPr>
        <w:footnoteRef/>
      </w:r>
      <w:r>
        <w:t xml:space="preserve"> </w:t>
      </w:r>
      <w:r w:rsidR="003F363F" w:rsidRPr="00F34378">
        <w:rPr>
          <w:i/>
        </w:rPr>
        <w:t>International</w:t>
      </w:r>
      <w:r w:rsidR="003F363F">
        <w:rPr>
          <w:i/>
        </w:rPr>
        <w:t xml:space="preserve"> Bureau Seeks Comment on Removing Cuba from the Exclusion List</w:t>
      </w:r>
      <w:r w:rsidR="003F363F">
        <w:t>, Public Notice, DA 15-1354 (IB rel. Nov. 24, 2015) (</w:t>
      </w:r>
      <w:r w:rsidR="003F363F">
        <w:rPr>
          <w:i/>
        </w:rPr>
        <w:t>2015 Exclusion List Public Notice</w:t>
      </w:r>
      <w:r w:rsidR="003F363F">
        <w:t xml:space="preserve">); </w:t>
      </w:r>
      <w:r w:rsidR="00F71945">
        <w:rPr>
          <w:i/>
        </w:rPr>
        <w:t xml:space="preserve">see also </w:t>
      </w:r>
      <w:r w:rsidR="003F363F" w:rsidRPr="00E957A3">
        <w:rPr>
          <w:i/>
        </w:rPr>
        <w:t>Modification of Process Regarding the Licensing of Telecommunications Services Between the United States and Cuba,</w:t>
      </w:r>
      <w:r w:rsidR="003F363F" w:rsidRPr="00E957A3">
        <w:t xml:space="preserve"> Public Notice, </w:t>
      </w:r>
      <w:r w:rsidR="00402E5C">
        <w:t>30 FCC Rcd 12458</w:t>
      </w:r>
      <w:r w:rsidR="003F363F" w:rsidRPr="00E957A3">
        <w:t xml:space="preserve"> (IB </w:t>
      </w:r>
      <w:r w:rsidR="003F363F">
        <w:t xml:space="preserve">rel. </w:t>
      </w:r>
      <w:r w:rsidR="003F363F" w:rsidRPr="00E957A3">
        <w:t>Nov. 9, 2015) (</w:t>
      </w:r>
      <w:r w:rsidR="003F363F" w:rsidRPr="00E957A3">
        <w:rPr>
          <w:i/>
        </w:rPr>
        <w:t>2015 Cuba Public Notice</w:t>
      </w:r>
      <w:r w:rsidR="003F363F" w:rsidRPr="00E957A3">
        <w:t xml:space="preserve">), </w:t>
      </w:r>
      <w:r w:rsidR="003F363F" w:rsidRPr="00E957A3">
        <w:rPr>
          <w:i/>
        </w:rPr>
        <w:t>attaching</w:t>
      </w:r>
      <w:r w:rsidR="003F363F" w:rsidRPr="00E957A3">
        <w:t xml:space="preserve"> Letter from Ambassador Daniel A. Sepulveda, U.S. Coordinator for International Communications and Information Policy, U.S. Department of State, to Thomas Wheeler, FCC C</w:t>
      </w:r>
      <w:r w:rsidR="003F363F">
        <w:t>hairman</w:t>
      </w:r>
      <w:r w:rsidR="00402E5C">
        <w:t xml:space="preserve"> (</w:t>
      </w:r>
      <w:r w:rsidR="003F363F">
        <w:t>Oct</w:t>
      </w:r>
      <w:r w:rsidR="00402E5C">
        <w:t>.</w:t>
      </w:r>
      <w:r w:rsidR="003F363F">
        <w:t xml:space="preserve"> 26, 2015</w:t>
      </w:r>
      <w:r w:rsidR="00402E5C">
        <w:t>)</w:t>
      </w:r>
      <w:r w:rsidR="003F363F">
        <w:t xml:space="preserve"> (</w:t>
      </w:r>
      <w:r w:rsidR="003F363F">
        <w:rPr>
          <w:i/>
        </w:rPr>
        <w:t>Oct</w:t>
      </w:r>
      <w:r w:rsidR="000701DC">
        <w:rPr>
          <w:i/>
        </w:rPr>
        <w:t>ober</w:t>
      </w:r>
      <w:r w:rsidR="003F363F">
        <w:rPr>
          <w:i/>
        </w:rPr>
        <w:t xml:space="preserve"> 2015 State Department Letter</w:t>
      </w:r>
      <w:r w:rsidR="003F363F">
        <w:t>).</w:t>
      </w:r>
    </w:p>
  </w:footnote>
  <w:footnote w:id="5">
    <w:p w14:paraId="0A30651F" w14:textId="77777777" w:rsidR="006D20A3" w:rsidRDefault="006D20A3">
      <w:pPr>
        <w:pStyle w:val="FootnoteText"/>
      </w:pPr>
      <w:r>
        <w:rPr>
          <w:rStyle w:val="FootnoteReference"/>
        </w:rPr>
        <w:footnoteRef/>
      </w:r>
      <w:r>
        <w:t xml:space="preserve"> </w:t>
      </w:r>
      <w:r w:rsidR="004A621F" w:rsidRPr="004A621F">
        <w:rPr>
          <w:i/>
        </w:rPr>
        <w:t xml:space="preserve">Streamlining the International Section 214 Authorization Process and Tariff Requirements, </w:t>
      </w:r>
      <w:r w:rsidR="004A621F" w:rsidRPr="00FF26C0">
        <w:t>Report and Order</w:t>
      </w:r>
      <w:r w:rsidR="004A621F" w:rsidRPr="004A621F">
        <w:t>, 11 FCC R</w:t>
      </w:r>
      <w:r w:rsidR="004A621F">
        <w:t>cd 12884</w:t>
      </w:r>
      <w:r w:rsidR="004A621F" w:rsidRPr="004A621F">
        <w:t xml:space="preserve"> (</w:t>
      </w:r>
      <w:r w:rsidR="004A621F">
        <w:t>1996) (</w:t>
      </w:r>
      <w:r w:rsidR="004A621F" w:rsidRPr="004A621F">
        <w:rPr>
          <w:i/>
        </w:rPr>
        <w:t>1996 Streamlining Order</w:t>
      </w:r>
      <w:r w:rsidR="004A621F" w:rsidRPr="004A621F">
        <w:t>)</w:t>
      </w:r>
      <w:r w:rsidR="00FF26C0">
        <w:t>.</w:t>
      </w:r>
    </w:p>
  </w:footnote>
  <w:footnote w:id="6">
    <w:p w14:paraId="7DA40670" w14:textId="0DBFCF16" w:rsidR="006601C3" w:rsidRDefault="006601C3" w:rsidP="006601C3">
      <w:pPr>
        <w:pStyle w:val="FootnoteText"/>
      </w:pPr>
      <w:r>
        <w:rPr>
          <w:rStyle w:val="FootnoteReference"/>
        </w:rPr>
        <w:footnoteRef/>
      </w:r>
      <w:r>
        <w:t xml:space="preserve"> </w:t>
      </w:r>
      <w:r w:rsidR="004A621F">
        <w:rPr>
          <w:i/>
        </w:rPr>
        <w:t xml:space="preserve">Id. </w:t>
      </w:r>
      <w:r w:rsidR="004A621F" w:rsidRPr="004A621F">
        <w:t xml:space="preserve">at </w:t>
      </w:r>
      <w:r w:rsidR="000701DC">
        <w:t>12884, 12891-92, paras. 14-16; 47 U.S.C. § 214; 47 CFR § 63.18(e)(1).</w:t>
      </w:r>
    </w:p>
  </w:footnote>
  <w:footnote w:id="7">
    <w:p w14:paraId="1897EF06" w14:textId="77777777" w:rsidR="00C64DE2" w:rsidRDefault="00C64DE2">
      <w:pPr>
        <w:pStyle w:val="FootnoteText"/>
      </w:pPr>
      <w:r>
        <w:rPr>
          <w:rStyle w:val="FootnoteReference"/>
        </w:rPr>
        <w:footnoteRef/>
      </w:r>
      <w:r>
        <w:t xml:space="preserve"> </w:t>
      </w:r>
      <w:r w:rsidRPr="00C64DE2">
        <w:rPr>
          <w:i/>
        </w:rPr>
        <w:t>1996 Streamlining Order</w:t>
      </w:r>
      <w:r w:rsidRPr="00C64DE2">
        <w:t>, 11 FCC Rcd at 1289</w:t>
      </w:r>
      <w:r>
        <w:t>2</w:t>
      </w:r>
      <w:r w:rsidRPr="00C64DE2">
        <w:t>, para. 1</w:t>
      </w:r>
      <w:r>
        <w:t>7</w:t>
      </w:r>
      <w:r w:rsidRPr="00C64DE2">
        <w:t>.</w:t>
      </w:r>
    </w:p>
  </w:footnote>
  <w:footnote w:id="8">
    <w:p w14:paraId="17B9883B" w14:textId="77777777" w:rsidR="00C64DE2" w:rsidRPr="00C64DE2" w:rsidRDefault="00C64DE2">
      <w:pPr>
        <w:pStyle w:val="FootnoteText"/>
      </w:pPr>
      <w:r>
        <w:rPr>
          <w:rStyle w:val="FootnoteReference"/>
        </w:rPr>
        <w:footnoteRef/>
      </w:r>
      <w:r>
        <w:t xml:space="preserve"> </w:t>
      </w:r>
      <w:r>
        <w:rPr>
          <w:i/>
        </w:rPr>
        <w:t>Id.</w:t>
      </w:r>
      <w:r>
        <w:t xml:space="preserve"> at n.29. </w:t>
      </w:r>
    </w:p>
  </w:footnote>
  <w:footnote w:id="9">
    <w:p w14:paraId="43AC0B1C" w14:textId="77777777" w:rsidR="00496B75" w:rsidRDefault="00496B75">
      <w:pPr>
        <w:pStyle w:val="FootnoteText"/>
      </w:pPr>
      <w:r>
        <w:rPr>
          <w:rStyle w:val="FootnoteReference"/>
        </w:rPr>
        <w:footnoteRef/>
      </w:r>
      <w:r>
        <w:t xml:space="preserve"> </w:t>
      </w:r>
      <w:r w:rsidRPr="00496B75">
        <w:rPr>
          <w:i/>
        </w:rPr>
        <w:t>See supra</w:t>
      </w:r>
      <w:r>
        <w:t xml:space="preserve"> note 1.</w:t>
      </w:r>
    </w:p>
  </w:footnote>
  <w:footnote w:id="10">
    <w:p w14:paraId="3A331C8B" w14:textId="298B07E1" w:rsidR="000F4698" w:rsidRDefault="000F4698">
      <w:pPr>
        <w:pStyle w:val="FootnoteText"/>
      </w:pPr>
      <w:r>
        <w:rPr>
          <w:rStyle w:val="FootnoteReference"/>
        </w:rPr>
        <w:footnoteRef/>
      </w:r>
      <w:r>
        <w:t xml:space="preserve"> </w:t>
      </w:r>
      <w:r w:rsidRPr="00444EFB">
        <w:rPr>
          <w:i/>
        </w:rPr>
        <w:t xml:space="preserve">Modification of Process </w:t>
      </w:r>
      <w:r>
        <w:rPr>
          <w:i/>
        </w:rPr>
        <w:t>t</w:t>
      </w:r>
      <w:r w:rsidRPr="00444EFB">
        <w:rPr>
          <w:i/>
        </w:rPr>
        <w:t xml:space="preserve">o Accept Applications </w:t>
      </w:r>
      <w:r>
        <w:rPr>
          <w:i/>
        </w:rPr>
        <w:t>f</w:t>
      </w:r>
      <w:r w:rsidRPr="00444EFB">
        <w:rPr>
          <w:i/>
        </w:rPr>
        <w:t>or Service to Cuba and Related Matters,</w:t>
      </w:r>
      <w:r w:rsidRPr="00444EFB">
        <w:t xml:space="preserve"> 25 FCC Rcd 416 (IB 2010)</w:t>
      </w:r>
      <w:r>
        <w:t xml:space="preserve"> (</w:t>
      </w:r>
      <w:r w:rsidRPr="005528A9">
        <w:rPr>
          <w:i/>
        </w:rPr>
        <w:t xml:space="preserve">2010 </w:t>
      </w:r>
      <w:r>
        <w:rPr>
          <w:i/>
        </w:rPr>
        <w:t xml:space="preserve">Cuba </w:t>
      </w:r>
      <w:r w:rsidRPr="005528A9">
        <w:rPr>
          <w:i/>
        </w:rPr>
        <w:t>Public Notice</w:t>
      </w:r>
      <w:r>
        <w:t>),</w:t>
      </w:r>
      <w:r w:rsidRPr="00444EFB">
        <w:t xml:space="preserve"> </w:t>
      </w:r>
      <w:r w:rsidRPr="00444EFB">
        <w:rPr>
          <w:i/>
        </w:rPr>
        <w:t>attaching</w:t>
      </w:r>
      <w:r w:rsidRPr="00444EFB">
        <w:t xml:space="preserve"> Letter from Ambassador Philip L. Verveer, U.S. Coordinator for International Communications and Information Policy, U.S. Department of State, to Julius Genachowski, FCC Chairman</w:t>
      </w:r>
      <w:r w:rsidR="00402E5C">
        <w:t xml:space="preserve"> (</w:t>
      </w:r>
      <w:r w:rsidRPr="00444EFB">
        <w:t>Jan</w:t>
      </w:r>
      <w:r w:rsidR="00402E5C">
        <w:t>.</w:t>
      </w:r>
      <w:r w:rsidRPr="00444EFB">
        <w:t xml:space="preserve"> 12, 2010</w:t>
      </w:r>
      <w:r w:rsidR="00402E5C">
        <w:t>)</w:t>
      </w:r>
      <w:r w:rsidRPr="00444EFB">
        <w:t>.</w:t>
      </w:r>
    </w:p>
  </w:footnote>
  <w:footnote w:id="11">
    <w:p w14:paraId="55DAE580" w14:textId="7087E793" w:rsidR="004A1E5B" w:rsidRDefault="004A1E5B">
      <w:pPr>
        <w:pStyle w:val="FootnoteText"/>
      </w:pPr>
      <w:r>
        <w:rPr>
          <w:rStyle w:val="FootnoteReference"/>
        </w:rPr>
        <w:footnoteRef/>
      </w:r>
      <w:r>
        <w:t xml:space="preserve"> </w:t>
      </w:r>
      <w:r w:rsidR="005528A9">
        <w:rPr>
          <w:i/>
        </w:rPr>
        <w:t>October 2015 State Department Letter</w:t>
      </w:r>
      <w:r w:rsidR="003F31EB">
        <w:t>.</w:t>
      </w:r>
    </w:p>
  </w:footnote>
  <w:footnote w:id="12">
    <w:p w14:paraId="49A333A5" w14:textId="77777777" w:rsidR="006601C3" w:rsidRDefault="006601C3" w:rsidP="006601C3">
      <w:pPr>
        <w:pStyle w:val="FootnoteText"/>
      </w:pPr>
      <w:r>
        <w:rPr>
          <w:rStyle w:val="FootnoteReference"/>
        </w:rPr>
        <w:footnoteRef/>
      </w:r>
      <w:r>
        <w:t xml:space="preserve"> </w:t>
      </w:r>
      <w:r w:rsidR="004A1E5B">
        <w:rPr>
          <w:i/>
        </w:rPr>
        <w:t>Id</w:t>
      </w:r>
      <w:r>
        <w:t>.</w:t>
      </w:r>
      <w:r w:rsidR="00BD4E21">
        <w:t xml:space="preserve"> at 1-2.</w:t>
      </w:r>
    </w:p>
  </w:footnote>
  <w:footnote w:id="13">
    <w:p w14:paraId="15011A1C" w14:textId="4DAB9AF8" w:rsidR="00605299" w:rsidRPr="00605299" w:rsidRDefault="00605299">
      <w:pPr>
        <w:pStyle w:val="FootnoteText"/>
        <w:rPr>
          <w:i/>
          <w:u w:val="single"/>
        </w:rPr>
      </w:pPr>
      <w:r>
        <w:rPr>
          <w:rStyle w:val="FootnoteReference"/>
        </w:rPr>
        <w:footnoteRef/>
      </w:r>
      <w:r w:rsidR="00E23F6A">
        <w:rPr>
          <w:i/>
        </w:rPr>
        <w:t xml:space="preserve"> </w:t>
      </w:r>
      <w:r w:rsidR="00D70FDA">
        <w:rPr>
          <w:i/>
        </w:rPr>
        <w:t xml:space="preserve">See </w:t>
      </w:r>
      <w:r w:rsidR="00546441">
        <w:rPr>
          <w:i/>
        </w:rPr>
        <w:t xml:space="preserve">2015 </w:t>
      </w:r>
      <w:r w:rsidR="00E23F6A">
        <w:rPr>
          <w:i/>
        </w:rPr>
        <w:t xml:space="preserve">Exclusion List </w:t>
      </w:r>
      <w:r>
        <w:rPr>
          <w:i/>
        </w:rPr>
        <w:t>Public Notice.</w:t>
      </w:r>
      <w:r w:rsidR="00DB7947">
        <w:rPr>
          <w:i/>
        </w:rPr>
        <w:t xml:space="preserve">  See also 1996 Streamlining Order</w:t>
      </w:r>
      <w:r w:rsidR="00DB7947">
        <w:t xml:space="preserve">, 11 FCC Rcd </w:t>
      </w:r>
      <w:r w:rsidR="00DB7947" w:rsidRPr="00EE612E">
        <w:t>at</w:t>
      </w:r>
      <w:r w:rsidR="00DB7947" w:rsidRPr="004937EE">
        <w:t xml:space="preserve"> 1289</w:t>
      </w:r>
      <w:r w:rsidR="00DB7947">
        <w:t>3, para</w:t>
      </w:r>
      <w:r w:rsidR="00DB7947" w:rsidRPr="004937EE">
        <w:t xml:space="preserve">. </w:t>
      </w:r>
      <w:r w:rsidR="00DB7947">
        <w:t>1</w:t>
      </w:r>
      <w:r w:rsidR="00DB7947" w:rsidRPr="004937EE">
        <w:t>8</w:t>
      </w:r>
      <w:r w:rsidR="00DB7947">
        <w:t xml:space="preserve"> </w:t>
      </w:r>
      <w:r w:rsidR="00DB7947" w:rsidRPr="00DB7947">
        <w:t xml:space="preserve">(“For situations where the public interest requires us to amend the exclusion list either to remove or impose restrictions on services to a particular country or use of specific facilities previously permitted under an existing Section 214 authorization, we will first issue a public notice giving affected parties opportunity for comment and hearing on the proposed changes.  We will then release an order amending the exclusion list.”); </w:t>
      </w:r>
      <w:r w:rsidR="00DB7947" w:rsidRPr="00DB7947">
        <w:rPr>
          <w:i/>
        </w:rPr>
        <w:t>see, e.g., Removal of Approved Non-U.S. Licensed Space Station from the Section</w:t>
      </w:r>
      <w:r w:rsidR="006844BE">
        <w:rPr>
          <w:i/>
        </w:rPr>
        <w:t xml:space="preserve"> 214 Exclusion List</w:t>
      </w:r>
      <w:r w:rsidR="00DB7947" w:rsidRPr="00DB7947">
        <w:rPr>
          <w:i/>
        </w:rPr>
        <w:t xml:space="preserve">, </w:t>
      </w:r>
      <w:r w:rsidR="00DB7947" w:rsidRPr="00DB7947">
        <w:t>IB Docket 07-23</w:t>
      </w:r>
      <w:r w:rsidR="00DB7947" w:rsidRPr="00DB7947">
        <w:rPr>
          <w:i/>
        </w:rPr>
        <w:t xml:space="preserve">, </w:t>
      </w:r>
      <w:r w:rsidR="00DB7947" w:rsidRPr="00DB7947">
        <w:t>Order, 26 FCC Rcd 9423 (IB 2011) (removing certain facilities from the Exclusion List after seeking public comment</w:t>
      </w:r>
      <w:r w:rsidR="00DB7947">
        <w:t>)</w:t>
      </w:r>
      <w:r w:rsidR="006844BE">
        <w:t>.</w:t>
      </w:r>
    </w:p>
  </w:footnote>
  <w:footnote w:id="14">
    <w:p w14:paraId="66535D7D" w14:textId="77777777" w:rsidR="006601C3" w:rsidRDefault="006601C3" w:rsidP="006601C3">
      <w:pPr>
        <w:pStyle w:val="FootnoteText"/>
      </w:pPr>
      <w:r>
        <w:rPr>
          <w:rStyle w:val="FootnoteReference"/>
        </w:rPr>
        <w:footnoteRef/>
      </w:r>
      <w:r>
        <w:t xml:space="preserve"> AT&amp;T </w:t>
      </w:r>
      <w:r w:rsidR="0014263C">
        <w:t xml:space="preserve">Services Inc. </w:t>
      </w:r>
      <w:r w:rsidR="00E23B9E">
        <w:t xml:space="preserve">(AT&amp;T) </w:t>
      </w:r>
      <w:r>
        <w:t xml:space="preserve">Comments at 1-2; Medtronic </w:t>
      </w:r>
      <w:r w:rsidR="0014263C">
        <w:t xml:space="preserve">Inc. </w:t>
      </w:r>
      <w:r w:rsidR="00E23B9E">
        <w:t xml:space="preserve">(Medtronic) </w:t>
      </w:r>
      <w:r>
        <w:t>Comments at 1.</w:t>
      </w:r>
      <w:r w:rsidR="00F54031">
        <w:t xml:space="preserve">  </w:t>
      </w:r>
    </w:p>
  </w:footnote>
  <w:footnote w:id="15">
    <w:p w14:paraId="273682E4" w14:textId="77777777" w:rsidR="00E636B1" w:rsidRDefault="00E636B1">
      <w:pPr>
        <w:pStyle w:val="FootnoteText"/>
      </w:pPr>
      <w:r>
        <w:rPr>
          <w:rStyle w:val="FootnoteReference"/>
        </w:rPr>
        <w:footnoteRef/>
      </w:r>
      <w:r>
        <w:t xml:space="preserve"> AT&amp;T Comments at 2.</w:t>
      </w:r>
    </w:p>
  </w:footnote>
  <w:footnote w:id="16">
    <w:p w14:paraId="71482FAE" w14:textId="77777777" w:rsidR="00E636B1" w:rsidRDefault="00E636B1">
      <w:pPr>
        <w:pStyle w:val="FootnoteText"/>
      </w:pPr>
      <w:r>
        <w:rPr>
          <w:rStyle w:val="FootnoteReference"/>
        </w:rPr>
        <w:footnoteRef/>
      </w:r>
      <w:r>
        <w:t xml:space="preserve"> Medtronic Comments at 2-3.</w:t>
      </w:r>
    </w:p>
  </w:footnote>
  <w:footnote w:id="17">
    <w:p w14:paraId="795A11A8" w14:textId="77777777" w:rsidR="000667B0" w:rsidRDefault="000667B0">
      <w:pPr>
        <w:pStyle w:val="FootnoteText"/>
      </w:pPr>
      <w:r>
        <w:rPr>
          <w:rStyle w:val="FootnoteReference"/>
        </w:rPr>
        <w:footnoteRef/>
      </w:r>
      <w:r>
        <w:t xml:space="preserve"> AT&amp;T Comments at 1; Medtronic Comments at 1.</w:t>
      </w:r>
    </w:p>
  </w:footnote>
  <w:footnote w:id="18">
    <w:p w14:paraId="0F644628" w14:textId="06971D29" w:rsidR="00DD68AC" w:rsidRDefault="00DD68AC" w:rsidP="00DD68AC">
      <w:pPr>
        <w:pStyle w:val="FootnoteText"/>
      </w:pPr>
      <w:r>
        <w:rPr>
          <w:rStyle w:val="FootnoteReference"/>
        </w:rPr>
        <w:footnoteRef/>
      </w:r>
      <w:r>
        <w:t xml:space="preserve"> 47 CFR § 63.12.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1075F" w14:textId="77777777" w:rsidR="00A722F1" w:rsidRDefault="00A72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75956" w14:textId="30F5AA72" w:rsidR="000667B0" w:rsidRDefault="000667B0" w:rsidP="00003071">
    <w:pPr>
      <w:pStyle w:val="Header"/>
    </w:pPr>
    <w:r>
      <w:tab/>
      <w:t>Federal Communications Commission</w:t>
    </w:r>
    <w:r>
      <w:tab/>
      <w:t>DA 1</w:t>
    </w:r>
    <w:r w:rsidR="002B16DB">
      <w:t>6</w:t>
    </w:r>
    <w:r>
      <w:t>-</w:t>
    </w:r>
    <w:r w:rsidR="003E792C">
      <w:t>55</w:t>
    </w:r>
  </w:p>
  <w:p w14:paraId="490AE892" w14:textId="77777777" w:rsidR="000667B0" w:rsidRDefault="000667B0">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14:anchorId="3A45858F" wp14:editId="1821A11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F5594B"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CsQ2/VYAgAAZwQAAA4AAAAAAAAAAAAAAAAALgIAAGRycy9lMm9Eb2MueG1sUEsBAi0A&#10;FAAGAAgAAAAhAAeBFEjaAAAAAwEAAA8AAAAAAAAAAAAAAAAAsgQAAGRycy9kb3ducmV2LnhtbFBL&#10;BQYAAAAABAAEAPMAAAC5BQAAAAA=&#10;" o:allowincell="f" fillcolor="black" stroked="f">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1218D" w14:textId="2A3BB1A0" w:rsidR="000667B0" w:rsidRDefault="000667B0" w:rsidP="00003071">
    <w:pPr>
      <w:pStyle w:val="Header"/>
    </w:pPr>
    <w:r>
      <w:rPr>
        <w:noProof/>
      </w:rPr>
      <mc:AlternateContent>
        <mc:Choice Requires="wps">
          <w:drawing>
            <wp:anchor distT="0" distB="0" distL="114300" distR="114300" simplePos="0" relativeHeight="251658240" behindDoc="1" locked="0" layoutInCell="0" allowOverlap="1" wp14:anchorId="5D2E60B3" wp14:editId="57408F5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1909E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E1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BrgITVXAgAAZwQAAA4AAAAAAAAAAAAAAAAALgIAAGRycy9lMm9Eb2MueG1sUEsBAi0A&#10;FAAGAAgAAAAhAGtzUyXbAAAABwEAAA8AAAAAAAAAAAAAAAAAsQQAAGRycy9kb3ducmV2LnhtbFBL&#10;BQYAAAAABAAEAPMAAAC5BQAAAAA=&#10;" o:allowincell="f" fillcolor="black" stroked="f">
              <w10:wrap anchorx="margin"/>
            </v:rect>
          </w:pict>
        </mc:Fallback>
      </mc:AlternateContent>
    </w:r>
    <w:r>
      <w:tab/>
      <w:t>Federal Communications Commission</w:t>
    </w:r>
    <w:r>
      <w:tab/>
      <w:t>DA 1</w:t>
    </w:r>
    <w:r w:rsidR="002B16DB">
      <w:t>6</w:t>
    </w:r>
    <w:r>
      <w:t>-</w:t>
    </w:r>
    <w:r w:rsidR="003E792C">
      <w:t>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lvlOverride w:ilvl="0">
      <w:startOverride w:val="1"/>
    </w:lvlOverride>
  </w:num>
  <w:num w:numId="14">
    <w:abstractNumId w:val="5"/>
    <w:lvlOverride w:ilvl="0">
      <w:startOverride w:val="1"/>
    </w:lvlOverride>
  </w:num>
  <w:num w:numId="15">
    <w:abstractNumId w:val="3"/>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A7"/>
    <w:rsid w:val="00002250"/>
    <w:rsid w:val="00003071"/>
    <w:rsid w:val="00032E3E"/>
    <w:rsid w:val="00036039"/>
    <w:rsid w:val="00037F90"/>
    <w:rsid w:val="00052805"/>
    <w:rsid w:val="00057E3C"/>
    <w:rsid w:val="0006619D"/>
    <w:rsid w:val="000667B0"/>
    <w:rsid w:val="000701DC"/>
    <w:rsid w:val="0007052F"/>
    <w:rsid w:val="0007117D"/>
    <w:rsid w:val="00081F87"/>
    <w:rsid w:val="00083E3C"/>
    <w:rsid w:val="000875BF"/>
    <w:rsid w:val="00096D8C"/>
    <w:rsid w:val="00097077"/>
    <w:rsid w:val="000974BB"/>
    <w:rsid w:val="000A6D80"/>
    <w:rsid w:val="000C0B65"/>
    <w:rsid w:val="000D1D85"/>
    <w:rsid w:val="000E05FE"/>
    <w:rsid w:val="000E2E56"/>
    <w:rsid w:val="000E3D42"/>
    <w:rsid w:val="000F4698"/>
    <w:rsid w:val="001060DD"/>
    <w:rsid w:val="00107BAC"/>
    <w:rsid w:val="00110597"/>
    <w:rsid w:val="00122BD5"/>
    <w:rsid w:val="00133F79"/>
    <w:rsid w:val="0014263C"/>
    <w:rsid w:val="00143473"/>
    <w:rsid w:val="001477B4"/>
    <w:rsid w:val="00155A5B"/>
    <w:rsid w:val="0016055D"/>
    <w:rsid w:val="00160990"/>
    <w:rsid w:val="00165A6D"/>
    <w:rsid w:val="00194A66"/>
    <w:rsid w:val="001B139E"/>
    <w:rsid w:val="001B2E7C"/>
    <w:rsid w:val="001B77AE"/>
    <w:rsid w:val="001C0B29"/>
    <w:rsid w:val="001C3E1C"/>
    <w:rsid w:val="001C571D"/>
    <w:rsid w:val="001D6BCF"/>
    <w:rsid w:val="001E0177"/>
    <w:rsid w:val="001E01CA"/>
    <w:rsid w:val="001E3D80"/>
    <w:rsid w:val="001E4A4F"/>
    <w:rsid w:val="001F1236"/>
    <w:rsid w:val="001F3521"/>
    <w:rsid w:val="002006C7"/>
    <w:rsid w:val="00201FCC"/>
    <w:rsid w:val="0021378C"/>
    <w:rsid w:val="0023369C"/>
    <w:rsid w:val="00235E70"/>
    <w:rsid w:val="00240F60"/>
    <w:rsid w:val="00244FA0"/>
    <w:rsid w:val="00260F5C"/>
    <w:rsid w:val="00275CF5"/>
    <w:rsid w:val="0028301F"/>
    <w:rsid w:val="00283CF0"/>
    <w:rsid w:val="00285017"/>
    <w:rsid w:val="002A2D2E"/>
    <w:rsid w:val="002B1484"/>
    <w:rsid w:val="002B16DB"/>
    <w:rsid w:val="002B3B2A"/>
    <w:rsid w:val="002B458B"/>
    <w:rsid w:val="002B547E"/>
    <w:rsid w:val="002C00E8"/>
    <w:rsid w:val="002F16EB"/>
    <w:rsid w:val="002F38B0"/>
    <w:rsid w:val="003037E4"/>
    <w:rsid w:val="00320B67"/>
    <w:rsid w:val="00326E49"/>
    <w:rsid w:val="00343749"/>
    <w:rsid w:val="00347541"/>
    <w:rsid w:val="0034770A"/>
    <w:rsid w:val="00365240"/>
    <w:rsid w:val="003660ED"/>
    <w:rsid w:val="0036699F"/>
    <w:rsid w:val="00370192"/>
    <w:rsid w:val="0037261B"/>
    <w:rsid w:val="00381237"/>
    <w:rsid w:val="0038308E"/>
    <w:rsid w:val="00395314"/>
    <w:rsid w:val="003A1D28"/>
    <w:rsid w:val="003B0550"/>
    <w:rsid w:val="003B1533"/>
    <w:rsid w:val="003B694F"/>
    <w:rsid w:val="003C3434"/>
    <w:rsid w:val="003D1E7A"/>
    <w:rsid w:val="003D47EF"/>
    <w:rsid w:val="003E2C0A"/>
    <w:rsid w:val="003E792C"/>
    <w:rsid w:val="003F171C"/>
    <w:rsid w:val="003F180D"/>
    <w:rsid w:val="003F31EB"/>
    <w:rsid w:val="003F363F"/>
    <w:rsid w:val="003F4B73"/>
    <w:rsid w:val="004026BB"/>
    <w:rsid w:val="00402E5C"/>
    <w:rsid w:val="00412FC5"/>
    <w:rsid w:val="0041621E"/>
    <w:rsid w:val="00416F78"/>
    <w:rsid w:val="004217AC"/>
    <w:rsid w:val="0042218A"/>
    <w:rsid w:val="00422276"/>
    <w:rsid w:val="004242F1"/>
    <w:rsid w:val="004308F4"/>
    <w:rsid w:val="004404FA"/>
    <w:rsid w:val="004433F4"/>
    <w:rsid w:val="00445A00"/>
    <w:rsid w:val="00451B0F"/>
    <w:rsid w:val="004533BC"/>
    <w:rsid w:val="00480197"/>
    <w:rsid w:val="00485BAF"/>
    <w:rsid w:val="00486FAA"/>
    <w:rsid w:val="004937EE"/>
    <w:rsid w:val="00496B75"/>
    <w:rsid w:val="004A1E5B"/>
    <w:rsid w:val="004A621F"/>
    <w:rsid w:val="004B3932"/>
    <w:rsid w:val="004B4CAC"/>
    <w:rsid w:val="004C2EE3"/>
    <w:rsid w:val="004D2244"/>
    <w:rsid w:val="004D2F0C"/>
    <w:rsid w:val="004D4EBE"/>
    <w:rsid w:val="004E163E"/>
    <w:rsid w:val="004E4A22"/>
    <w:rsid w:val="004E4E24"/>
    <w:rsid w:val="00504CDC"/>
    <w:rsid w:val="00505014"/>
    <w:rsid w:val="00511968"/>
    <w:rsid w:val="00516FD6"/>
    <w:rsid w:val="00520A9E"/>
    <w:rsid w:val="00546441"/>
    <w:rsid w:val="005469EB"/>
    <w:rsid w:val="0055218F"/>
    <w:rsid w:val="005528A9"/>
    <w:rsid w:val="005530C7"/>
    <w:rsid w:val="005549C2"/>
    <w:rsid w:val="0055614C"/>
    <w:rsid w:val="00573645"/>
    <w:rsid w:val="005A12D4"/>
    <w:rsid w:val="005B1EF7"/>
    <w:rsid w:val="005B3627"/>
    <w:rsid w:val="005B50A5"/>
    <w:rsid w:val="005B6A4A"/>
    <w:rsid w:val="005E0506"/>
    <w:rsid w:val="005E14C2"/>
    <w:rsid w:val="005F65F0"/>
    <w:rsid w:val="005F7865"/>
    <w:rsid w:val="00602A17"/>
    <w:rsid w:val="00605299"/>
    <w:rsid w:val="00607BA5"/>
    <w:rsid w:val="0061180A"/>
    <w:rsid w:val="00625192"/>
    <w:rsid w:val="00626EB6"/>
    <w:rsid w:val="00637947"/>
    <w:rsid w:val="00642B40"/>
    <w:rsid w:val="00643775"/>
    <w:rsid w:val="006465E4"/>
    <w:rsid w:val="00653FE2"/>
    <w:rsid w:val="00655D03"/>
    <w:rsid w:val="006601C3"/>
    <w:rsid w:val="00665F64"/>
    <w:rsid w:val="00683388"/>
    <w:rsid w:val="00683F84"/>
    <w:rsid w:val="006844BE"/>
    <w:rsid w:val="0068618D"/>
    <w:rsid w:val="006968E1"/>
    <w:rsid w:val="006A33F3"/>
    <w:rsid w:val="006A6A81"/>
    <w:rsid w:val="006B320C"/>
    <w:rsid w:val="006D063C"/>
    <w:rsid w:val="006D12C3"/>
    <w:rsid w:val="006D20A3"/>
    <w:rsid w:val="006D678D"/>
    <w:rsid w:val="006D7243"/>
    <w:rsid w:val="006E62AF"/>
    <w:rsid w:val="006F7393"/>
    <w:rsid w:val="0070224F"/>
    <w:rsid w:val="00707427"/>
    <w:rsid w:val="007105C5"/>
    <w:rsid w:val="007115F7"/>
    <w:rsid w:val="007174E4"/>
    <w:rsid w:val="00736FBF"/>
    <w:rsid w:val="00740BEB"/>
    <w:rsid w:val="0074278E"/>
    <w:rsid w:val="00751A8F"/>
    <w:rsid w:val="00784B52"/>
    <w:rsid w:val="00785689"/>
    <w:rsid w:val="0078598E"/>
    <w:rsid w:val="0079139A"/>
    <w:rsid w:val="0079754B"/>
    <w:rsid w:val="007A1E6D"/>
    <w:rsid w:val="007B0EB2"/>
    <w:rsid w:val="007B4C39"/>
    <w:rsid w:val="007C74FC"/>
    <w:rsid w:val="007D5A7F"/>
    <w:rsid w:val="007F163E"/>
    <w:rsid w:val="007F3AC4"/>
    <w:rsid w:val="007F3D61"/>
    <w:rsid w:val="00810B6F"/>
    <w:rsid w:val="00817388"/>
    <w:rsid w:val="008212D6"/>
    <w:rsid w:val="00822CE0"/>
    <w:rsid w:val="0083080E"/>
    <w:rsid w:val="00841AB1"/>
    <w:rsid w:val="0084650F"/>
    <w:rsid w:val="008515FA"/>
    <w:rsid w:val="0085193C"/>
    <w:rsid w:val="00852762"/>
    <w:rsid w:val="00862C5E"/>
    <w:rsid w:val="00862F32"/>
    <w:rsid w:val="00866DB3"/>
    <w:rsid w:val="00870077"/>
    <w:rsid w:val="0088254C"/>
    <w:rsid w:val="008841BA"/>
    <w:rsid w:val="00892CF9"/>
    <w:rsid w:val="008945AE"/>
    <w:rsid w:val="00896B30"/>
    <w:rsid w:val="008B66C1"/>
    <w:rsid w:val="008C68F1"/>
    <w:rsid w:val="008E1F7E"/>
    <w:rsid w:val="008E424B"/>
    <w:rsid w:val="008F4928"/>
    <w:rsid w:val="008F7753"/>
    <w:rsid w:val="00906D97"/>
    <w:rsid w:val="00921803"/>
    <w:rsid w:val="00926503"/>
    <w:rsid w:val="00950D31"/>
    <w:rsid w:val="00952D58"/>
    <w:rsid w:val="009628FF"/>
    <w:rsid w:val="00964B8A"/>
    <w:rsid w:val="00966620"/>
    <w:rsid w:val="00970F58"/>
    <w:rsid w:val="009726D8"/>
    <w:rsid w:val="0097771F"/>
    <w:rsid w:val="009A238B"/>
    <w:rsid w:val="009A40D8"/>
    <w:rsid w:val="009B4CF4"/>
    <w:rsid w:val="009E05C8"/>
    <w:rsid w:val="009F6704"/>
    <w:rsid w:val="009F76DB"/>
    <w:rsid w:val="00A01A27"/>
    <w:rsid w:val="00A21F93"/>
    <w:rsid w:val="00A32C3B"/>
    <w:rsid w:val="00A375CD"/>
    <w:rsid w:val="00A45F4F"/>
    <w:rsid w:val="00A45F8C"/>
    <w:rsid w:val="00A4714D"/>
    <w:rsid w:val="00A505AB"/>
    <w:rsid w:val="00A53D3A"/>
    <w:rsid w:val="00A57034"/>
    <w:rsid w:val="00A600A9"/>
    <w:rsid w:val="00A722F1"/>
    <w:rsid w:val="00A74B11"/>
    <w:rsid w:val="00A87D05"/>
    <w:rsid w:val="00AA55B7"/>
    <w:rsid w:val="00AA5B9E"/>
    <w:rsid w:val="00AB1241"/>
    <w:rsid w:val="00AB2407"/>
    <w:rsid w:val="00AB53DF"/>
    <w:rsid w:val="00AC29D7"/>
    <w:rsid w:val="00AC5B24"/>
    <w:rsid w:val="00AE0A1E"/>
    <w:rsid w:val="00AE2BE3"/>
    <w:rsid w:val="00B07E5C"/>
    <w:rsid w:val="00B20C8D"/>
    <w:rsid w:val="00B22213"/>
    <w:rsid w:val="00B3446D"/>
    <w:rsid w:val="00B51FB4"/>
    <w:rsid w:val="00B577D1"/>
    <w:rsid w:val="00B60FEF"/>
    <w:rsid w:val="00B73E32"/>
    <w:rsid w:val="00B76C8B"/>
    <w:rsid w:val="00B811F7"/>
    <w:rsid w:val="00BA28AC"/>
    <w:rsid w:val="00BA5DC6"/>
    <w:rsid w:val="00BA6196"/>
    <w:rsid w:val="00BB7457"/>
    <w:rsid w:val="00BC165F"/>
    <w:rsid w:val="00BC6D8C"/>
    <w:rsid w:val="00BD4E21"/>
    <w:rsid w:val="00BF3360"/>
    <w:rsid w:val="00C25FBE"/>
    <w:rsid w:val="00C34006"/>
    <w:rsid w:val="00C426B1"/>
    <w:rsid w:val="00C579E8"/>
    <w:rsid w:val="00C60E73"/>
    <w:rsid w:val="00C64995"/>
    <w:rsid w:val="00C64DE2"/>
    <w:rsid w:val="00C66160"/>
    <w:rsid w:val="00C7153B"/>
    <w:rsid w:val="00C721AC"/>
    <w:rsid w:val="00C7694B"/>
    <w:rsid w:val="00C82860"/>
    <w:rsid w:val="00C90D6A"/>
    <w:rsid w:val="00C90E6E"/>
    <w:rsid w:val="00C91DA4"/>
    <w:rsid w:val="00CA074B"/>
    <w:rsid w:val="00CA247E"/>
    <w:rsid w:val="00CA34CD"/>
    <w:rsid w:val="00CA7466"/>
    <w:rsid w:val="00CC72B6"/>
    <w:rsid w:val="00CE3C21"/>
    <w:rsid w:val="00CF1E4F"/>
    <w:rsid w:val="00CF43A7"/>
    <w:rsid w:val="00D0218D"/>
    <w:rsid w:val="00D03342"/>
    <w:rsid w:val="00D25FB5"/>
    <w:rsid w:val="00D31F1F"/>
    <w:rsid w:val="00D44223"/>
    <w:rsid w:val="00D451CC"/>
    <w:rsid w:val="00D55B79"/>
    <w:rsid w:val="00D571A7"/>
    <w:rsid w:val="00D70FDA"/>
    <w:rsid w:val="00D87895"/>
    <w:rsid w:val="00DA2529"/>
    <w:rsid w:val="00DA38A7"/>
    <w:rsid w:val="00DB130A"/>
    <w:rsid w:val="00DB16E4"/>
    <w:rsid w:val="00DB2EBB"/>
    <w:rsid w:val="00DB71B4"/>
    <w:rsid w:val="00DB7947"/>
    <w:rsid w:val="00DC10A1"/>
    <w:rsid w:val="00DC655F"/>
    <w:rsid w:val="00DC7B02"/>
    <w:rsid w:val="00DD0B59"/>
    <w:rsid w:val="00DD0DD5"/>
    <w:rsid w:val="00DD68AC"/>
    <w:rsid w:val="00DD7EBD"/>
    <w:rsid w:val="00DE3FF5"/>
    <w:rsid w:val="00DE53AC"/>
    <w:rsid w:val="00DF62B6"/>
    <w:rsid w:val="00DF6976"/>
    <w:rsid w:val="00E02EDB"/>
    <w:rsid w:val="00E07225"/>
    <w:rsid w:val="00E23B9E"/>
    <w:rsid w:val="00E23F6A"/>
    <w:rsid w:val="00E512F6"/>
    <w:rsid w:val="00E52181"/>
    <w:rsid w:val="00E538B1"/>
    <w:rsid w:val="00E5409F"/>
    <w:rsid w:val="00E54CBA"/>
    <w:rsid w:val="00E604E6"/>
    <w:rsid w:val="00E636B1"/>
    <w:rsid w:val="00E716CD"/>
    <w:rsid w:val="00E80F46"/>
    <w:rsid w:val="00E812E8"/>
    <w:rsid w:val="00E912E4"/>
    <w:rsid w:val="00E93B96"/>
    <w:rsid w:val="00E957A3"/>
    <w:rsid w:val="00EA21C1"/>
    <w:rsid w:val="00EA783B"/>
    <w:rsid w:val="00EB5293"/>
    <w:rsid w:val="00ED1CBD"/>
    <w:rsid w:val="00EE612E"/>
    <w:rsid w:val="00EE6488"/>
    <w:rsid w:val="00F021FA"/>
    <w:rsid w:val="00F12B7F"/>
    <w:rsid w:val="00F34378"/>
    <w:rsid w:val="00F43F88"/>
    <w:rsid w:val="00F54031"/>
    <w:rsid w:val="00F575B9"/>
    <w:rsid w:val="00F62E97"/>
    <w:rsid w:val="00F64209"/>
    <w:rsid w:val="00F66993"/>
    <w:rsid w:val="00F70AA9"/>
    <w:rsid w:val="00F71945"/>
    <w:rsid w:val="00F772A1"/>
    <w:rsid w:val="00F817B2"/>
    <w:rsid w:val="00F8266D"/>
    <w:rsid w:val="00F82D2E"/>
    <w:rsid w:val="00F87360"/>
    <w:rsid w:val="00F93BF5"/>
    <w:rsid w:val="00F94651"/>
    <w:rsid w:val="00FA0546"/>
    <w:rsid w:val="00FB20FC"/>
    <w:rsid w:val="00FB246F"/>
    <w:rsid w:val="00FD03BC"/>
    <w:rsid w:val="00FE026A"/>
    <w:rsid w:val="00FE4C87"/>
    <w:rsid w:val="00FE7AA9"/>
    <w:rsid w:val="00FF08F1"/>
    <w:rsid w:val="00FF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78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Footnote Text Char"/>
    <w:link w:val="FootnoteTextChar1"/>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03071"/>
    <w:pPr>
      <w:tabs>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736FBF"/>
    <w:rPr>
      <w:rFonts w:ascii="Segoe UI" w:hAnsi="Segoe UI" w:cs="Segoe UI"/>
      <w:sz w:val="18"/>
      <w:szCs w:val="18"/>
    </w:rPr>
  </w:style>
  <w:style w:type="character" w:customStyle="1" w:styleId="BalloonTextChar">
    <w:name w:val="Balloon Text Char"/>
    <w:basedOn w:val="DefaultParagraphFont"/>
    <w:link w:val="BalloonText"/>
    <w:semiHidden/>
    <w:rsid w:val="00736FBF"/>
    <w:rPr>
      <w:rFonts w:ascii="Segoe UI" w:hAnsi="Segoe UI" w:cs="Segoe UI"/>
      <w:snapToGrid w:val="0"/>
      <w:kern w:val="28"/>
      <w:sz w:val="18"/>
      <w:szCs w:val="18"/>
    </w:rPr>
  </w:style>
  <w:style w:type="paragraph" w:styleId="NormalWeb">
    <w:name w:val="Normal (Web)"/>
    <w:basedOn w:val="Normal"/>
    <w:uiPriority w:val="99"/>
    <w:unhideWhenUsed/>
    <w:rsid w:val="0068618D"/>
    <w:pPr>
      <w:widowControl/>
      <w:spacing w:before="100" w:beforeAutospacing="1" w:after="100" w:afterAutospacing="1"/>
    </w:pPr>
    <w:rPr>
      <w:rFonts w:ascii="Times" w:hAnsi="Times"/>
      <w:snapToGrid/>
      <w:kern w:val="0"/>
      <w:sz w:val="20"/>
    </w:rPr>
  </w:style>
  <w:style w:type="character" w:customStyle="1" w:styleId="FootnoteTextChar1">
    <w:name w:val="Footnote Text Char1"/>
    <w:aliases w:val="Footnote Text Char2 Char Char,Footnote Text Char3 Char Char Char,Footnote Text Char2 Char Char Char Char,Footnote Text Char Char Char1 Char Char Char Char,Footnote Text Char1 Char1 Char Char Char Char,fn Char,f Char"/>
    <w:link w:val="FootnoteText"/>
    <w:rsid w:val="0079139A"/>
  </w:style>
  <w:style w:type="character" w:customStyle="1" w:styleId="apple-converted-space">
    <w:name w:val="apple-converted-space"/>
    <w:basedOn w:val="DefaultParagraphFont"/>
    <w:rsid w:val="00416F78"/>
  </w:style>
  <w:style w:type="character" w:styleId="Emphasis">
    <w:name w:val="Emphasis"/>
    <w:basedOn w:val="DefaultParagraphFont"/>
    <w:uiPriority w:val="20"/>
    <w:qFormat/>
    <w:rsid w:val="00416F78"/>
    <w:rPr>
      <w:i/>
      <w:iCs/>
    </w:rPr>
  </w:style>
  <w:style w:type="character" w:styleId="CommentReference">
    <w:name w:val="annotation reference"/>
    <w:basedOn w:val="DefaultParagraphFont"/>
    <w:semiHidden/>
    <w:unhideWhenUsed/>
    <w:rsid w:val="00E80F46"/>
    <w:rPr>
      <w:sz w:val="16"/>
      <w:szCs w:val="16"/>
    </w:rPr>
  </w:style>
  <w:style w:type="paragraph" w:styleId="CommentText">
    <w:name w:val="annotation text"/>
    <w:basedOn w:val="Normal"/>
    <w:link w:val="CommentTextChar"/>
    <w:semiHidden/>
    <w:unhideWhenUsed/>
    <w:rsid w:val="00E80F46"/>
    <w:rPr>
      <w:sz w:val="20"/>
    </w:rPr>
  </w:style>
  <w:style w:type="character" w:customStyle="1" w:styleId="CommentTextChar">
    <w:name w:val="Comment Text Char"/>
    <w:basedOn w:val="DefaultParagraphFont"/>
    <w:link w:val="CommentText"/>
    <w:semiHidden/>
    <w:rsid w:val="00E80F46"/>
    <w:rPr>
      <w:snapToGrid w:val="0"/>
      <w:kern w:val="28"/>
    </w:rPr>
  </w:style>
  <w:style w:type="paragraph" w:styleId="CommentSubject">
    <w:name w:val="annotation subject"/>
    <w:basedOn w:val="CommentText"/>
    <w:next w:val="CommentText"/>
    <w:link w:val="CommentSubjectChar"/>
    <w:semiHidden/>
    <w:unhideWhenUsed/>
    <w:rsid w:val="00E80F46"/>
    <w:rPr>
      <w:b/>
      <w:bCs/>
    </w:rPr>
  </w:style>
  <w:style w:type="character" w:customStyle="1" w:styleId="CommentSubjectChar">
    <w:name w:val="Comment Subject Char"/>
    <w:basedOn w:val="CommentTextChar"/>
    <w:link w:val="CommentSubject"/>
    <w:semiHidden/>
    <w:rsid w:val="00E80F46"/>
    <w:rPr>
      <w:b/>
      <w:bCs/>
      <w:snapToGrid w:val="0"/>
      <w:kern w:val="28"/>
    </w:rPr>
  </w:style>
  <w:style w:type="paragraph" w:styleId="Revision">
    <w:name w:val="Revision"/>
    <w:hidden/>
    <w:uiPriority w:val="99"/>
    <w:semiHidden/>
    <w:rsid w:val="00E80F4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Footnote Text Char"/>
    <w:link w:val="FootnoteTextChar1"/>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03071"/>
    <w:pPr>
      <w:tabs>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736FBF"/>
    <w:rPr>
      <w:rFonts w:ascii="Segoe UI" w:hAnsi="Segoe UI" w:cs="Segoe UI"/>
      <w:sz w:val="18"/>
      <w:szCs w:val="18"/>
    </w:rPr>
  </w:style>
  <w:style w:type="character" w:customStyle="1" w:styleId="BalloonTextChar">
    <w:name w:val="Balloon Text Char"/>
    <w:basedOn w:val="DefaultParagraphFont"/>
    <w:link w:val="BalloonText"/>
    <w:semiHidden/>
    <w:rsid w:val="00736FBF"/>
    <w:rPr>
      <w:rFonts w:ascii="Segoe UI" w:hAnsi="Segoe UI" w:cs="Segoe UI"/>
      <w:snapToGrid w:val="0"/>
      <w:kern w:val="28"/>
      <w:sz w:val="18"/>
      <w:szCs w:val="18"/>
    </w:rPr>
  </w:style>
  <w:style w:type="paragraph" w:styleId="NormalWeb">
    <w:name w:val="Normal (Web)"/>
    <w:basedOn w:val="Normal"/>
    <w:uiPriority w:val="99"/>
    <w:unhideWhenUsed/>
    <w:rsid w:val="0068618D"/>
    <w:pPr>
      <w:widowControl/>
      <w:spacing w:before="100" w:beforeAutospacing="1" w:after="100" w:afterAutospacing="1"/>
    </w:pPr>
    <w:rPr>
      <w:rFonts w:ascii="Times" w:hAnsi="Times"/>
      <w:snapToGrid/>
      <w:kern w:val="0"/>
      <w:sz w:val="20"/>
    </w:rPr>
  </w:style>
  <w:style w:type="character" w:customStyle="1" w:styleId="FootnoteTextChar1">
    <w:name w:val="Footnote Text Char1"/>
    <w:aliases w:val="Footnote Text Char2 Char Char,Footnote Text Char3 Char Char Char,Footnote Text Char2 Char Char Char Char,Footnote Text Char Char Char1 Char Char Char Char,Footnote Text Char1 Char1 Char Char Char Char,fn Char,f Char"/>
    <w:link w:val="FootnoteText"/>
    <w:rsid w:val="0079139A"/>
  </w:style>
  <w:style w:type="character" w:customStyle="1" w:styleId="apple-converted-space">
    <w:name w:val="apple-converted-space"/>
    <w:basedOn w:val="DefaultParagraphFont"/>
    <w:rsid w:val="00416F78"/>
  </w:style>
  <w:style w:type="character" w:styleId="Emphasis">
    <w:name w:val="Emphasis"/>
    <w:basedOn w:val="DefaultParagraphFont"/>
    <w:uiPriority w:val="20"/>
    <w:qFormat/>
    <w:rsid w:val="00416F78"/>
    <w:rPr>
      <w:i/>
      <w:iCs/>
    </w:rPr>
  </w:style>
  <w:style w:type="character" w:styleId="CommentReference">
    <w:name w:val="annotation reference"/>
    <w:basedOn w:val="DefaultParagraphFont"/>
    <w:semiHidden/>
    <w:unhideWhenUsed/>
    <w:rsid w:val="00E80F46"/>
    <w:rPr>
      <w:sz w:val="16"/>
      <w:szCs w:val="16"/>
    </w:rPr>
  </w:style>
  <w:style w:type="paragraph" w:styleId="CommentText">
    <w:name w:val="annotation text"/>
    <w:basedOn w:val="Normal"/>
    <w:link w:val="CommentTextChar"/>
    <w:semiHidden/>
    <w:unhideWhenUsed/>
    <w:rsid w:val="00E80F46"/>
    <w:rPr>
      <w:sz w:val="20"/>
    </w:rPr>
  </w:style>
  <w:style w:type="character" w:customStyle="1" w:styleId="CommentTextChar">
    <w:name w:val="Comment Text Char"/>
    <w:basedOn w:val="DefaultParagraphFont"/>
    <w:link w:val="CommentText"/>
    <w:semiHidden/>
    <w:rsid w:val="00E80F46"/>
    <w:rPr>
      <w:snapToGrid w:val="0"/>
      <w:kern w:val="28"/>
    </w:rPr>
  </w:style>
  <w:style w:type="paragraph" w:styleId="CommentSubject">
    <w:name w:val="annotation subject"/>
    <w:basedOn w:val="CommentText"/>
    <w:next w:val="CommentText"/>
    <w:link w:val="CommentSubjectChar"/>
    <w:semiHidden/>
    <w:unhideWhenUsed/>
    <w:rsid w:val="00E80F46"/>
    <w:rPr>
      <w:b/>
      <w:bCs/>
    </w:rPr>
  </w:style>
  <w:style w:type="character" w:customStyle="1" w:styleId="CommentSubjectChar">
    <w:name w:val="Comment Subject Char"/>
    <w:basedOn w:val="CommentTextChar"/>
    <w:link w:val="CommentSubject"/>
    <w:semiHidden/>
    <w:rsid w:val="00E80F46"/>
    <w:rPr>
      <w:b/>
      <w:bCs/>
      <w:snapToGrid w:val="0"/>
      <w:kern w:val="28"/>
    </w:rPr>
  </w:style>
  <w:style w:type="paragraph" w:styleId="Revision">
    <w:name w:val="Revision"/>
    <w:hidden/>
    <w:uiPriority w:val="99"/>
    <w:semiHidden/>
    <w:rsid w:val="00E80F4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4838">
      <w:bodyDiv w:val="1"/>
      <w:marLeft w:val="0"/>
      <w:marRight w:val="0"/>
      <w:marTop w:val="0"/>
      <w:marBottom w:val="0"/>
      <w:divBdr>
        <w:top w:val="none" w:sz="0" w:space="0" w:color="auto"/>
        <w:left w:val="none" w:sz="0" w:space="0" w:color="auto"/>
        <w:bottom w:val="none" w:sz="0" w:space="0" w:color="auto"/>
        <w:right w:val="none" w:sz="0" w:space="0" w:color="auto"/>
      </w:divBdr>
      <w:divsChild>
        <w:div w:id="1734543000">
          <w:marLeft w:val="0"/>
          <w:marRight w:val="0"/>
          <w:marTop w:val="0"/>
          <w:marBottom w:val="0"/>
          <w:divBdr>
            <w:top w:val="none" w:sz="0" w:space="0" w:color="auto"/>
            <w:left w:val="none" w:sz="0" w:space="0" w:color="auto"/>
            <w:bottom w:val="none" w:sz="0" w:space="0" w:color="auto"/>
            <w:right w:val="none" w:sz="0" w:space="0" w:color="auto"/>
          </w:divBdr>
          <w:divsChild>
            <w:div w:id="1982032899">
              <w:marLeft w:val="0"/>
              <w:marRight w:val="0"/>
              <w:marTop w:val="0"/>
              <w:marBottom w:val="0"/>
              <w:divBdr>
                <w:top w:val="none" w:sz="0" w:space="0" w:color="auto"/>
                <w:left w:val="none" w:sz="0" w:space="0" w:color="auto"/>
                <w:bottom w:val="none" w:sz="0" w:space="0" w:color="auto"/>
                <w:right w:val="none" w:sz="0" w:space="0" w:color="auto"/>
              </w:divBdr>
              <w:divsChild>
                <w:div w:id="13544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46109">
      <w:bodyDiv w:val="1"/>
      <w:marLeft w:val="0"/>
      <w:marRight w:val="0"/>
      <w:marTop w:val="0"/>
      <w:marBottom w:val="0"/>
      <w:divBdr>
        <w:top w:val="none" w:sz="0" w:space="0" w:color="auto"/>
        <w:left w:val="none" w:sz="0" w:space="0" w:color="auto"/>
        <w:bottom w:val="none" w:sz="0" w:space="0" w:color="auto"/>
        <w:right w:val="none" w:sz="0" w:space="0" w:color="auto"/>
      </w:divBdr>
      <w:divsChild>
        <w:div w:id="413674053">
          <w:marLeft w:val="0"/>
          <w:marRight w:val="0"/>
          <w:marTop w:val="0"/>
          <w:marBottom w:val="0"/>
          <w:divBdr>
            <w:top w:val="none" w:sz="0" w:space="0" w:color="auto"/>
            <w:left w:val="none" w:sz="0" w:space="0" w:color="auto"/>
            <w:bottom w:val="none" w:sz="0" w:space="0" w:color="auto"/>
            <w:right w:val="none" w:sz="0" w:space="0" w:color="auto"/>
          </w:divBdr>
          <w:divsChild>
            <w:div w:id="1550844405">
              <w:marLeft w:val="0"/>
              <w:marRight w:val="0"/>
              <w:marTop w:val="0"/>
              <w:marBottom w:val="0"/>
              <w:divBdr>
                <w:top w:val="none" w:sz="0" w:space="0" w:color="auto"/>
                <w:left w:val="none" w:sz="0" w:space="0" w:color="auto"/>
                <w:bottom w:val="none" w:sz="0" w:space="0" w:color="auto"/>
                <w:right w:val="none" w:sz="0" w:space="0" w:color="auto"/>
              </w:divBdr>
              <w:divsChild>
                <w:div w:id="17323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5740">
      <w:bodyDiv w:val="1"/>
      <w:marLeft w:val="0"/>
      <w:marRight w:val="0"/>
      <w:marTop w:val="0"/>
      <w:marBottom w:val="0"/>
      <w:divBdr>
        <w:top w:val="none" w:sz="0" w:space="0" w:color="auto"/>
        <w:left w:val="none" w:sz="0" w:space="0" w:color="auto"/>
        <w:bottom w:val="none" w:sz="0" w:space="0" w:color="auto"/>
        <w:right w:val="none" w:sz="0" w:space="0" w:color="auto"/>
      </w:divBdr>
      <w:divsChild>
        <w:div w:id="561064848">
          <w:marLeft w:val="0"/>
          <w:marRight w:val="0"/>
          <w:marTop w:val="0"/>
          <w:marBottom w:val="0"/>
          <w:divBdr>
            <w:top w:val="none" w:sz="0" w:space="0" w:color="auto"/>
            <w:left w:val="none" w:sz="0" w:space="0" w:color="auto"/>
            <w:bottom w:val="none" w:sz="0" w:space="0" w:color="auto"/>
            <w:right w:val="none" w:sz="0" w:space="0" w:color="auto"/>
          </w:divBdr>
          <w:divsChild>
            <w:div w:id="1603952788">
              <w:marLeft w:val="0"/>
              <w:marRight w:val="0"/>
              <w:marTop w:val="0"/>
              <w:marBottom w:val="0"/>
              <w:divBdr>
                <w:top w:val="none" w:sz="0" w:space="0" w:color="auto"/>
                <w:left w:val="none" w:sz="0" w:space="0" w:color="auto"/>
                <w:bottom w:val="none" w:sz="0" w:space="0" w:color="auto"/>
                <w:right w:val="none" w:sz="0" w:space="0" w:color="auto"/>
              </w:divBdr>
              <w:divsChild>
                <w:div w:id="2040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888</Words>
  <Characters>5040</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5928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2016-01-15T16:55:00Z</cp:lastPrinted>
  <dcterms:created xsi:type="dcterms:W3CDTF">2016-01-15T20:34:00Z</dcterms:created>
  <dcterms:modified xsi:type="dcterms:W3CDTF">2016-01-15T20:34:00Z</dcterms:modified>
  <cp:category> </cp:category>
  <cp:contentStatus> </cp:contentStatus>
</cp:coreProperties>
</file>