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084AF" w14:textId="77777777" w:rsidR="00602577" w:rsidRPr="000738B1" w:rsidRDefault="00602577">
      <w:pPr>
        <w:pStyle w:val="Header"/>
        <w:tabs>
          <w:tab w:val="clear" w:pos="4320"/>
          <w:tab w:val="clear" w:pos="8640"/>
        </w:tabs>
        <w:rPr>
          <w:szCs w:val="22"/>
        </w:rPr>
        <w:sectPr w:rsidR="00602577" w:rsidRPr="000738B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6EBF04B7" w14:textId="19ED1147" w:rsidR="00602577" w:rsidRPr="000738B1" w:rsidRDefault="00D02DDC">
      <w:pPr>
        <w:jc w:val="right"/>
        <w:rPr>
          <w:szCs w:val="22"/>
        </w:rPr>
      </w:pPr>
      <w:r>
        <w:rPr>
          <w:szCs w:val="22"/>
        </w:rPr>
        <w:lastRenderedPageBreak/>
        <w:t>DA 16-</w:t>
      </w:r>
      <w:r w:rsidR="00720405">
        <w:rPr>
          <w:szCs w:val="22"/>
        </w:rPr>
        <w:t>565</w:t>
      </w:r>
    </w:p>
    <w:p w14:paraId="3124C3D6" w14:textId="303977C4" w:rsidR="00602577" w:rsidRPr="000738B1" w:rsidRDefault="0035501C">
      <w:pPr>
        <w:spacing w:before="60"/>
        <w:jc w:val="right"/>
        <w:rPr>
          <w:szCs w:val="22"/>
        </w:rPr>
      </w:pPr>
      <w:r>
        <w:rPr>
          <w:szCs w:val="22"/>
        </w:rPr>
        <w:t>May 19</w:t>
      </w:r>
      <w:r w:rsidR="00D02DDC">
        <w:rPr>
          <w:szCs w:val="22"/>
        </w:rPr>
        <w:t>, 2016</w:t>
      </w:r>
    </w:p>
    <w:p w14:paraId="6A79BD2F" w14:textId="77777777" w:rsidR="00602577" w:rsidRPr="000738B1" w:rsidRDefault="00602577">
      <w:pPr>
        <w:jc w:val="right"/>
        <w:rPr>
          <w:szCs w:val="22"/>
        </w:rPr>
      </w:pPr>
    </w:p>
    <w:p w14:paraId="5B5BA91C" w14:textId="466968EE" w:rsidR="00602577" w:rsidRPr="000738B1" w:rsidRDefault="00673E6B">
      <w:pPr>
        <w:spacing w:after="240"/>
        <w:jc w:val="center"/>
        <w:rPr>
          <w:b/>
          <w:szCs w:val="22"/>
        </w:rPr>
      </w:pPr>
      <w:r w:rsidRPr="000738B1">
        <w:rPr>
          <w:b/>
          <w:szCs w:val="22"/>
        </w:rPr>
        <w:t xml:space="preserve">Wireless Telecommunications Bureau and Office of Engineering and Technology </w:t>
      </w:r>
      <w:r w:rsidR="00BB53ED">
        <w:rPr>
          <w:b/>
          <w:szCs w:val="22"/>
        </w:rPr>
        <w:br/>
      </w:r>
      <w:r w:rsidRPr="000738B1">
        <w:rPr>
          <w:b/>
          <w:szCs w:val="22"/>
        </w:rPr>
        <w:t xml:space="preserve">Announce Ex Parte Status and Inter-Agency Confidentiality Procedures for Submissions in </w:t>
      </w:r>
      <w:r w:rsidR="00BB53ED">
        <w:rPr>
          <w:b/>
          <w:szCs w:val="22"/>
        </w:rPr>
        <w:br/>
      </w:r>
      <w:r w:rsidRPr="000738B1">
        <w:rPr>
          <w:b/>
          <w:szCs w:val="22"/>
        </w:rPr>
        <w:t>GN Docket No. 15-319</w:t>
      </w:r>
    </w:p>
    <w:p w14:paraId="79EAE1E8" w14:textId="77777777" w:rsidR="00673E6B" w:rsidRPr="000738B1" w:rsidRDefault="00673E6B" w:rsidP="00673E6B">
      <w:pPr>
        <w:spacing w:after="240"/>
        <w:rPr>
          <w:szCs w:val="22"/>
        </w:rPr>
      </w:pPr>
      <w:r w:rsidRPr="000738B1">
        <w:rPr>
          <w:b/>
          <w:szCs w:val="22"/>
        </w:rPr>
        <w:tab/>
      </w:r>
    </w:p>
    <w:p w14:paraId="42E98AC6" w14:textId="54D3499B" w:rsidR="00F61ED1" w:rsidRPr="000738B1" w:rsidRDefault="00F61ED1" w:rsidP="00673E6B">
      <w:pPr>
        <w:spacing w:after="240"/>
        <w:rPr>
          <w:szCs w:val="22"/>
        </w:rPr>
      </w:pPr>
      <w:r w:rsidRPr="000738B1">
        <w:rPr>
          <w:szCs w:val="22"/>
        </w:rPr>
        <w:tab/>
        <w:t xml:space="preserve">The deadline for “first wave” proposals from prospective </w:t>
      </w:r>
      <w:r w:rsidR="00485811" w:rsidRPr="000738B1">
        <w:rPr>
          <w:szCs w:val="22"/>
        </w:rPr>
        <w:t>Spectrum Access System (</w:t>
      </w:r>
      <w:r w:rsidRPr="000738B1">
        <w:rPr>
          <w:szCs w:val="22"/>
        </w:rPr>
        <w:t>SAS</w:t>
      </w:r>
      <w:r w:rsidR="00485811" w:rsidRPr="000738B1">
        <w:rPr>
          <w:szCs w:val="22"/>
        </w:rPr>
        <w:t>)</w:t>
      </w:r>
      <w:r w:rsidRPr="000738B1">
        <w:rPr>
          <w:szCs w:val="22"/>
        </w:rPr>
        <w:t xml:space="preserve"> Administrators and </w:t>
      </w:r>
      <w:r w:rsidR="00485811" w:rsidRPr="000738B1">
        <w:rPr>
          <w:szCs w:val="22"/>
        </w:rPr>
        <w:t>Environmental Sensing Capability (</w:t>
      </w:r>
      <w:r w:rsidR="00E5093E" w:rsidRPr="000738B1">
        <w:rPr>
          <w:szCs w:val="22"/>
        </w:rPr>
        <w:t>ESC</w:t>
      </w:r>
      <w:r w:rsidR="00485811" w:rsidRPr="000738B1">
        <w:rPr>
          <w:szCs w:val="22"/>
        </w:rPr>
        <w:t xml:space="preserve">) </w:t>
      </w:r>
      <w:r w:rsidRPr="000738B1">
        <w:rPr>
          <w:szCs w:val="22"/>
        </w:rPr>
        <w:t>operators</w:t>
      </w:r>
      <w:r w:rsidR="00E5093E" w:rsidRPr="000738B1">
        <w:rPr>
          <w:szCs w:val="22"/>
        </w:rPr>
        <w:t xml:space="preserve"> in the 3550-3700 MHz Band (3.5 GHz Band)</w:t>
      </w:r>
      <w:r w:rsidRPr="000738B1">
        <w:rPr>
          <w:szCs w:val="22"/>
        </w:rPr>
        <w:t xml:space="preserve"> was May 16, 2016.</w:t>
      </w:r>
      <w:r w:rsidRPr="000738B1">
        <w:rPr>
          <w:rStyle w:val="FootnoteReference"/>
          <w:szCs w:val="22"/>
        </w:rPr>
        <w:footnoteReference w:id="1"/>
      </w:r>
      <w:r w:rsidRPr="000738B1">
        <w:rPr>
          <w:szCs w:val="22"/>
        </w:rPr>
        <w:t xml:space="preserve">  We received proposals from </w:t>
      </w:r>
      <w:r w:rsidR="007841C3" w:rsidRPr="000738B1">
        <w:rPr>
          <w:szCs w:val="22"/>
        </w:rPr>
        <w:t>eight</w:t>
      </w:r>
      <w:r w:rsidRPr="000738B1">
        <w:rPr>
          <w:szCs w:val="22"/>
        </w:rPr>
        <w:t xml:space="preserve"> parties on or before the deadline.  This Public Notice clarifies the </w:t>
      </w:r>
      <w:r w:rsidRPr="000738B1">
        <w:rPr>
          <w:i/>
          <w:szCs w:val="22"/>
        </w:rPr>
        <w:t xml:space="preserve">ex parte </w:t>
      </w:r>
      <w:r w:rsidRPr="000738B1">
        <w:rPr>
          <w:szCs w:val="22"/>
        </w:rPr>
        <w:t>status of any future</w:t>
      </w:r>
      <w:r w:rsidRPr="000738B1">
        <w:rPr>
          <w:i/>
          <w:szCs w:val="22"/>
        </w:rPr>
        <w:t xml:space="preserve"> </w:t>
      </w:r>
      <w:r w:rsidRPr="000738B1">
        <w:rPr>
          <w:szCs w:val="22"/>
        </w:rPr>
        <w:t xml:space="preserve">submissions in this </w:t>
      </w:r>
      <w:r w:rsidR="001A0424" w:rsidRPr="000738B1">
        <w:rPr>
          <w:szCs w:val="22"/>
        </w:rPr>
        <w:t>docket</w:t>
      </w:r>
      <w:r w:rsidRPr="000738B1">
        <w:rPr>
          <w:szCs w:val="22"/>
        </w:rPr>
        <w:t xml:space="preserve"> and provides guidance regarding the treatment of any confidential information submitted by the parties.</w:t>
      </w:r>
    </w:p>
    <w:p w14:paraId="147DB3C3" w14:textId="6089B8E5" w:rsidR="00CB6D0A" w:rsidRPr="000738B1" w:rsidRDefault="00CB6D0A" w:rsidP="00CB6D0A">
      <w:pPr>
        <w:spacing w:after="240"/>
        <w:ind w:firstLine="720"/>
        <w:rPr>
          <w:szCs w:val="22"/>
        </w:rPr>
      </w:pPr>
      <w:r w:rsidRPr="00720405">
        <w:rPr>
          <w:b/>
          <w:i/>
          <w:szCs w:val="22"/>
        </w:rPr>
        <w:t>Ex Parte Presentations</w:t>
      </w:r>
      <w:r w:rsidRPr="000738B1">
        <w:rPr>
          <w:i/>
          <w:szCs w:val="22"/>
        </w:rPr>
        <w:t>.</w:t>
      </w:r>
      <w:r w:rsidRPr="000738B1">
        <w:rPr>
          <w:szCs w:val="22"/>
        </w:rPr>
        <w:t xml:space="preserve"> </w:t>
      </w:r>
      <w:r w:rsidR="0056368E" w:rsidRPr="000738B1">
        <w:rPr>
          <w:szCs w:val="22"/>
        </w:rPr>
        <w:t xml:space="preserve"> Under the Commission’s </w:t>
      </w:r>
      <w:r w:rsidR="0056368E" w:rsidRPr="000738B1">
        <w:rPr>
          <w:i/>
          <w:szCs w:val="22"/>
        </w:rPr>
        <w:t>ex parte</w:t>
      </w:r>
      <w:r w:rsidR="0056368E" w:rsidRPr="000738B1">
        <w:rPr>
          <w:szCs w:val="22"/>
        </w:rPr>
        <w:t xml:space="preserve"> rules, because SAS</w:t>
      </w:r>
      <w:r w:rsidR="007841C3" w:rsidRPr="000738B1">
        <w:rPr>
          <w:szCs w:val="22"/>
        </w:rPr>
        <w:t xml:space="preserve"> and ESC</w:t>
      </w:r>
      <w:r w:rsidR="0056368E" w:rsidRPr="000738B1">
        <w:rPr>
          <w:szCs w:val="22"/>
        </w:rPr>
        <w:t xml:space="preserve"> applications are not </w:t>
      </w:r>
      <w:r w:rsidR="007841C3" w:rsidRPr="000738B1">
        <w:rPr>
          <w:szCs w:val="22"/>
        </w:rPr>
        <w:t>exclusive of other SAS and ESC applications</w:t>
      </w:r>
      <w:r w:rsidR="0056368E" w:rsidRPr="000738B1">
        <w:rPr>
          <w:szCs w:val="22"/>
        </w:rPr>
        <w:t>, applicants “may make presentations to the Commission about their own applications provided that no one has become a party with respect to their application by other means.”</w:t>
      </w:r>
      <w:r w:rsidR="0056368E" w:rsidRPr="000738B1">
        <w:rPr>
          <w:rStyle w:val="FootnoteReference"/>
          <w:szCs w:val="22"/>
        </w:rPr>
        <w:footnoteReference w:id="2"/>
      </w:r>
      <w:r w:rsidR="0056368E" w:rsidRPr="000738B1">
        <w:rPr>
          <w:szCs w:val="22"/>
        </w:rPr>
        <w:t xml:space="preserve">  </w:t>
      </w:r>
      <w:r w:rsidR="007841C3" w:rsidRPr="000738B1">
        <w:rPr>
          <w:szCs w:val="22"/>
        </w:rPr>
        <w:t>Therefore</w:t>
      </w:r>
      <w:r w:rsidR="0056368E" w:rsidRPr="000738B1">
        <w:rPr>
          <w:szCs w:val="22"/>
        </w:rPr>
        <w:t xml:space="preserve">, </w:t>
      </w:r>
      <w:r w:rsidR="007841C3" w:rsidRPr="000738B1">
        <w:rPr>
          <w:szCs w:val="22"/>
        </w:rPr>
        <w:t>applicants are permitted to make</w:t>
      </w:r>
      <w:r w:rsidR="0056368E" w:rsidRPr="000738B1">
        <w:rPr>
          <w:szCs w:val="22"/>
        </w:rPr>
        <w:t xml:space="preserve"> presentations relating to </w:t>
      </w:r>
      <w:r w:rsidR="007841C3" w:rsidRPr="000738B1">
        <w:rPr>
          <w:szCs w:val="22"/>
        </w:rPr>
        <w:t>their</w:t>
      </w:r>
      <w:r w:rsidR="0056368E" w:rsidRPr="000738B1">
        <w:rPr>
          <w:szCs w:val="22"/>
        </w:rPr>
        <w:t xml:space="preserve"> own application</w:t>
      </w:r>
      <w:r w:rsidR="007841C3" w:rsidRPr="000738B1">
        <w:rPr>
          <w:szCs w:val="22"/>
        </w:rPr>
        <w:t xml:space="preserve"> without disclosing the contents of the presentation, </w:t>
      </w:r>
      <w:r w:rsidR="004C173A" w:rsidRPr="000738B1">
        <w:rPr>
          <w:szCs w:val="22"/>
        </w:rPr>
        <w:t>unless a third party makes a presentatio</w:t>
      </w:r>
      <w:r w:rsidR="00087C62">
        <w:rPr>
          <w:szCs w:val="22"/>
        </w:rPr>
        <w:t xml:space="preserve">n about the party’s application.  </w:t>
      </w:r>
      <w:r w:rsidR="00087C62">
        <w:t xml:space="preserve">However, any presentations made about other parties’ applications, about a party’s own application after any other party’s presentation regarding the application, or about the proposal review process or criteria, are </w:t>
      </w:r>
      <w:r w:rsidR="00087C62">
        <w:rPr>
          <w:i/>
          <w:iCs/>
        </w:rPr>
        <w:t xml:space="preserve">ex parte </w:t>
      </w:r>
      <w:r w:rsidR="00087C62">
        <w:t>presentations under our rules and must be disclosed as described in the next paragraph.</w:t>
      </w:r>
    </w:p>
    <w:p w14:paraId="3565ED8C" w14:textId="78258779" w:rsidR="00CB6D0A" w:rsidRPr="000738B1" w:rsidRDefault="00CB6D0A" w:rsidP="00CB6D0A">
      <w:pPr>
        <w:spacing w:after="240"/>
        <w:ind w:firstLine="720"/>
        <w:rPr>
          <w:szCs w:val="22"/>
        </w:rPr>
      </w:pPr>
      <w:r w:rsidRPr="000738B1">
        <w:rPr>
          <w:szCs w:val="22"/>
        </w:rPr>
        <w:t xml:space="preserve">This proceeding shall be treated as a “permit-but-disclose” proceeding in accordance with the Commission’s </w:t>
      </w:r>
      <w:r w:rsidRPr="000738B1">
        <w:rPr>
          <w:i/>
          <w:iCs/>
          <w:szCs w:val="22"/>
        </w:rPr>
        <w:t xml:space="preserve">ex parte </w:t>
      </w:r>
      <w:r w:rsidRPr="000738B1">
        <w:rPr>
          <w:szCs w:val="22"/>
        </w:rPr>
        <w:t>rules</w:t>
      </w:r>
      <w:r w:rsidR="007841C3" w:rsidRPr="000738B1">
        <w:rPr>
          <w:szCs w:val="22"/>
        </w:rPr>
        <w:t xml:space="preserve"> and as described above</w:t>
      </w:r>
      <w:r w:rsidRPr="000738B1">
        <w:rPr>
          <w:szCs w:val="22"/>
        </w:rPr>
        <w:t>.</w:t>
      </w:r>
      <w:r w:rsidRPr="000738B1">
        <w:rPr>
          <w:szCs w:val="22"/>
          <w:vertAlign w:val="superscript"/>
        </w:rPr>
        <w:footnoteReference w:id="3"/>
      </w:r>
      <w:r w:rsidRPr="000738B1">
        <w:rPr>
          <w:szCs w:val="22"/>
        </w:rPr>
        <w:t xml:space="preserve">  Persons making </w:t>
      </w:r>
      <w:r w:rsidRPr="000738B1">
        <w:rPr>
          <w:i/>
          <w:szCs w:val="22"/>
        </w:rPr>
        <w:t xml:space="preserve">ex parte </w:t>
      </w:r>
      <w:r w:rsidRPr="000738B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738B1">
        <w:rPr>
          <w:i/>
          <w:iCs/>
          <w:szCs w:val="22"/>
        </w:rPr>
        <w:t xml:space="preserve">ex parte </w:t>
      </w:r>
      <w:r w:rsidRPr="000738B1">
        <w:rPr>
          <w:szCs w:val="22"/>
        </w:rPr>
        <w:t>presentations are reminded that memoranda summarizing the presentation must</w:t>
      </w:r>
      <w:r w:rsidR="00485811" w:rsidRPr="000738B1">
        <w:rPr>
          <w:szCs w:val="22"/>
        </w:rPr>
        <w:t>:</w:t>
      </w:r>
      <w:r w:rsidRPr="000738B1">
        <w:rPr>
          <w:szCs w:val="22"/>
        </w:rPr>
        <w:t xml:space="preserve"> (1) list all persons attending or otherwise participating in the meeting at which the </w:t>
      </w:r>
      <w:r w:rsidRPr="000738B1">
        <w:rPr>
          <w:i/>
          <w:iCs/>
          <w:szCs w:val="22"/>
        </w:rPr>
        <w:t xml:space="preserve">ex parte </w:t>
      </w:r>
      <w:r w:rsidRPr="000738B1">
        <w:rPr>
          <w:szCs w:val="22"/>
        </w:rPr>
        <w:lastRenderedPageBreak/>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738B1">
        <w:rPr>
          <w:i/>
          <w:iCs/>
          <w:szCs w:val="22"/>
        </w:rPr>
        <w:t xml:space="preserve">ex parte </w:t>
      </w:r>
      <w:r w:rsidRPr="000738B1">
        <w:rPr>
          <w:szCs w:val="22"/>
        </w:rPr>
        <w:t xml:space="preserve">meetings are deemed to be written </w:t>
      </w:r>
      <w:r w:rsidRPr="000738B1">
        <w:rPr>
          <w:i/>
          <w:iCs/>
          <w:szCs w:val="22"/>
        </w:rPr>
        <w:t>ex parte</w:t>
      </w:r>
      <w:r w:rsidRPr="000738B1">
        <w:rPr>
          <w:szCs w:val="22"/>
        </w:rPr>
        <w:t xml:space="preserve"> presentations and must be filed consistent with section 1.1206(b)</w:t>
      </w:r>
      <w:r w:rsidR="00485811" w:rsidRPr="000738B1">
        <w:rPr>
          <w:szCs w:val="22"/>
        </w:rPr>
        <w:t xml:space="preserve"> of the Commission’s rules</w:t>
      </w:r>
      <w:r w:rsidRPr="000738B1">
        <w:rPr>
          <w:szCs w:val="22"/>
        </w:rPr>
        <w:t>.</w:t>
      </w:r>
      <w:r w:rsidRPr="000738B1">
        <w:rPr>
          <w:szCs w:val="22"/>
          <w:vertAlign w:val="superscript"/>
        </w:rPr>
        <w:footnoteReference w:id="4"/>
      </w:r>
      <w:r w:rsidRPr="000738B1">
        <w:rPr>
          <w:szCs w:val="22"/>
        </w:rPr>
        <w:t xml:space="preserve">  In proceedings governed by section 1.49(f)</w:t>
      </w:r>
      <w:r w:rsidRPr="000738B1">
        <w:rPr>
          <w:szCs w:val="22"/>
          <w:vertAlign w:val="superscript"/>
        </w:rPr>
        <w:footnoteReference w:id="5"/>
      </w:r>
      <w:r w:rsidRPr="000738B1">
        <w:rPr>
          <w:szCs w:val="22"/>
        </w:rPr>
        <w:t xml:space="preserve"> </w:t>
      </w:r>
      <w:r w:rsidR="00485811" w:rsidRPr="000738B1">
        <w:rPr>
          <w:szCs w:val="22"/>
        </w:rPr>
        <w:t xml:space="preserve">of the Commission’s rules </w:t>
      </w:r>
      <w:r w:rsidRPr="000738B1">
        <w:rPr>
          <w:szCs w:val="22"/>
        </w:rPr>
        <w:t xml:space="preserve">or for which the Commission has made available a method of electronic filing, written </w:t>
      </w:r>
      <w:r w:rsidRPr="000738B1">
        <w:rPr>
          <w:i/>
          <w:iCs/>
          <w:szCs w:val="22"/>
        </w:rPr>
        <w:t xml:space="preserve">ex parte </w:t>
      </w:r>
      <w:r w:rsidRPr="000738B1">
        <w:rPr>
          <w:szCs w:val="22"/>
        </w:rPr>
        <w:t xml:space="preserve">presentations and memoranda summarizing oral </w:t>
      </w:r>
      <w:r w:rsidRPr="000738B1">
        <w:rPr>
          <w:i/>
          <w:iCs/>
          <w:szCs w:val="22"/>
        </w:rPr>
        <w:t xml:space="preserve">ex parte </w:t>
      </w:r>
      <w:r w:rsidRPr="000738B1">
        <w:rPr>
          <w:szCs w:val="22"/>
        </w:rPr>
        <w:t>presentations, and all attachments thereto, must be filed through the electronic comment filing system available for that proceeding, and must be filed in their native format (</w:t>
      </w:r>
      <w:r w:rsidRPr="000738B1">
        <w:rPr>
          <w:i/>
          <w:iCs/>
          <w:szCs w:val="22"/>
        </w:rPr>
        <w:t>e.g.</w:t>
      </w:r>
      <w:r w:rsidRPr="000738B1">
        <w:rPr>
          <w:i/>
          <w:szCs w:val="22"/>
        </w:rPr>
        <w:t>,</w:t>
      </w:r>
      <w:r w:rsidRPr="000738B1">
        <w:rPr>
          <w:szCs w:val="22"/>
        </w:rPr>
        <w:t xml:space="preserve"> .doc, .xml, .ppt, searchable .pdf).  Participants in this proceeding should familiarize themselves with the Commission’s </w:t>
      </w:r>
      <w:r w:rsidRPr="000738B1">
        <w:rPr>
          <w:i/>
          <w:iCs/>
          <w:szCs w:val="22"/>
        </w:rPr>
        <w:t xml:space="preserve">ex parte </w:t>
      </w:r>
      <w:r w:rsidRPr="000738B1">
        <w:rPr>
          <w:szCs w:val="22"/>
        </w:rPr>
        <w:t>rules.</w:t>
      </w:r>
    </w:p>
    <w:p w14:paraId="2256E60F" w14:textId="7B32F1DC" w:rsidR="00CB6D0A" w:rsidRPr="000738B1" w:rsidRDefault="00CB6D0A" w:rsidP="00CB6D0A">
      <w:pPr>
        <w:spacing w:after="240"/>
        <w:ind w:firstLine="720"/>
        <w:rPr>
          <w:szCs w:val="22"/>
        </w:rPr>
      </w:pPr>
      <w:r w:rsidRPr="000738B1">
        <w:rPr>
          <w:szCs w:val="22"/>
        </w:rPr>
        <w:t xml:space="preserve">We note that our </w:t>
      </w:r>
      <w:r w:rsidRPr="000738B1">
        <w:rPr>
          <w:i/>
          <w:iCs/>
          <w:szCs w:val="22"/>
        </w:rPr>
        <w:t>ex parte</w:t>
      </w:r>
      <w:r w:rsidRPr="000738B1">
        <w:rPr>
          <w:szCs w:val="22"/>
        </w:rPr>
        <w:t xml:space="preserve"> </w:t>
      </w:r>
      <w:r w:rsidR="00087C62">
        <w:rPr>
          <w:szCs w:val="22"/>
        </w:rPr>
        <w:t xml:space="preserve">rules provide for an </w:t>
      </w:r>
      <w:r w:rsidRPr="000738B1">
        <w:rPr>
          <w:szCs w:val="22"/>
        </w:rPr>
        <w:t>ex</w:t>
      </w:r>
      <w:r w:rsidR="00C33658" w:rsidRPr="000738B1">
        <w:rPr>
          <w:szCs w:val="22"/>
        </w:rPr>
        <w:t xml:space="preserve">emption </w:t>
      </w:r>
      <w:r w:rsidRPr="000738B1">
        <w:rPr>
          <w:szCs w:val="22"/>
        </w:rPr>
        <w:t xml:space="preserve">for all </w:t>
      </w:r>
      <w:r w:rsidRPr="000738B1">
        <w:rPr>
          <w:i/>
          <w:iCs/>
          <w:szCs w:val="22"/>
        </w:rPr>
        <w:t>ex parte</w:t>
      </w:r>
      <w:r w:rsidRPr="000738B1">
        <w:rPr>
          <w:szCs w:val="22"/>
        </w:rPr>
        <w:t xml:space="preserve"> presentations made by </w:t>
      </w:r>
      <w:r w:rsidR="00857118">
        <w:rPr>
          <w:szCs w:val="22"/>
        </w:rPr>
        <w:t>other f</w:t>
      </w:r>
      <w:r w:rsidR="001A0424" w:rsidRPr="000738B1">
        <w:rPr>
          <w:szCs w:val="22"/>
        </w:rPr>
        <w:t xml:space="preserve">ederal agencies </w:t>
      </w:r>
      <w:r w:rsidR="00C33658" w:rsidRPr="000738B1">
        <w:rPr>
          <w:szCs w:val="22"/>
        </w:rPr>
        <w:t>with respect to a matter over which that other Federal agency shares jurisdiction</w:t>
      </w:r>
      <w:r w:rsidRPr="000738B1">
        <w:rPr>
          <w:szCs w:val="22"/>
        </w:rPr>
        <w:t>.</w:t>
      </w:r>
      <w:r w:rsidRPr="000738B1">
        <w:rPr>
          <w:szCs w:val="22"/>
          <w:vertAlign w:val="superscript"/>
        </w:rPr>
        <w:footnoteReference w:id="6"/>
      </w:r>
      <w:r w:rsidRPr="000738B1">
        <w:rPr>
          <w:szCs w:val="22"/>
        </w:rPr>
        <w:t xml:space="preserve">  </w:t>
      </w:r>
      <w:r w:rsidR="00751D85" w:rsidRPr="000738B1">
        <w:rPr>
          <w:szCs w:val="22"/>
        </w:rPr>
        <w:t>NTIA and Department of Defense presentations</w:t>
      </w:r>
      <w:r w:rsidR="007841C3" w:rsidRPr="000738B1">
        <w:rPr>
          <w:szCs w:val="22"/>
        </w:rPr>
        <w:t xml:space="preserve"> regarding the </w:t>
      </w:r>
      <w:r w:rsidR="00857118">
        <w:rPr>
          <w:szCs w:val="22"/>
        </w:rPr>
        <w:t>proposals</w:t>
      </w:r>
      <w:r w:rsidR="007841C3" w:rsidRPr="000738B1">
        <w:rPr>
          <w:szCs w:val="22"/>
        </w:rPr>
        <w:t xml:space="preserve">, for example, </w:t>
      </w:r>
      <w:r w:rsidR="00751D85" w:rsidRPr="000738B1">
        <w:rPr>
          <w:szCs w:val="22"/>
        </w:rPr>
        <w:t xml:space="preserve">satisfy the criteria for this exemption.  </w:t>
      </w:r>
      <w:r w:rsidRPr="000738B1">
        <w:rPr>
          <w:szCs w:val="22"/>
        </w:rPr>
        <w:t xml:space="preserve">This </w:t>
      </w:r>
      <w:r w:rsidRPr="000738B1">
        <w:rPr>
          <w:iCs/>
          <w:szCs w:val="22"/>
        </w:rPr>
        <w:t>proceeding</w:t>
      </w:r>
      <w:r w:rsidRPr="000738B1">
        <w:rPr>
          <w:i/>
          <w:iCs/>
          <w:szCs w:val="22"/>
        </w:rPr>
        <w:t xml:space="preserve"> </w:t>
      </w:r>
      <w:r w:rsidRPr="000738B1">
        <w:rPr>
          <w:szCs w:val="22"/>
        </w:rPr>
        <w:t>raises significant technical issues implicating federal and non-federal spectrum allocations and users</w:t>
      </w:r>
      <w:r w:rsidR="00983576" w:rsidRPr="000738B1">
        <w:rPr>
          <w:szCs w:val="22"/>
        </w:rPr>
        <w:t xml:space="preserve"> and we expect NTIA and Department of Defense staff to be prominently involved in discussions related to spectrum sharing with federal agencies</w:t>
      </w:r>
      <w:r w:rsidRPr="000738B1">
        <w:rPr>
          <w:szCs w:val="22"/>
        </w:rPr>
        <w:t>.  These discussions will benefit from an open exchange of information between agencies, and may involve sensitive information regarding the strategic federal use of the 3.5 GHz Band.  Recognizing the value of federal agency collaboration on the technical issues raised in this</w:t>
      </w:r>
      <w:r w:rsidR="00983576" w:rsidRPr="000738B1">
        <w:rPr>
          <w:iCs/>
          <w:szCs w:val="22"/>
        </w:rPr>
        <w:t xml:space="preserve"> proceeding</w:t>
      </w:r>
      <w:r w:rsidR="00C33658" w:rsidRPr="000738B1">
        <w:rPr>
          <w:szCs w:val="22"/>
        </w:rPr>
        <w:t xml:space="preserve"> as contemplated by the Commission,</w:t>
      </w:r>
      <w:r w:rsidR="007841C3" w:rsidRPr="000738B1">
        <w:rPr>
          <w:rStyle w:val="FootnoteReference"/>
          <w:szCs w:val="22"/>
        </w:rPr>
        <w:footnoteReference w:id="7"/>
      </w:r>
      <w:r w:rsidR="00C33658" w:rsidRPr="000738B1">
        <w:rPr>
          <w:szCs w:val="22"/>
        </w:rPr>
        <w:t xml:space="preserve"> </w:t>
      </w:r>
      <w:r w:rsidRPr="000738B1">
        <w:rPr>
          <w:szCs w:val="22"/>
        </w:rPr>
        <w:t>NTIA’s shared jurisdiction over the 3.5 GHz Band, the importance of protecting federal users in the 3.5 GHz Band from interference, and the goal of enabling spectrum sharing to help address the ongoing spectrum capacity crunch, we find that this exemption serves the public interest.</w:t>
      </w:r>
      <w:r w:rsidR="00C33658" w:rsidRPr="000738B1">
        <w:rPr>
          <w:szCs w:val="22"/>
        </w:rPr>
        <w:t xml:space="preserve">  </w:t>
      </w:r>
    </w:p>
    <w:p w14:paraId="7AC48AE3" w14:textId="5C1F38F4" w:rsidR="00983576" w:rsidRPr="000738B1" w:rsidRDefault="00983576" w:rsidP="00CB6D0A">
      <w:pPr>
        <w:spacing w:after="240"/>
        <w:ind w:firstLine="720"/>
        <w:rPr>
          <w:szCs w:val="22"/>
        </w:rPr>
      </w:pPr>
      <w:r w:rsidRPr="00720405">
        <w:rPr>
          <w:b/>
          <w:i/>
          <w:szCs w:val="22"/>
        </w:rPr>
        <w:t>Confidentiality</w:t>
      </w:r>
      <w:r w:rsidR="006B397D" w:rsidRPr="000738B1">
        <w:rPr>
          <w:szCs w:val="22"/>
        </w:rPr>
        <w:t xml:space="preserve">. </w:t>
      </w:r>
      <w:r w:rsidR="0099605D" w:rsidRPr="000738B1">
        <w:rPr>
          <w:szCs w:val="22"/>
        </w:rPr>
        <w:t xml:space="preserve">As stated in the </w:t>
      </w:r>
      <w:r w:rsidR="0099605D" w:rsidRPr="000738B1">
        <w:rPr>
          <w:i/>
          <w:szCs w:val="22"/>
        </w:rPr>
        <w:t xml:space="preserve">SAS/ESC </w:t>
      </w:r>
      <w:r w:rsidR="00485811" w:rsidRPr="000738B1">
        <w:rPr>
          <w:i/>
          <w:szCs w:val="22"/>
        </w:rPr>
        <w:t xml:space="preserve">Proposal </w:t>
      </w:r>
      <w:r w:rsidR="0099605D" w:rsidRPr="000738B1">
        <w:rPr>
          <w:i/>
          <w:szCs w:val="22"/>
        </w:rPr>
        <w:t>Public Notice</w:t>
      </w:r>
      <w:r w:rsidR="0099605D" w:rsidRPr="000738B1">
        <w:rPr>
          <w:szCs w:val="22"/>
        </w:rPr>
        <w:t xml:space="preserve">, </w:t>
      </w:r>
      <w:r w:rsidR="00857118">
        <w:rPr>
          <w:szCs w:val="22"/>
        </w:rPr>
        <w:t xml:space="preserve">prospective </w:t>
      </w:r>
      <w:r w:rsidR="0099605D" w:rsidRPr="000738B1">
        <w:rPr>
          <w:szCs w:val="22"/>
        </w:rPr>
        <w:t xml:space="preserve">SAS Administrators and ESC operators may request confidential treatment of information contained in their proposals or subsequent filings </w:t>
      </w:r>
      <w:r w:rsidR="00970428" w:rsidRPr="000738B1">
        <w:rPr>
          <w:szCs w:val="22"/>
        </w:rPr>
        <w:t xml:space="preserve">in accordance </w:t>
      </w:r>
      <w:r w:rsidR="0099605D" w:rsidRPr="000738B1">
        <w:rPr>
          <w:szCs w:val="22"/>
        </w:rPr>
        <w:t>with section 0.459 of the Commission’s rules.</w:t>
      </w:r>
      <w:r w:rsidR="0099605D" w:rsidRPr="000738B1">
        <w:rPr>
          <w:rStyle w:val="FootnoteReference"/>
          <w:szCs w:val="22"/>
        </w:rPr>
        <w:footnoteReference w:id="8"/>
      </w:r>
      <w:r w:rsidR="0099605D" w:rsidRPr="000738B1">
        <w:rPr>
          <w:szCs w:val="22"/>
        </w:rPr>
        <w:t xml:space="preserve">  Consistent with the Commission’s rules, such confidential information may be shared with </w:t>
      </w:r>
      <w:r w:rsidR="00D664F7" w:rsidRPr="000738B1">
        <w:rPr>
          <w:szCs w:val="22"/>
        </w:rPr>
        <w:t xml:space="preserve">federal agencies, including </w:t>
      </w:r>
      <w:r w:rsidR="00751D85" w:rsidRPr="000738B1">
        <w:rPr>
          <w:szCs w:val="22"/>
        </w:rPr>
        <w:t>NTIA and the Department of Defense</w:t>
      </w:r>
      <w:r w:rsidR="0099605D" w:rsidRPr="000738B1">
        <w:rPr>
          <w:szCs w:val="22"/>
        </w:rPr>
        <w:t>.</w:t>
      </w:r>
      <w:r w:rsidR="00E5093E" w:rsidRPr="000738B1">
        <w:rPr>
          <w:rStyle w:val="FootnoteReference"/>
          <w:szCs w:val="22"/>
        </w:rPr>
        <w:footnoteReference w:id="9"/>
      </w:r>
      <w:r w:rsidR="0099605D" w:rsidRPr="000738B1">
        <w:rPr>
          <w:szCs w:val="22"/>
        </w:rPr>
        <w:t xml:space="preserve">  </w:t>
      </w:r>
      <w:r w:rsidR="0010320C" w:rsidRPr="000738B1">
        <w:rPr>
          <w:szCs w:val="22"/>
        </w:rPr>
        <w:t xml:space="preserve">All the provisions of law (including penalties) that relate to the unlawful disclosure of information will apply to </w:t>
      </w:r>
      <w:r w:rsidR="00751D85" w:rsidRPr="000738B1">
        <w:rPr>
          <w:szCs w:val="22"/>
        </w:rPr>
        <w:t>these two agencies</w:t>
      </w:r>
      <w:r w:rsidR="0010320C" w:rsidRPr="000738B1">
        <w:rPr>
          <w:szCs w:val="22"/>
        </w:rPr>
        <w:t xml:space="preserve"> to the same extent and in the same manner as applicable to the Commission, </w:t>
      </w:r>
      <w:r w:rsidR="00C53473" w:rsidRPr="000738B1">
        <w:rPr>
          <w:szCs w:val="22"/>
        </w:rPr>
        <w:t xml:space="preserve">and also to the same extent and manner as if the information had been collected directly by </w:t>
      </w:r>
      <w:r w:rsidR="00D664F7" w:rsidRPr="000738B1">
        <w:rPr>
          <w:szCs w:val="22"/>
        </w:rPr>
        <w:t>the agency.</w:t>
      </w:r>
      <w:r w:rsidR="00C53473" w:rsidRPr="000738B1">
        <w:rPr>
          <w:rStyle w:val="FootnoteReference"/>
          <w:szCs w:val="22"/>
        </w:rPr>
        <w:footnoteReference w:id="10"/>
      </w:r>
      <w:r w:rsidR="00C53473" w:rsidRPr="000738B1">
        <w:rPr>
          <w:szCs w:val="22"/>
        </w:rPr>
        <w:t xml:space="preserve">  Pursuant to Section 0.442(d) of the </w:t>
      </w:r>
      <w:r w:rsidR="00C53473" w:rsidRPr="000738B1">
        <w:rPr>
          <w:szCs w:val="22"/>
        </w:rPr>
        <w:lastRenderedPageBreak/>
        <w:t>Commission’s rules,</w:t>
      </w:r>
      <w:r w:rsidR="00C53473" w:rsidRPr="000738B1">
        <w:rPr>
          <w:rStyle w:val="FootnoteReference"/>
          <w:szCs w:val="22"/>
        </w:rPr>
        <w:footnoteReference w:id="11"/>
      </w:r>
      <w:r w:rsidR="00C53473" w:rsidRPr="000738B1">
        <w:rPr>
          <w:szCs w:val="22"/>
        </w:rPr>
        <w:t xml:space="preserve"> any party that opposes such sharing of its confidential information </w:t>
      </w:r>
      <w:r w:rsidR="00D664F7" w:rsidRPr="000738B1">
        <w:rPr>
          <w:szCs w:val="22"/>
        </w:rPr>
        <w:t>to federal agencies</w:t>
      </w:r>
      <w:r w:rsidR="00C53473" w:rsidRPr="000738B1">
        <w:rPr>
          <w:szCs w:val="22"/>
        </w:rPr>
        <w:t xml:space="preserve"> will be afforded until </w:t>
      </w:r>
      <w:r w:rsidR="00EE1FD1" w:rsidRPr="00EE1FD1">
        <w:rPr>
          <w:szCs w:val="22"/>
        </w:rPr>
        <w:t>May 31</w:t>
      </w:r>
      <w:r w:rsidR="00C53473" w:rsidRPr="00EE1FD1">
        <w:rPr>
          <w:szCs w:val="22"/>
        </w:rPr>
        <w:t>, 2016,</w:t>
      </w:r>
      <w:r w:rsidR="00C53473" w:rsidRPr="000738B1">
        <w:rPr>
          <w:szCs w:val="22"/>
        </w:rPr>
        <w:t xml:space="preserve"> in which to submit an opposition to such limited disclosure.</w:t>
      </w:r>
    </w:p>
    <w:p w14:paraId="61112491" w14:textId="77777777" w:rsidR="00970428" w:rsidRPr="000738B1" w:rsidRDefault="00970428" w:rsidP="00970428">
      <w:pPr>
        <w:spacing w:after="240"/>
        <w:ind w:firstLine="720"/>
        <w:rPr>
          <w:szCs w:val="22"/>
        </w:rPr>
      </w:pPr>
      <w:r w:rsidRPr="000738B1">
        <w:rPr>
          <w:szCs w:val="22"/>
        </w:rPr>
        <w:t>Questions regarding this Public Notice may be directed to Becky Schwartz, Attorney Advisor, Wireless Telecommunications Bureau, Mobility Division at (202) 418-7178 or becky.schwartz@fcc.gov, or Navid Golshahi, Electronics Engineer, Office of Engineering and Technology, Policy and Rules Division at (202) 418-2422 or navid.golshahi@fcc.gov.</w:t>
      </w:r>
    </w:p>
    <w:p w14:paraId="69B4C37D" w14:textId="77777777" w:rsidR="00F61ED1" w:rsidRPr="00F61ED1" w:rsidRDefault="00F61ED1" w:rsidP="00673E6B">
      <w:pPr>
        <w:spacing w:after="240"/>
        <w:rPr>
          <w:sz w:val="24"/>
        </w:rPr>
      </w:pPr>
    </w:p>
    <w:p w14:paraId="56BC7311" w14:textId="77777777"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710CC" w14:textId="77777777" w:rsidR="00D47932" w:rsidRDefault="00D47932">
      <w:r>
        <w:separator/>
      </w:r>
    </w:p>
  </w:endnote>
  <w:endnote w:type="continuationSeparator" w:id="0">
    <w:p w14:paraId="77CB5738" w14:textId="77777777" w:rsidR="00D47932" w:rsidRDefault="00D4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28E2" w14:textId="77777777" w:rsidR="006E1199" w:rsidRDefault="006E1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225542"/>
      <w:docPartObj>
        <w:docPartGallery w:val="Page Numbers (Bottom of Page)"/>
        <w:docPartUnique/>
      </w:docPartObj>
    </w:sdtPr>
    <w:sdtEndPr>
      <w:rPr>
        <w:noProof/>
      </w:rPr>
    </w:sdtEndPr>
    <w:sdtContent>
      <w:p w14:paraId="4CD227B7" w14:textId="03CD69C2" w:rsidR="00AD6550" w:rsidRDefault="00AD6550">
        <w:pPr>
          <w:pStyle w:val="Footer"/>
          <w:jc w:val="center"/>
        </w:pPr>
        <w:r>
          <w:fldChar w:fldCharType="begin"/>
        </w:r>
        <w:r>
          <w:instrText xml:space="preserve"> PAGE   \* MERGEFORMAT </w:instrText>
        </w:r>
        <w:r>
          <w:fldChar w:fldCharType="separate"/>
        </w:r>
        <w:r w:rsidR="00A51ADE">
          <w:rPr>
            <w:noProof/>
          </w:rPr>
          <w:t>2</w:t>
        </w:r>
        <w:r>
          <w:rPr>
            <w:noProof/>
          </w:rPr>
          <w:fldChar w:fldCharType="end"/>
        </w:r>
      </w:p>
    </w:sdtContent>
  </w:sdt>
  <w:p w14:paraId="35C724A4" w14:textId="55A20055" w:rsidR="00AD6550" w:rsidRDefault="00AD6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4849" w14:textId="77777777" w:rsidR="006E1199" w:rsidRDefault="006E1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1F561" w14:textId="77777777" w:rsidR="00D47932" w:rsidRDefault="00D47932">
      <w:r>
        <w:separator/>
      </w:r>
    </w:p>
  </w:footnote>
  <w:footnote w:type="continuationSeparator" w:id="0">
    <w:p w14:paraId="150AA46C" w14:textId="77777777" w:rsidR="00D47932" w:rsidRDefault="00D47932">
      <w:r>
        <w:continuationSeparator/>
      </w:r>
    </w:p>
  </w:footnote>
  <w:footnote w:id="1">
    <w:p w14:paraId="0DFBEE4B" w14:textId="081C8CE5" w:rsidR="00F61ED1" w:rsidRPr="000738B1" w:rsidRDefault="00F61ED1">
      <w:pPr>
        <w:pStyle w:val="FootnoteText"/>
        <w:rPr>
          <w:sz w:val="20"/>
        </w:rPr>
      </w:pPr>
      <w:r w:rsidRPr="000738B1">
        <w:rPr>
          <w:rStyle w:val="FootnoteReference"/>
          <w:sz w:val="20"/>
        </w:rPr>
        <w:footnoteRef/>
      </w:r>
      <w:r w:rsidR="00970428" w:rsidRPr="000738B1">
        <w:rPr>
          <w:sz w:val="20"/>
        </w:rPr>
        <w:t xml:space="preserve"> Wireless Telecommunications Bureau and Office of Engineering and Technology Establish Procedure and Deadline for Filing Spectrum Access System (SAS) Administrator(s) and Environmental Sensing Capability (ESC) Operator(s) Applications, GN Docket No. 15-319, </w:t>
      </w:r>
      <w:r w:rsidR="00970428" w:rsidRPr="000738B1">
        <w:rPr>
          <w:i/>
          <w:sz w:val="20"/>
        </w:rPr>
        <w:t>Public Notice</w:t>
      </w:r>
      <w:r w:rsidR="00970428" w:rsidRPr="000738B1">
        <w:rPr>
          <w:sz w:val="20"/>
        </w:rPr>
        <w:t>, 30 FCC Rcd 14170 (2015) (</w:t>
      </w:r>
      <w:r w:rsidR="00970428" w:rsidRPr="000738B1">
        <w:rPr>
          <w:i/>
          <w:sz w:val="20"/>
        </w:rPr>
        <w:t xml:space="preserve">SAS/ESC </w:t>
      </w:r>
      <w:r w:rsidR="00485811" w:rsidRPr="000738B1">
        <w:rPr>
          <w:i/>
          <w:sz w:val="20"/>
        </w:rPr>
        <w:t xml:space="preserve">Proposal </w:t>
      </w:r>
      <w:r w:rsidR="00970428" w:rsidRPr="000738B1">
        <w:rPr>
          <w:i/>
          <w:sz w:val="20"/>
        </w:rPr>
        <w:t>Public Notice</w:t>
      </w:r>
      <w:r w:rsidR="00970428" w:rsidRPr="000738B1">
        <w:rPr>
          <w:sz w:val="20"/>
        </w:rPr>
        <w:t xml:space="preserve">); Wireless Telecommunications Bureau and Office of Engineering and Technology Extend "First Wave" Filing Deadline for Spectrum Access System (SAS) Administrator(s) and Environmental Sensing Capability (ESC) Operator(s) Proposals, GN Docket No. 15-319, </w:t>
      </w:r>
      <w:r w:rsidR="00970428" w:rsidRPr="000738B1">
        <w:rPr>
          <w:i/>
          <w:sz w:val="20"/>
        </w:rPr>
        <w:t>Public Notice</w:t>
      </w:r>
      <w:r w:rsidR="00970428" w:rsidRPr="000738B1">
        <w:rPr>
          <w:sz w:val="20"/>
        </w:rPr>
        <w:t>, DA 16-397 (2016).</w:t>
      </w:r>
    </w:p>
  </w:footnote>
  <w:footnote w:id="2">
    <w:p w14:paraId="11A3A83C" w14:textId="2E6FC1EC" w:rsidR="0056368E" w:rsidRPr="000738B1" w:rsidRDefault="0056368E">
      <w:pPr>
        <w:pStyle w:val="FootnoteText"/>
        <w:rPr>
          <w:sz w:val="20"/>
        </w:rPr>
      </w:pPr>
      <w:r w:rsidRPr="000738B1">
        <w:rPr>
          <w:rStyle w:val="FootnoteReference"/>
          <w:sz w:val="20"/>
        </w:rPr>
        <w:footnoteRef/>
      </w:r>
      <w:r w:rsidRPr="000738B1">
        <w:rPr>
          <w:sz w:val="20"/>
        </w:rPr>
        <w:t xml:space="preserve"> 47 C.F.R. § 1.1202(d)(1) note.  </w:t>
      </w:r>
    </w:p>
  </w:footnote>
  <w:footnote w:id="3">
    <w:p w14:paraId="14F17350" w14:textId="3776E729" w:rsidR="00CB6D0A" w:rsidRPr="000738B1" w:rsidRDefault="00CB6D0A" w:rsidP="00CB6D0A">
      <w:pPr>
        <w:pStyle w:val="FootnoteText"/>
        <w:rPr>
          <w:i/>
          <w:iCs/>
          <w:sz w:val="20"/>
        </w:rPr>
      </w:pPr>
      <w:r w:rsidRPr="000738B1">
        <w:rPr>
          <w:rStyle w:val="FootnoteReference"/>
          <w:sz w:val="20"/>
        </w:rPr>
        <w:footnoteRef/>
      </w:r>
      <w:r w:rsidRPr="000738B1">
        <w:rPr>
          <w:sz w:val="20"/>
        </w:rPr>
        <w:t xml:space="preserve"> 47 C.F.R. §</w:t>
      </w:r>
      <w:r w:rsidR="00485811" w:rsidRPr="000738B1">
        <w:rPr>
          <w:sz w:val="20"/>
        </w:rPr>
        <w:t>§</w:t>
      </w:r>
      <w:r w:rsidRPr="000738B1">
        <w:rPr>
          <w:sz w:val="20"/>
        </w:rPr>
        <w:t xml:space="preserve"> 1.1200 </w:t>
      </w:r>
      <w:r w:rsidRPr="000738B1">
        <w:rPr>
          <w:i/>
          <w:iCs/>
          <w:sz w:val="20"/>
        </w:rPr>
        <w:t>et seq.</w:t>
      </w:r>
    </w:p>
  </w:footnote>
  <w:footnote w:id="4">
    <w:p w14:paraId="0DE18328" w14:textId="77777777" w:rsidR="00CB6D0A" w:rsidRPr="000738B1" w:rsidRDefault="00CB6D0A" w:rsidP="00CB6D0A">
      <w:pPr>
        <w:pStyle w:val="FootnoteText"/>
        <w:rPr>
          <w:sz w:val="20"/>
        </w:rPr>
      </w:pPr>
      <w:r w:rsidRPr="000738B1">
        <w:rPr>
          <w:rStyle w:val="FootnoteReference"/>
          <w:sz w:val="20"/>
        </w:rPr>
        <w:footnoteRef/>
      </w:r>
      <w:r w:rsidRPr="000738B1">
        <w:rPr>
          <w:sz w:val="20"/>
        </w:rPr>
        <w:t xml:space="preserve"> 47 C.F.R. § 1.1206(b).</w:t>
      </w:r>
    </w:p>
  </w:footnote>
  <w:footnote w:id="5">
    <w:p w14:paraId="1F7146C3" w14:textId="77777777" w:rsidR="00CB6D0A" w:rsidRPr="000738B1" w:rsidRDefault="00CB6D0A" w:rsidP="00CB6D0A">
      <w:pPr>
        <w:pStyle w:val="FootnoteText"/>
        <w:rPr>
          <w:sz w:val="20"/>
        </w:rPr>
      </w:pPr>
      <w:r w:rsidRPr="000738B1">
        <w:rPr>
          <w:rStyle w:val="FootnoteReference"/>
          <w:sz w:val="20"/>
        </w:rPr>
        <w:footnoteRef/>
      </w:r>
      <w:r w:rsidRPr="000738B1">
        <w:rPr>
          <w:sz w:val="20"/>
        </w:rPr>
        <w:t xml:space="preserve"> 47 C.F.R. § 1.49(f).</w:t>
      </w:r>
    </w:p>
  </w:footnote>
  <w:footnote w:id="6">
    <w:p w14:paraId="57B46747" w14:textId="1832284D" w:rsidR="00CB6D0A" w:rsidRPr="000738B1" w:rsidRDefault="00CB6D0A" w:rsidP="004F4D31">
      <w:pPr>
        <w:pStyle w:val="FootnoteText"/>
        <w:spacing w:after="120"/>
        <w:rPr>
          <w:sz w:val="20"/>
        </w:rPr>
      </w:pPr>
      <w:r w:rsidRPr="000738B1">
        <w:rPr>
          <w:rStyle w:val="FootnoteReference"/>
          <w:sz w:val="20"/>
        </w:rPr>
        <w:footnoteRef/>
      </w:r>
      <w:r w:rsidRPr="000738B1">
        <w:rPr>
          <w:sz w:val="20"/>
        </w:rPr>
        <w:t xml:space="preserve"> </w:t>
      </w:r>
      <w:r w:rsidRPr="000738B1">
        <w:rPr>
          <w:i/>
          <w:sz w:val="20"/>
        </w:rPr>
        <w:t xml:space="preserve">See </w:t>
      </w:r>
      <w:r w:rsidRPr="000738B1">
        <w:rPr>
          <w:sz w:val="20"/>
        </w:rPr>
        <w:t>47 C.F.R. §</w:t>
      </w:r>
      <w:r w:rsidR="00E5093E" w:rsidRPr="000738B1">
        <w:rPr>
          <w:sz w:val="20"/>
        </w:rPr>
        <w:t xml:space="preserve"> </w:t>
      </w:r>
      <w:r w:rsidRPr="000738B1">
        <w:rPr>
          <w:sz w:val="20"/>
        </w:rPr>
        <w:t>1.1204</w:t>
      </w:r>
      <w:r w:rsidR="00E5093E" w:rsidRPr="000738B1">
        <w:rPr>
          <w:sz w:val="20"/>
        </w:rPr>
        <w:t>(a)(5).</w:t>
      </w:r>
      <w:r w:rsidR="004F4D31" w:rsidRPr="004F4D31">
        <w:t xml:space="preserve"> </w:t>
      </w:r>
      <w:r w:rsidR="004F4D31">
        <w:t xml:space="preserve"> </w:t>
      </w:r>
      <w:r w:rsidR="004F4D31" w:rsidRPr="004F4D31">
        <w:rPr>
          <w:sz w:val="20"/>
        </w:rPr>
        <w:t>Any new factual information obtained from such a presentation and relied upon by the Commission will be disclosed no later than at the time o</w:t>
      </w:r>
      <w:r w:rsidR="004F4D31">
        <w:rPr>
          <w:sz w:val="20"/>
        </w:rPr>
        <w:t xml:space="preserve">f the release of its decision.  </w:t>
      </w:r>
      <w:r w:rsidR="004F4D31" w:rsidRPr="004F4D31">
        <w:rPr>
          <w:i/>
          <w:sz w:val="20"/>
        </w:rPr>
        <w:t>Id.</w:t>
      </w:r>
    </w:p>
  </w:footnote>
  <w:footnote w:id="7">
    <w:p w14:paraId="69419089" w14:textId="238D59BB" w:rsidR="007841C3" w:rsidRPr="000738B1" w:rsidRDefault="007841C3">
      <w:pPr>
        <w:pStyle w:val="FootnoteText"/>
        <w:rPr>
          <w:sz w:val="20"/>
        </w:rPr>
      </w:pPr>
      <w:r w:rsidRPr="000738B1">
        <w:rPr>
          <w:rStyle w:val="FootnoteReference"/>
          <w:sz w:val="20"/>
        </w:rPr>
        <w:footnoteRef/>
      </w:r>
      <w:r w:rsidRPr="000738B1">
        <w:rPr>
          <w:sz w:val="20"/>
        </w:rPr>
        <w:t xml:space="preserve"> The Commission has delegated to the Wireless Telecommunications Bureau (WTB) and the Office of Engineering and Technology (OET) the responsibility for overseeing the review of SAS applications, and directed that WTB/OET conduct their review “in close consultation with NTIA and DoD.”  </w:t>
      </w:r>
      <w:r w:rsidR="004C173A" w:rsidRPr="000738B1">
        <w:rPr>
          <w:sz w:val="20"/>
        </w:rPr>
        <w:t xml:space="preserve">Amendment of the Commission’s Rules with Regard to Commercial Operations in the 3550-3650 MHz Band, </w:t>
      </w:r>
      <w:r w:rsidR="004C173A" w:rsidRPr="000738B1">
        <w:rPr>
          <w:i/>
          <w:sz w:val="20"/>
        </w:rPr>
        <w:t xml:space="preserve">Report and Order and Second Further Notice of Proposed Rulemaking, </w:t>
      </w:r>
      <w:r w:rsidR="004C173A" w:rsidRPr="000738B1">
        <w:rPr>
          <w:sz w:val="20"/>
        </w:rPr>
        <w:t>30 FCC Rcd 3959 ¶ 370 (2015).</w:t>
      </w:r>
    </w:p>
  </w:footnote>
  <w:footnote w:id="8">
    <w:p w14:paraId="3EEAF0BA" w14:textId="12D35ABE" w:rsidR="0099605D" w:rsidRPr="000738B1" w:rsidRDefault="0099605D">
      <w:pPr>
        <w:pStyle w:val="FootnoteText"/>
        <w:rPr>
          <w:sz w:val="20"/>
        </w:rPr>
      </w:pPr>
      <w:r w:rsidRPr="000738B1">
        <w:rPr>
          <w:rStyle w:val="FootnoteReference"/>
          <w:sz w:val="20"/>
        </w:rPr>
        <w:footnoteRef/>
      </w:r>
      <w:r w:rsidRPr="000738B1">
        <w:rPr>
          <w:sz w:val="20"/>
        </w:rPr>
        <w:t xml:space="preserve"> </w:t>
      </w:r>
      <w:r w:rsidRPr="000738B1">
        <w:rPr>
          <w:i/>
          <w:sz w:val="20"/>
        </w:rPr>
        <w:t xml:space="preserve">See SAS/ESC </w:t>
      </w:r>
      <w:r w:rsidR="00485811" w:rsidRPr="000738B1">
        <w:rPr>
          <w:i/>
          <w:sz w:val="20"/>
        </w:rPr>
        <w:t xml:space="preserve">Proposal </w:t>
      </w:r>
      <w:r w:rsidRPr="000738B1">
        <w:rPr>
          <w:i/>
          <w:sz w:val="20"/>
        </w:rPr>
        <w:t>Public Notice</w:t>
      </w:r>
      <w:r w:rsidRPr="000738B1">
        <w:rPr>
          <w:sz w:val="20"/>
        </w:rPr>
        <w:t xml:space="preserve"> at 8; 47 C.F.R. § 0.459.</w:t>
      </w:r>
    </w:p>
  </w:footnote>
  <w:footnote w:id="9">
    <w:p w14:paraId="6657E1D3" w14:textId="3311C602" w:rsidR="00E5093E" w:rsidRPr="000738B1" w:rsidRDefault="00E5093E">
      <w:pPr>
        <w:pStyle w:val="FootnoteText"/>
        <w:rPr>
          <w:sz w:val="20"/>
        </w:rPr>
      </w:pPr>
      <w:r w:rsidRPr="000738B1">
        <w:rPr>
          <w:rStyle w:val="FootnoteReference"/>
          <w:sz w:val="20"/>
        </w:rPr>
        <w:footnoteRef/>
      </w:r>
      <w:r w:rsidRPr="000738B1">
        <w:rPr>
          <w:sz w:val="20"/>
        </w:rPr>
        <w:t xml:space="preserve"> 47 C.F.R. § 0.442.</w:t>
      </w:r>
    </w:p>
  </w:footnote>
  <w:footnote w:id="10">
    <w:p w14:paraId="684491D7" w14:textId="046488FC" w:rsidR="00C53473" w:rsidRPr="000738B1" w:rsidRDefault="00C53473">
      <w:pPr>
        <w:pStyle w:val="FootnoteText"/>
        <w:rPr>
          <w:sz w:val="20"/>
        </w:rPr>
      </w:pPr>
      <w:r w:rsidRPr="000738B1">
        <w:rPr>
          <w:rStyle w:val="FootnoteReference"/>
          <w:sz w:val="20"/>
        </w:rPr>
        <w:footnoteRef/>
      </w:r>
      <w:r w:rsidRPr="000738B1">
        <w:rPr>
          <w:sz w:val="20"/>
        </w:rPr>
        <w:t xml:space="preserve"> </w:t>
      </w:r>
      <w:r w:rsidRPr="000738B1">
        <w:rPr>
          <w:i/>
          <w:sz w:val="20"/>
        </w:rPr>
        <w:t xml:space="preserve">Id. </w:t>
      </w:r>
      <w:r w:rsidRPr="000738B1">
        <w:rPr>
          <w:sz w:val="20"/>
        </w:rPr>
        <w:t xml:space="preserve">§ 0.442(b)(3); 44 U.S.C. § 3510(b).  </w:t>
      </w:r>
    </w:p>
  </w:footnote>
  <w:footnote w:id="11">
    <w:p w14:paraId="6FAF90D7" w14:textId="10648743" w:rsidR="00C53473" w:rsidRPr="000738B1" w:rsidRDefault="00C53473">
      <w:pPr>
        <w:pStyle w:val="FootnoteText"/>
        <w:rPr>
          <w:sz w:val="20"/>
        </w:rPr>
      </w:pPr>
      <w:r w:rsidRPr="000738B1">
        <w:rPr>
          <w:rStyle w:val="FootnoteReference"/>
          <w:sz w:val="20"/>
        </w:rPr>
        <w:footnoteRef/>
      </w:r>
      <w:r w:rsidRPr="000738B1">
        <w:rPr>
          <w:sz w:val="20"/>
        </w:rPr>
        <w:t xml:space="preserve"> 47 C.F.R. § 0.442(d)(1).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9F8C" w14:textId="77777777" w:rsidR="006E1199" w:rsidRDefault="006E1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407A" w14:textId="77777777" w:rsidR="006E1199" w:rsidRDefault="006E1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97C6" w14:textId="000278BE" w:rsidR="00602577" w:rsidRDefault="0097042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98C1C62" wp14:editId="2138182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1DBC5ADA" w14:textId="1ECE8BF6" w:rsidR="00602577" w:rsidRDefault="0097042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F2991C7" wp14:editId="2D011D52">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9DAB4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8CA3F48" wp14:editId="27961288">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77A42" w14:textId="77777777" w:rsidR="00602577" w:rsidRDefault="00602577">
                          <w:pPr>
                            <w:rPr>
                              <w:rFonts w:ascii="Arial" w:hAnsi="Arial"/>
                              <w:b/>
                            </w:rPr>
                          </w:pPr>
                          <w:r>
                            <w:rPr>
                              <w:rFonts w:ascii="Arial" w:hAnsi="Arial"/>
                              <w:b/>
                            </w:rPr>
                            <w:t>Federal Communications Commission</w:t>
                          </w:r>
                        </w:p>
                        <w:p w14:paraId="503A2CAA"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2D044CE"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CA3F48"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6A977A42" w14:textId="77777777" w:rsidR="00602577" w:rsidRDefault="00602577">
                    <w:pPr>
                      <w:rPr>
                        <w:rFonts w:ascii="Arial" w:hAnsi="Arial"/>
                        <w:b/>
                      </w:rPr>
                    </w:pPr>
                    <w:r>
                      <w:rPr>
                        <w:rFonts w:ascii="Arial" w:hAnsi="Arial"/>
                        <w:b/>
                      </w:rPr>
                      <w:t>Federal Communications Commission</w:t>
                    </w:r>
                  </w:p>
                  <w:p w14:paraId="503A2CAA"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2D044CE"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1EA8BA4" wp14:editId="010E805E">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270C0" w14:textId="77777777" w:rsidR="00602577" w:rsidRDefault="00602577">
                          <w:pPr>
                            <w:spacing w:before="40"/>
                            <w:jc w:val="right"/>
                            <w:rPr>
                              <w:rFonts w:ascii="Arial" w:hAnsi="Arial"/>
                              <w:b/>
                              <w:sz w:val="16"/>
                            </w:rPr>
                          </w:pPr>
                          <w:r>
                            <w:rPr>
                              <w:rFonts w:ascii="Arial" w:hAnsi="Arial"/>
                              <w:b/>
                              <w:sz w:val="16"/>
                            </w:rPr>
                            <w:t>News Media Information 202 / 418-0500</w:t>
                          </w:r>
                        </w:p>
                        <w:p w14:paraId="6E9C3476"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9959457" w14:textId="77777777" w:rsidR="00602577" w:rsidRDefault="00602577">
                          <w:pPr>
                            <w:jc w:val="right"/>
                            <w:rPr>
                              <w:rFonts w:ascii="Arial" w:hAnsi="Arial"/>
                              <w:b/>
                              <w:sz w:val="16"/>
                            </w:rPr>
                          </w:pPr>
                          <w:r>
                            <w:rPr>
                              <w:rFonts w:ascii="Arial" w:hAnsi="Arial"/>
                              <w:b/>
                              <w:sz w:val="16"/>
                            </w:rPr>
                            <w:t>TTY: 1-888-835-5322</w:t>
                          </w:r>
                        </w:p>
                        <w:p w14:paraId="7A68C902"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EA8BA4"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0EB270C0" w14:textId="77777777" w:rsidR="00602577" w:rsidRDefault="00602577">
                    <w:pPr>
                      <w:spacing w:before="40"/>
                      <w:jc w:val="right"/>
                      <w:rPr>
                        <w:rFonts w:ascii="Arial" w:hAnsi="Arial"/>
                        <w:b/>
                        <w:sz w:val="16"/>
                      </w:rPr>
                    </w:pPr>
                    <w:r>
                      <w:rPr>
                        <w:rFonts w:ascii="Arial" w:hAnsi="Arial"/>
                        <w:b/>
                        <w:sz w:val="16"/>
                      </w:rPr>
                      <w:t>News Media Information 202 / 418-0500</w:t>
                    </w:r>
                  </w:p>
                  <w:p w14:paraId="6E9C3476"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9959457" w14:textId="77777777" w:rsidR="00602577" w:rsidRDefault="00602577">
                    <w:pPr>
                      <w:jc w:val="right"/>
                      <w:rPr>
                        <w:rFonts w:ascii="Arial" w:hAnsi="Arial"/>
                        <w:b/>
                        <w:sz w:val="16"/>
                      </w:rPr>
                    </w:pPr>
                    <w:r>
                      <w:rPr>
                        <w:rFonts w:ascii="Arial" w:hAnsi="Arial"/>
                        <w:b/>
                        <w:sz w:val="16"/>
                      </w:rPr>
                      <w:t>TTY: 1-888-835-5322</w:t>
                    </w:r>
                  </w:p>
                  <w:p w14:paraId="7A68C902" w14:textId="77777777" w:rsidR="00602577" w:rsidRDefault="00602577">
                    <w:pPr>
                      <w:jc w:val="right"/>
                    </w:pPr>
                  </w:p>
                </w:txbxContent>
              </v:textbox>
            </v:shape>
          </w:pict>
        </mc:Fallback>
      </mc:AlternateContent>
    </w:r>
  </w:p>
  <w:p w14:paraId="5DF62174"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6B"/>
    <w:rsid w:val="000265AE"/>
    <w:rsid w:val="000738B1"/>
    <w:rsid w:val="00087C62"/>
    <w:rsid w:val="0010320C"/>
    <w:rsid w:val="00127C10"/>
    <w:rsid w:val="001A0424"/>
    <w:rsid w:val="0035501C"/>
    <w:rsid w:val="00374F84"/>
    <w:rsid w:val="00377814"/>
    <w:rsid w:val="003E4587"/>
    <w:rsid w:val="00485811"/>
    <w:rsid w:val="004C173A"/>
    <w:rsid w:val="004F4D31"/>
    <w:rsid w:val="0056368E"/>
    <w:rsid w:val="005A7D33"/>
    <w:rsid w:val="005D4CC1"/>
    <w:rsid w:val="00602577"/>
    <w:rsid w:val="00650506"/>
    <w:rsid w:val="00673E6B"/>
    <w:rsid w:val="006B397D"/>
    <w:rsid w:val="006E1199"/>
    <w:rsid w:val="00720405"/>
    <w:rsid w:val="00751D85"/>
    <w:rsid w:val="0078359B"/>
    <w:rsid w:val="007841C3"/>
    <w:rsid w:val="00857118"/>
    <w:rsid w:val="00935B56"/>
    <w:rsid w:val="00970428"/>
    <w:rsid w:val="00971C4A"/>
    <w:rsid w:val="00983576"/>
    <w:rsid w:val="0099605D"/>
    <w:rsid w:val="009C0C56"/>
    <w:rsid w:val="00A51ADE"/>
    <w:rsid w:val="00AD6550"/>
    <w:rsid w:val="00BB53ED"/>
    <w:rsid w:val="00BE6DF7"/>
    <w:rsid w:val="00C33658"/>
    <w:rsid w:val="00C53473"/>
    <w:rsid w:val="00CB6D0A"/>
    <w:rsid w:val="00D00502"/>
    <w:rsid w:val="00D02DDC"/>
    <w:rsid w:val="00D17DC0"/>
    <w:rsid w:val="00D47932"/>
    <w:rsid w:val="00D60EFF"/>
    <w:rsid w:val="00D664F7"/>
    <w:rsid w:val="00E5093E"/>
    <w:rsid w:val="00EB1AA6"/>
    <w:rsid w:val="00ED2450"/>
    <w:rsid w:val="00EE1FD1"/>
    <w:rsid w:val="00F01D0A"/>
    <w:rsid w:val="00F30BCA"/>
    <w:rsid w:val="00F6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01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F61ED1"/>
    <w:rPr>
      <w:sz w:val="16"/>
      <w:szCs w:val="16"/>
    </w:rPr>
  </w:style>
  <w:style w:type="paragraph" w:styleId="CommentText">
    <w:name w:val="annotation text"/>
    <w:basedOn w:val="Normal"/>
    <w:link w:val="CommentTextChar"/>
    <w:uiPriority w:val="99"/>
    <w:semiHidden/>
    <w:unhideWhenUsed/>
    <w:rsid w:val="00F61ED1"/>
    <w:rPr>
      <w:sz w:val="20"/>
    </w:rPr>
  </w:style>
  <w:style w:type="character" w:customStyle="1" w:styleId="CommentTextChar">
    <w:name w:val="Comment Text Char"/>
    <w:basedOn w:val="DefaultParagraphFont"/>
    <w:link w:val="CommentText"/>
    <w:uiPriority w:val="99"/>
    <w:semiHidden/>
    <w:rsid w:val="00F61ED1"/>
  </w:style>
  <w:style w:type="paragraph" w:styleId="CommentSubject">
    <w:name w:val="annotation subject"/>
    <w:basedOn w:val="CommentText"/>
    <w:next w:val="CommentText"/>
    <w:link w:val="CommentSubjectChar"/>
    <w:uiPriority w:val="99"/>
    <w:semiHidden/>
    <w:unhideWhenUsed/>
    <w:rsid w:val="00F61ED1"/>
    <w:rPr>
      <w:b/>
      <w:bCs/>
    </w:rPr>
  </w:style>
  <w:style w:type="character" w:customStyle="1" w:styleId="CommentSubjectChar">
    <w:name w:val="Comment Subject Char"/>
    <w:basedOn w:val="CommentTextChar"/>
    <w:link w:val="CommentSubject"/>
    <w:uiPriority w:val="99"/>
    <w:semiHidden/>
    <w:rsid w:val="00F61ED1"/>
    <w:rPr>
      <w:b/>
      <w:bCs/>
    </w:rPr>
  </w:style>
  <w:style w:type="paragraph" w:styleId="BalloonText">
    <w:name w:val="Balloon Text"/>
    <w:basedOn w:val="Normal"/>
    <w:link w:val="BalloonTextChar"/>
    <w:uiPriority w:val="99"/>
    <w:semiHidden/>
    <w:unhideWhenUsed/>
    <w:rsid w:val="00F61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D1"/>
    <w:rPr>
      <w:rFonts w:ascii="Segoe UI" w:hAnsi="Segoe UI" w:cs="Segoe UI"/>
      <w:sz w:val="18"/>
      <w:szCs w:val="18"/>
    </w:rPr>
  </w:style>
  <w:style w:type="character" w:customStyle="1" w:styleId="FooterChar">
    <w:name w:val="Footer Char"/>
    <w:basedOn w:val="DefaultParagraphFont"/>
    <w:link w:val="Footer"/>
    <w:uiPriority w:val="99"/>
    <w:rsid w:val="00AD655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F61ED1"/>
    <w:rPr>
      <w:sz w:val="16"/>
      <w:szCs w:val="16"/>
    </w:rPr>
  </w:style>
  <w:style w:type="paragraph" w:styleId="CommentText">
    <w:name w:val="annotation text"/>
    <w:basedOn w:val="Normal"/>
    <w:link w:val="CommentTextChar"/>
    <w:uiPriority w:val="99"/>
    <w:semiHidden/>
    <w:unhideWhenUsed/>
    <w:rsid w:val="00F61ED1"/>
    <w:rPr>
      <w:sz w:val="20"/>
    </w:rPr>
  </w:style>
  <w:style w:type="character" w:customStyle="1" w:styleId="CommentTextChar">
    <w:name w:val="Comment Text Char"/>
    <w:basedOn w:val="DefaultParagraphFont"/>
    <w:link w:val="CommentText"/>
    <w:uiPriority w:val="99"/>
    <w:semiHidden/>
    <w:rsid w:val="00F61ED1"/>
  </w:style>
  <w:style w:type="paragraph" w:styleId="CommentSubject">
    <w:name w:val="annotation subject"/>
    <w:basedOn w:val="CommentText"/>
    <w:next w:val="CommentText"/>
    <w:link w:val="CommentSubjectChar"/>
    <w:uiPriority w:val="99"/>
    <w:semiHidden/>
    <w:unhideWhenUsed/>
    <w:rsid w:val="00F61ED1"/>
    <w:rPr>
      <w:b/>
      <w:bCs/>
    </w:rPr>
  </w:style>
  <w:style w:type="character" w:customStyle="1" w:styleId="CommentSubjectChar">
    <w:name w:val="Comment Subject Char"/>
    <w:basedOn w:val="CommentTextChar"/>
    <w:link w:val="CommentSubject"/>
    <w:uiPriority w:val="99"/>
    <w:semiHidden/>
    <w:rsid w:val="00F61ED1"/>
    <w:rPr>
      <w:b/>
      <w:bCs/>
    </w:rPr>
  </w:style>
  <w:style w:type="paragraph" w:styleId="BalloonText">
    <w:name w:val="Balloon Text"/>
    <w:basedOn w:val="Normal"/>
    <w:link w:val="BalloonTextChar"/>
    <w:uiPriority w:val="99"/>
    <w:semiHidden/>
    <w:unhideWhenUsed/>
    <w:rsid w:val="00F61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D1"/>
    <w:rPr>
      <w:rFonts w:ascii="Segoe UI" w:hAnsi="Segoe UI" w:cs="Segoe UI"/>
      <w:sz w:val="18"/>
      <w:szCs w:val="18"/>
    </w:rPr>
  </w:style>
  <w:style w:type="character" w:customStyle="1" w:styleId="FooterChar">
    <w:name w:val="Footer Char"/>
    <w:basedOn w:val="DefaultParagraphFont"/>
    <w:link w:val="Footer"/>
    <w:uiPriority w:val="99"/>
    <w:rsid w:val="00AD65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882</Words>
  <Characters>5080</Characters>
  <Application>Microsoft Office Word</Application>
  <DocSecurity>0</DocSecurity>
  <Lines>68</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5976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2016-05-17T14:38:00Z</cp:lastPrinted>
  <dcterms:created xsi:type="dcterms:W3CDTF">2016-05-19T17:43:00Z</dcterms:created>
  <dcterms:modified xsi:type="dcterms:W3CDTF">2016-05-19T17:43:00Z</dcterms:modified>
  <cp:category> </cp:category>
  <cp:contentStatus> </cp:contentStatus>
</cp:coreProperties>
</file>