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D79BC" w14:textId="77777777" w:rsidR="00872B85" w:rsidRDefault="00872B85" w:rsidP="00D47505">
      <w:pPr>
        <w:jc w:val="right"/>
        <w:rPr>
          <w:b/>
          <w:sz w:val="24"/>
        </w:rPr>
      </w:pPr>
      <w:bookmarkStart w:id="0" w:name="_GoBack"/>
      <w:bookmarkEnd w:id="0"/>
    </w:p>
    <w:p w14:paraId="32B41117" w14:textId="02D49F15" w:rsidR="00D47505" w:rsidRPr="00872B85" w:rsidRDefault="00054C56" w:rsidP="00D47505">
      <w:pPr>
        <w:jc w:val="right"/>
        <w:rPr>
          <w:b/>
          <w:szCs w:val="22"/>
        </w:rPr>
      </w:pPr>
      <w:r>
        <w:rPr>
          <w:b/>
          <w:szCs w:val="22"/>
        </w:rPr>
        <w:t>DA 16-56</w:t>
      </w:r>
    </w:p>
    <w:p w14:paraId="4100797F" w14:textId="3C62FCC3" w:rsidR="00D47505" w:rsidRPr="00872B85" w:rsidRDefault="00B338A9" w:rsidP="00D47505">
      <w:pPr>
        <w:spacing w:before="60"/>
        <w:jc w:val="right"/>
        <w:rPr>
          <w:b/>
          <w:szCs w:val="22"/>
        </w:rPr>
      </w:pPr>
      <w:r w:rsidRPr="00872B85">
        <w:rPr>
          <w:b/>
          <w:szCs w:val="22"/>
        </w:rPr>
        <w:t xml:space="preserve">Released:  </w:t>
      </w:r>
      <w:r w:rsidR="00095EE8">
        <w:rPr>
          <w:b/>
          <w:szCs w:val="22"/>
        </w:rPr>
        <w:t>January 15</w:t>
      </w:r>
      <w:r w:rsidR="00872B85" w:rsidRPr="00872B85">
        <w:rPr>
          <w:b/>
          <w:szCs w:val="22"/>
        </w:rPr>
        <w:t xml:space="preserve">, 2016 </w:t>
      </w:r>
    </w:p>
    <w:p w14:paraId="4A41C451" w14:textId="77777777" w:rsidR="00D47505" w:rsidRPr="00872B85" w:rsidRDefault="00D47505" w:rsidP="00D47505">
      <w:pPr>
        <w:jc w:val="right"/>
        <w:rPr>
          <w:szCs w:val="22"/>
        </w:rPr>
      </w:pPr>
    </w:p>
    <w:p w14:paraId="581546B1" w14:textId="77777777" w:rsidR="00872B85" w:rsidRDefault="00872B85" w:rsidP="00872B85">
      <w:pPr>
        <w:jc w:val="center"/>
        <w:rPr>
          <w:b/>
          <w:caps/>
          <w:szCs w:val="22"/>
        </w:rPr>
      </w:pPr>
      <w:r w:rsidRPr="00872B85">
        <w:rPr>
          <w:b/>
          <w:caps/>
          <w:szCs w:val="22"/>
        </w:rPr>
        <w:t>WIRELINE COMPETITION BUREAU ANNOUNCES effective dates</w:t>
      </w:r>
      <w:r>
        <w:rPr>
          <w:b/>
          <w:caps/>
          <w:szCs w:val="22"/>
        </w:rPr>
        <w:t xml:space="preserve"> of </w:t>
      </w:r>
    </w:p>
    <w:p w14:paraId="4345EA63" w14:textId="7E20285E" w:rsidR="00872B85" w:rsidRDefault="00872B85" w:rsidP="00872B85">
      <w:pPr>
        <w:jc w:val="center"/>
        <w:rPr>
          <w:b/>
          <w:caps/>
          <w:szCs w:val="22"/>
        </w:rPr>
      </w:pPr>
      <w:r>
        <w:rPr>
          <w:b/>
          <w:caps/>
          <w:szCs w:val="22"/>
        </w:rPr>
        <w:t>lifeline rules</w:t>
      </w:r>
      <w:r w:rsidRPr="00872B85">
        <w:rPr>
          <w:b/>
          <w:caps/>
          <w:szCs w:val="22"/>
        </w:rPr>
        <w:t xml:space="preserve"> following approval by THE </w:t>
      </w:r>
    </w:p>
    <w:p w14:paraId="6C3DBBFE" w14:textId="77777777" w:rsidR="00872B85" w:rsidRDefault="00872B85" w:rsidP="00872B85">
      <w:pPr>
        <w:jc w:val="center"/>
        <w:rPr>
          <w:b/>
          <w:caps/>
          <w:szCs w:val="22"/>
        </w:rPr>
      </w:pPr>
      <w:r w:rsidRPr="00872B85">
        <w:rPr>
          <w:b/>
          <w:caps/>
          <w:szCs w:val="22"/>
        </w:rPr>
        <w:t xml:space="preserve">Office of Management and Budget </w:t>
      </w:r>
    </w:p>
    <w:p w14:paraId="1761EBEC" w14:textId="77777777" w:rsidR="00872B85" w:rsidRPr="00872B85" w:rsidRDefault="00872B85" w:rsidP="00872B85">
      <w:pPr>
        <w:jc w:val="center"/>
        <w:rPr>
          <w:b/>
          <w:i/>
          <w:caps/>
          <w:szCs w:val="22"/>
        </w:rPr>
      </w:pPr>
    </w:p>
    <w:p w14:paraId="22A47EE6" w14:textId="77777777" w:rsidR="00D47505" w:rsidRDefault="00872B85" w:rsidP="00D47505">
      <w:pPr>
        <w:jc w:val="center"/>
        <w:rPr>
          <w:b/>
          <w:szCs w:val="22"/>
        </w:rPr>
      </w:pPr>
      <w:r w:rsidRPr="00872B85">
        <w:rPr>
          <w:b/>
          <w:szCs w:val="22"/>
        </w:rPr>
        <w:t>WC Docket Nos. 11-42, 09-197, 10-90</w:t>
      </w:r>
    </w:p>
    <w:p w14:paraId="1BA4FFF2" w14:textId="77777777" w:rsidR="00872B85" w:rsidRPr="00872B85" w:rsidRDefault="00872B85" w:rsidP="00D47505">
      <w:pPr>
        <w:jc w:val="center"/>
        <w:rPr>
          <w:b/>
          <w:szCs w:val="22"/>
        </w:rPr>
      </w:pPr>
    </w:p>
    <w:p w14:paraId="23FB97D8" w14:textId="6EFF23B0" w:rsidR="00872B85" w:rsidRDefault="00872B85" w:rsidP="00872B85">
      <w:pPr>
        <w:suppressAutoHyphens/>
        <w:spacing w:after="120"/>
        <w:ind w:firstLine="720"/>
        <w:rPr>
          <w:szCs w:val="22"/>
        </w:rPr>
      </w:pPr>
      <w:r>
        <w:rPr>
          <w:szCs w:val="22"/>
        </w:rPr>
        <w:t xml:space="preserve">On June 22, 2015, the Federal Communications Commission released a Second Further Notice of Proposed Rulemaking, Order on Reconsideration, Second Report and Order, and Memorandum Opinion and Order that modified the reporting requirements of the Lifeline program (2015 </w:t>
      </w:r>
      <w:r>
        <w:rPr>
          <w:i/>
          <w:szCs w:val="22"/>
        </w:rPr>
        <w:t>Lifeline Reform Order</w:t>
      </w:r>
      <w:r>
        <w:rPr>
          <w:szCs w:val="22"/>
        </w:rPr>
        <w:t>).</w:t>
      </w:r>
      <w:r>
        <w:rPr>
          <w:rStyle w:val="FootnoteReference"/>
          <w:szCs w:val="22"/>
        </w:rPr>
        <w:footnoteReference w:id="2"/>
      </w:r>
      <w:r>
        <w:rPr>
          <w:szCs w:val="22"/>
        </w:rPr>
        <w:t xml:space="preserve">  The </w:t>
      </w:r>
      <w:r>
        <w:rPr>
          <w:i/>
          <w:szCs w:val="22"/>
        </w:rPr>
        <w:t xml:space="preserve">2015 Lifeline </w:t>
      </w:r>
      <w:r w:rsidRPr="00ED6102">
        <w:rPr>
          <w:i/>
          <w:szCs w:val="22"/>
        </w:rPr>
        <w:t>Reform Order</w:t>
      </w:r>
      <w:r>
        <w:rPr>
          <w:szCs w:val="22"/>
        </w:rPr>
        <w:t xml:space="preserve"> built upon the successful reforms from the </w:t>
      </w:r>
      <w:r>
        <w:rPr>
          <w:i/>
          <w:szCs w:val="22"/>
        </w:rPr>
        <w:t xml:space="preserve">2012 Lifeline Reform </w:t>
      </w:r>
      <w:r w:rsidRPr="00067395">
        <w:rPr>
          <w:i/>
          <w:szCs w:val="22"/>
        </w:rPr>
        <w:t>Order</w:t>
      </w:r>
      <w:r>
        <w:rPr>
          <w:szCs w:val="22"/>
        </w:rPr>
        <w:t>, which substantially strengthened protections against waste, fraud, and abuse and improved program administration and accountability.</w:t>
      </w:r>
      <w:r>
        <w:rPr>
          <w:rStyle w:val="FootnoteReference"/>
          <w:szCs w:val="22"/>
        </w:rPr>
        <w:footnoteReference w:id="3"/>
      </w:r>
      <w:r>
        <w:rPr>
          <w:szCs w:val="22"/>
        </w:rPr>
        <w:t xml:space="preserve">  The Commission also wanted to ensure that adequate controls are in place before implementing any further changes to the Lifeline program.</w:t>
      </w:r>
      <w:r w:rsidR="00095EE8">
        <w:rPr>
          <w:rStyle w:val="FootnoteReference"/>
          <w:szCs w:val="22"/>
        </w:rPr>
        <w:footnoteReference w:id="4"/>
      </w:r>
      <w:r w:rsidR="00095EE8">
        <w:rPr>
          <w:szCs w:val="22"/>
        </w:rPr>
        <w:t xml:space="preserve"> </w:t>
      </w:r>
      <w:r>
        <w:rPr>
          <w:szCs w:val="22"/>
        </w:rPr>
        <w:t xml:space="preserve"> As part of these efforts, the Commission adopted several rules in the </w:t>
      </w:r>
      <w:r>
        <w:rPr>
          <w:i/>
          <w:szCs w:val="22"/>
        </w:rPr>
        <w:t xml:space="preserve">2015 </w:t>
      </w:r>
      <w:r w:rsidRPr="00591438">
        <w:rPr>
          <w:i/>
          <w:szCs w:val="22"/>
        </w:rPr>
        <w:t>Lifeline Reform Order</w:t>
      </w:r>
      <w:r>
        <w:rPr>
          <w:szCs w:val="22"/>
        </w:rPr>
        <w:t xml:space="preserve"> to strengthen the document retention requirements, ensure that only ETCs directly serving low-income customers receive reimbursement under the Lifeline program, and require ETCs to use a uniform snapshot date to request reimbursement from USAC for the provision of Lifeline support.</w:t>
      </w:r>
      <w:r>
        <w:rPr>
          <w:rStyle w:val="FootnoteReference"/>
          <w:szCs w:val="22"/>
        </w:rPr>
        <w:footnoteReference w:id="5"/>
      </w:r>
    </w:p>
    <w:p w14:paraId="05FD0467" w14:textId="77777777" w:rsidR="00872B85" w:rsidRDefault="00872B85" w:rsidP="00872B85">
      <w:pPr>
        <w:suppressAutoHyphens/>
        <w:spacing w:after="120"/>
        <w:ind w:firstLine="720"/>
        <w:rPr>
          <w:szCs w:val="22"/>
        </w:rPr>
      </w:pPr>
      <w:r>
        <w:rPr>
          <w:szCs w:val="22"/>
        </w:rPr>
        <w:t>On January 5, 2016, the Commission received Office of Management and Budget (OMB) approval of modified information collection requirements under the Paperwork Reduction Act of 1995 (PRA).</w:t>
      </w:r>
      <w:r>
        <w:rPr>
          <w:rStyle w:val="FootnoteReference"/>
          <w:szCs w:val="22"/>
        </w:rPr>
        <w:footnoteReference w:id="6"/>
      </w:r>
      <w:r>
        <w:rPr>
          <w:szCs w:val="22"/>
        </w:rPr>
        <w:t xml:space="preserve">  The announcement of OMB approval of the rules will be sent to the Federal Register on February 4, 2016.  As ordered in the </w:t>
      </w:r>
      <w:r>
        <w:rPr>
          <w:i/>
          <w:szCs w:val="22"/>
        </w:rPr>
        <w:t xml:space="preserve">2015 </w:t>
      </w:r>
      <w:r w:rsidRPr="00591438">
        <w:rPr>
          <w:i/>
          <w:szCs w:val="22"/>
        </w:rPr>
        <w:t xml:space="preserve">Lifeline </w:t>
      </w:r>
      <w:r>
        <w:rPr>
          <w:i/>
          <w:szCs w:val="22"/>
        </w:rPr>
        <w:t>Reform Order</w:t>
      </w:r>
      <w:r>
        <w:rPr>
          <w:szCs w:val="22"/>
        </w:rPr>
        <w:t>, all adopted rules contained in the order will take effect upon announcement in the Federal Register of OMB approval.</w:t>
      </w:r>
      <w:r>
        <w:rPr>
          <w:rStyle w:val="FootnoteReference"/>
          <w:szCs w:val="22"/>
        </w:rPr>
        <w:footnoteReference w:id="7"/>
      </w:r>
      <w:r>
        <w:rPr>
          <w:szCs w:val="22"/>
        </w:rPr>
        <w:t xml:space="preserve">  Therefore, parties should expect these rules to become effective on or after February 4, 2016.  </w:t>
      </w:r>
    </w:p>
    <w:p w14:paraId="569E891B" w14:textId="77777777" w:rsidR="00872B85" w:rsidRDefault="00872B85" w:rsidP="00872B85">
      <w:pPr>
        <w:rPr>
          <w:szCs w:val="22"/>
        </w:rPr>
      </w:pPr>
      <w:r>
        <w:rPr>
          <w:szCs w:val="22"/>
        </w:rPr>
        <w:br w:type="page"/>
      </w:r>
    </w:p>
    <w:p w14:paraId="1AFEB8A9" w14:textId="77777777" w:rsidR="00872B85" w:rsidRDefault="00872B85" w:rsidP="00872B85">
      <w:pPr>
        <w:suppressAutoHyphens/>
        <w:spacing w:after="120"/>
        <w:ind w:firstLine="720"/>
        <w:rPr>
          <w:szCs w:val="22"/>
        </w:rPr>
      </w:pPr>
      <w:r>
        <w:rPr>
          <w:szCs w:val="22"/>
        </w:rPr>
        <w:lastRenderedPageBreak/>
        <w:t>Specifically, the following rules will take effect:</w:t>
      </w:r>
    </w:p>
    <w:p w14:paraId="38FEFBCB" w14:textId="77777777" w:rsidR="00872B85" w:rsidRPr="00323783" w:rsidRDefault="00872B85" w:rsidP="00872B85">
      <w:pPr>
        <w:pStyle w:val="ListParagraph"/>
        <w:numPr>
          <w:ilvl w:val="0"/>
          <w:numId w:val="8"/>
        </w:numPr>
        <w:suppressAutoHyphens/>
        <w:spacing w:after="200"/>
        <w:contextualSpacing w:val="0"/>
        <w:rPr>
          <w:szCs w:val="22"/>
        </w:rPr>
      </w:pPr>
      <w:r>
        <w:rPr>
          <w:szCs w:val="22"/>
        </w:rPr>
        <w:t>Updating the definition of eligible telecommunications carriers, direct service, and Lifeline;</w:t>
      </w:r>
      <w:r>
        <w:rPr>
          <w:rStyle w:val="FootnoteReference"/>
          <w:szCs w:val="22"/>
        </w:rPr>
        <w:footnoteReference w:id="8"/>
      </w:r>
    </w:p>
    <w:p w14:paraId="290E70C4" w14:textId="77777777" w:rsidR="00872B85" w:rsidRDefault="00872B85" w:rsidP="00872B85">
      <w:pPr>
        <w:pStyle w:val="ListParagraph"/>
        <w:numPr>
          <w:ilvl w:val="0"/>
          <w:numId w:val="8"/>
        </w:numPr>
        <w:suppressAutoHyphens/>
        <w:spacing w:after="200"/>
        <w:contextualSpacing w:val="0"/>
        <w:rPr>
          <w:szCs w:val="22"/>
        </w:rPr>
      </w:pPr>
      <w:r>
        <w:rPr>
          <w:szCs w:val="22"/>
        </w:rPr>
        <w:t>Updating instructions and number of respondents for FCC Forms 497 and 481;</w:t>
      </w:r>
      <w:r>
        <w:rPr>
          <w:rStyle w:val="FootnoteReference"/>
          <w:szCs w:val="22"/>
        </w:rPr>
        <w:footnoteReference w:id="9"/>
      </w:r>
    </w:p>
    <w:p w14:paraId="2A08D6C3" w14:textId="77777777" w:rsidR="00872B85" w:rsidRDefault="00872B85" w:rsidP="00872B85">
      <w:pPr>
        <w:pStyle w:val="ListParagraph"/>
        <w:numPr>
          <w:ilvl w:val="0"/>
          <w:numId w:val="8"/>
        </w:numPr>
        <w:suppressAutoHyphens/>
        <w:spacing w:after="200"/>
        <w:contextualSpacing w:val="0"/>
        <w:rPr>
          <w:szCs w:val="22"/>
        </w:rPr>
      </w:pPr>
      <w:r>
        <w:rPr>
          <w:szCs w:val="22"/>
        </w:rPr>
        <w:t>Retaining eligibility documentation for enrollment and dispute resolution;</w:t>
      </w:r>
      <w:r>
        <w:rPr>
          <w:rStyle w:val="FootnoteReference"/>
          <w:szCs w:val="22"/>
        </w:rPr>
        <w:footnoteReference w:id="10"/>
      </w:r>
    </w:p>
    <w:p w14:paraId="3023BC3A" w14:textId="77777777" w:rsidR="00872B85" w:rsidRDefault="00872B85" w:rsidP="00872B85">
      <w:pPr>
        <w:pStyle w:val="ListParagraph"/>
        <w:numPr>
          <w:ilvl w:val="0"/>
          <w:numId w:val="8"/>
        </w:numPr>
        <w:suppressAutoHyphens/>
        <w:spacing w:after="200"/>
        <w:contextualSpacing w:val="0"/>
        <w:rPr>
          <w:szCs w:val="22"/>
        </w:rPr>
      </w:pPr>
      <w:r>
        <w:rPr>
          <w:szCs w:val="22"/>
        </w:rPr>
        <w:t>Revising the burden for consumer recertification;</w:t>
      </w:r>
      <w:r>
        <w:rPr>
          <w:rStyle w:val="FootnoteReference"/>
          <w:szCs w:val="22"/>
        </w:rPr>
        <w:footnoteReference w:id="11"/>
      </w:r>
    </w:p>
    <w:p w14:paraId="65F8B830" w14:textId="77777777" w:rsidR="00872B85" w:rsidRDefault="00872B85" w:rsidP="00872B85">
      <w:pPr>
        <w:pStyle w:val="ListParagraph"/>
        <w:numPr>
          <w:ilvl w:val="0"/>
          <w:numId w:val="8"/>
        </w:numPr>
        <w:suppressAutoHyphens/>
        <w:spacing w:after="200"/>
        <w:contextualSpacing w:val="0"/>
        <w:rPr>
          <w:szCs w:val="22"/>
        </w:rPr>
      </w:pPr>
      <w:r>
        <w:rPr>
          <w:szCs w:val="22"/>
        </w:rPr>
        <w:t>Revising FCC Form 555 for annual reporting of subscriber recertification;</w:t>
      </w:r>
      <w:r>
        <w:rPr>
          <w:rStyle w:val="FootnoteReference"/>
          <w:szCs w:val="22"/>
        </w:rPr>
        <w:footnoteReference w:id="12"/>
      </w:r>
    </w:p>
    <w:p w14:paraId="11BEEF58" w14:textId="77777777" w:rsidR="00872B85" w:rsidRDefault="00872B85" w:rsidP="00872B85">
      <w:pPr>
        <w:pStyle w:val="ListParagraph"/>
        <w:numPr>
          <w:ilvl w:val="0"/>
          <w:numId w:val="8"/>
        </w:numPr>
        <w:suppressAutoHyphens/>
        <w:spacing w:after="200"/>
        <w:contextualSpacing w:val="0"/>
        <w:rPr>
          <w:szCs w:val="22"/>
        </w:rPr>
      </w:pPr>
      <w:r>
        <w:rPr>
          <w:szCs w:val="22"/>
        </w:rPr>
        <w:t>Requiring a uniform snapshot date for payment of low-income support;</w:t>
      </w:r>
      <w:r>
        <w:rPr>
          <w:rStyle w:val="FootnoteReference"/>
          <w:szCs w:val="22"/>
        </w:rPr>
        <w:footnoteReference w:id="13"/>
      </w:r>
    </w:p>
    <w:p w14:paraId="64F0B7A4" w14:textId="77777777" w:rsidR="00872B85" w:rsidRDefault="00872B85" w:rsidP="00872B85">
      <w:pPr>
        <w:pStyle w:val="ListParagraph"/>
        <w:numPr>
          <w:ilvl w:val="0"/>
          <w:numId w:val="8"/>
        </w:numPr>
        <w:suppressAutoHyphens/>
        <w:spacing w:after="200"/>
        <w:contextualSpacing w:val="0"/>
        <w:rPr>
          <w:szCs w:val="22"/>
        </w:rPr>
      </w:pPr>
      <w:r>
        <w:rPr>
          <w:szCs w:val="22"/>
        </w:rPr>
        <w:t>Revising the subscriber usage requirement;</w:t>
      </w:r>
      <w:r>
        <w:rPr>
          <w:rStyle w:val="FootnoteReference"/>
          <w:szCs w:val="22"/>
        </w:rPr>
        <w:footnoteReference w:id="14"/>
      </w:r>
    </w:p>
    <w:p w14:paraId="01C20305" w14:textId="77777777" w:rsidR="00872B85" w:rsidRDefault="00872B85" w:rsidP="00872B85">
      <w:pPr>
        <w:pStyle w:val="ListParagraph"/>
        <w:numPr>
          <w:ilvl w:val="0"/>
          <w:numId w:val="8"/>
        </w:numPr>
        <w:suppressAutoHyphens/>
        <w:spacing w:after="200"/>
        <w:contextualSpacing w:val="0"/>
        <w:rPr>
          <w:szCs w:val="22"/>
        </w:rPr>
      </w:pPr>
      <w:r>
        <w:rPr>
          <w:szCs w:val="22"/>
        </w:rPr>
        <w:t>Requiring marketing and outreach plans;</w:t>
      </w:r>
      <w:r>
        <w:rPr>
          <w:rStyle w:val="FootnoteReference"/>
          <w:szCs w:val="22"/>
        </w:rPr>
        <w:footnoteReference w:id="15"/>
      </w:r>
    </w:p>
    <w:p w14:paraId="0AFA94A3" w14:textId="77777777" w:rsidR="00872B85" w:rsidRDefault="00872B85" w:rsidP="00872B85">
      <w:pPr>
        <w:pStyle w:val="ListParagraph"/>
        <w:numPr>
          <w:ilvl w:val="0"/>
          <w:numId w:val="8"/>
        </w:numPr>
        <w:suppressAutoHyphens/>
        <w:spacing w:after="200"/>
        <w:contextualSpacing w:val="0"/>
        <w:rPr>
          <w:szCs w:val="22"/>
        </w:rPr>
      </w:pPr>
      <w:r>
        <w:rPr>
          <w:szCs w:val="22"/>
        </w:rPr>
        <w:t>Updating the ETC audit requirements;</w:t>
      </w:r>
      <w:r>
        <w:rPr>
          <w:rStyle w:val="FootnoteReference"/>
          <w:szCs w:val="22"/>
        </w:rPr>
        <w:footnoteReference w:id="16"/>
      </w:r>
    </w:p>
    <w:p w14:paraId="4A24DF13" w14:textId="77777777" w:rsidR="00872B85" w:rsidRPr="0014683E" w:rsidRDefault="00872B85" w:rsidP="00872B85">
      <w:pPr>
        <w:pStyle w:val="ListParagraph"/>
        <w:numPr>
          <w:ilvl w:val="0"/>
          <w:numId w:val="8"/>
        </w:numPr>
        <w:suppressAutoHyphens/>
        <w:spacing w:after="120"/>
        <w:contextualSpacing w:val="0"/>
        <w:rPr>
          <w:szCs w:val="22"/>
        </w:rPr>
      </w:pPr>
      <w:r>
        <w:rPr>
          <w:szCs w:val="22"/>
        </w:rPr>
        <w:t>Allowing electronic signatures for Lifeline subscriber certifications;</w:t>
      </w:r>
      <w:r>
        <w:rPr>
          <w:rStyle w:val="FootnoteReference"/>
          <w:szCs w:val="22"/>
        </w:rPr>
        <w:footnoteReference w:id="17"/>
      </w:r>
    </w:p>
    <w:p w14:paraId="038EACAB" w14:textId="77777777" w:rsidR="00872B85" w:rsidRPr="008176D0" w:rsidRDefault="00872B85" w:rsidP="00872B85">
      <w:pPr>
        <w:ind w:firstLine="720"/>
        <w:contextualSpacing/>
        <w:rPr>
          <w:rFonts w:eastAsia="Calibri"/>
          <w:szCs w:val="22"/>
        </w:rPr>
      </w:pPr>
      <w:r w:rsidRPr="008176D0">
        <w:rPr>
          <w:rFonts w:eastAsia="Calibri"/>
          <w:szCs w:val="22"/>
        </w:rPr>
        <w:t xml:space="preserve">For further information, please contact </w:t>
      </w:r>
      <w:r>
        <w:rPr>
          <w:rFonts w:eastAsia="Calibri"/>
          <w:szCs w:val="22"/>
        </w:rPr>
        <w:t>Christian Hoefly</w:t>
      </w:r>
      <w:r w:rsidRPr="008176D0">
        <w:rPr>
          <w:rFonts w:eastAsia="Calibri"/>
          <w:szCs w:val="22"/>
        </w:rPr>
        <w:t xml:space="preserve">, Wireline Competition Bureau, </w:t>
      </w:r>
      <w:r>
        <w:rPr>
          <w:rFonts w:eastAsia="Calibri"/>
          <w:szCs w:val="22"/>
        </w:rPr>
        <w:t>Telecommunications Access Policy Division, at (202) 418-3607</w:t>
      </w:r>
      <w:r w:rsidRPr="008176D0">
        <w:rPr>
          <w:rFonts w:eastAsia="Calibri"/>
          <w:szCs w:val="22"/>
        </w:rPr>
        <w:t xml:space="preserve"> or via e-mail at </w:t>
      </w:r>
      <w:r>
        <w:rPr>
          <w:rFonts w:eastAsia="Calibri"/>
          <w:szCs w:val="22"/>
        </w:rPr>
        <w:t>christian.hoefly</w:t>
      </w:r>
      <w:r w:rsidRPr="008176D0">
        <w:rPr>
          <w:rFonts w:eastAsia="Calibri"/>
          <w:szCs w:val="22"/>
        </w:rPr>
        <w:t>@fcc.gov.</w:t>
      </w:r>
    </w:p>
    <w:p w14:paraId="1382DF56" w14:textId="77777777" w:rsidR="00872B85" w:rsidRDefault="00872B85" w:rsidP="00872B85">
      <w:pPr>
        <w:contextualSpacing/>
        <w:jc w:val="center"/>
        <w:rPr>
          <w:rFonts w:eastAsia="Calibri"/>
          <w:b/>
          <w:szCs w:val="22"/>
        </w:rPr>
      </w:pPr>
    </w:p>
    <w:p w14:paraId="1EBE9719" w14:textId="77777777" w:rsidR="00872B85" w:rsidRPr="00133322" w:rsidRDefault="00872B85" w:rsidP="00872B85">
      <w:pPr>
        <w:contextualSpacing/>
        <w:jc w:val="center"/>
        <w:rPr>
          <w:szCs w:val="22"/>
        </w:rPr>
      </w:pPr>
      <w:r w:rsidRPr="008176D0">
        <w:rPr>
          <w:rFonts w:eastAsia="Calibri"/>
          <w:b/>
          <w:szCs w:val="22"/>
        </w:rPr>
        <w:t>- FCC -</w:t>
      </w:r>
    </w:p>
    <w:p w14:paraId="10B75E0C" w14:textId="77777777" w:rsidR="00872B85" w:rsidRDefault="00872B85" w:rsidP="00D47505">
      <w:pPr>
        <w:jc w:val="center"/>
        <w:rPr>
          <w:b/>
          <w:sz w:val="24"/>
        </w:rPr>
      </w:pPr>
    </w:p>
    <w:p w14:paraId="659F9C2B" w14:textId="77777777" w:rsidR="00D47505" w:rsidRDefault="00D47505" w:rsidP="00D47505">
      <w:pPr>
        <w:jc w:val="center"/>
        <w:rPr>
          <w:sz w:val="24"/>
        </w:rPr>
      </w:pPr>
    </w:p>
    <w:p w14:paraId="37370519" w14:textId="77777777"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152E7" w14:textId="77777777" w:rsidR="002749CB" w:rsidRDefault="002749CB">
      <w:pPr>
        <w:spacing w:line="20" w:lineRule="exact"/>
      </w:pPr>
    </w:p>
  </w:endnote>
  <w:endnote w:type="continuationSeparator" w:id="0">
    <w:p w14:paraId="49BD2801" w14:textId="77777777" w:rsidR="002749CB" w:rsidRDefault="002749CB">
      <w:r>
        <w:t xml:space="preserve"> </w:t>
      </w:r>
    </w:p>
  </w:endnote>
  <w:endnote w:type="continuationNotice" w:id="1">
    <w:p w14:paraId="3F0579A5" w14:textId="77777777" w:rsidR="002749CB" w:rsidRDefault="002749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21CA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5C26AEA" w14:textId="77777777" w:rsidR="00D25FB5" w:rsidRDefault="00D25FB5">
    <w:pPr>
      <w:pStyle w:val="Footer"/>
    </w:pPr>
  </w:p>
  <w:p w14:paraId="3E8C85F3"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895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7C525B">
      <w:rPr>
        <w:noProof/>
      </w:rPr>
      <w:t>2</w:t>
    </w:r>
    <w:r>
      <w:fldChar w:fldCharType="end"/>
    </w:r>
  </w:p>
  <w:p w14:paraId="5439AB8C"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6117"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85DD5" w14:textId="77777777" w:rsidR="002749CB" w:rsidRDefault="002749CB">
      <w:r>
        <w:separator/>
      </w:r>
    </w:p>
  </w:footnote>
  <w:footnote w:type="continuationSeparator" w:id="0">
    <w:p w14:paraId="47811CE2" w14:textId="77777777" w:rsidR="002749CB" w:rsidRDefault="002749CB" w:rsidP="00C721AC">
      <w:pPr>
        <w:spacing w:before="120"/>
        <w:rPr>
          <w:sz w:val="20"/>
        </w:rPr>
      </w:pPr>
      <w:r>
        <w:rPr>
          <w:sz w:val="20"/>
        </w:rPr>
        <w:t xml:space="preserve">(Continued from previous page)  </w:t>
      </w:r>
      <w:r>
        <w:rPr>
          <w:sz w:val="20"/>
        </w:rPr>
        <w:separator/>
      </w:r>
    </w:p>
  </w:footnote>
  <w:footnote w:type="continuationNotice" w:id="1">
    <w:p w14:paraId="46C86A6B" w14:textId="77777777" w:rsidR="002749CB" w:rsidRDefault="002749CB" w:rsidP="00C721AC">
      <w:pPr>
        <w:jc w:val="right"/>
        <w:rPr>
          <w:sz w:val="20"/>
        </w:rPr>
      </w:pPr>
      <w:r>
        <w:rPr>
          <w:sz w:val="20"/>
        </w:rPr>
        <w:t>(continued….)</w:t>
      </w:r>
    </w:p>
  </w:footnote>
  <w:footnote w:id="2">
    <w:p w14:paraId="0803C363" w14:textId="77777777" w:rsidR="00872B85" w:rsidRPr="00E307E9" w:rsidRDefault="00872B85" w:rsidP="00872B85">
      <w:pPr>
        <w:pStyle w:val="FootnoteText"/>
      </w:pPr>
      <w:r w:rsidRPr="0024266C">
        <w:rPr>
          <w:rStyle w:val="FootnoteReference"/>
        </w:rPr>
        <w:footnoteRef/>
      </w:r>
      <w:r w:rsidRPr="0024266C">
        <w:t xml:space="preserve"> </w:t>
      </w:r>
      <w:r w:rsidRPr="00E307E9">
        <w:rPr>
          <w:i/>
        </w:rPr>
        <w:t>See</w:t>
      </w:r>
      <w:r w:rsidRPr="00E307E9">
        <w:t xml:space="preserve"> </w:t>
      </w:r>
      <w:r w:rsidRPr="00E307E9">
        <w:rPr>
          <w:i/>
        </w:rPr>
        <w:t>Lifeline and Link Up Reform and Modernization</w:t>
      </w:r>
      <w:r w:rsidRPr="00E307E9">
        <w:t xml:space="preserve"> et al., WC Docket No. 11-42, et al., Second Further Notice of Proposed Rulemaking, Order on Reconsideration, Second Report and Order, and Memorandum Opinion and Order, 30 FCC Rcd 7818</w:t>
      </w:r>
      <w:r w:rsidRPr="00E307E9">
        <w:rPr>
          <w:color w:val="FF0000"/>
        </w:rPr>
        <w:t xml:space="preserve"> </w:t>
      </w:r>
      <w:r w:rsidRPr="00E307E9">
        <w:t>(2015) (</w:t>
      </w:r>
      <w:r w:rsidRPr="00E307E9">
        <w:rPr>
          <w:i/>
        </w:rPr>
        <w:t>2015 Second Reform Order</w:t>
      </w:r>
      <w:r w:rsidRPr="00E307E9">
        <w:t>).</w:t>
      </w:r>
    </w:p>
  </w:footnote>
  <w:footnote w:id="3">
    <w:p w14:paraId="136B6012" w14:textId="77777777" w:rsidR="00872B85" w:rsidRPr="00E307E9" w:rsidRDefault="00872B85" w:rsidP="00872B85">
      <w:pPr>
        <w:pStyle w:val="FootnoteText"/>
        <w:jc w:val="both"/>
      </w:pPr>
      <w:r w:rsidRPr="00E307E9">
        <w:rPr>
          <w:rStyle w:val="FootnoteReference"/>
        </w:rPr>
        <w:footnoteRef/>
      </w:r>
      <w:r w:rsidRPr="00E307E9">
        <w:t xml:space="preserve"> </w:t>
      </w:r>
      <w:r w:rsidRPr="00E307E9">
        <w:rPr>
          <w:i/>
        </w:rPr>
        <w:t xml:space="preserve">See Lifeline and Link Up Reform and Modernization </w:t>
      </w:r>
      <w:r w:rsidRPr="00E307E9">
        <w:t>et al., WC Docket 11-42, et al., Report and Order and Further Notice of Proposed Rulemaking, 27 FCC Rcd 6656 (2012)(</w:t>
      </w:r>
      <w:r w:rsidRPr="00E307E9">
        <w:rPr>
          <w:i/>
        </w:rPr>
        <w:t>2012 Lifeline Reform Order</w:t>
      </w:r>
      <w:r w:rsidRPr="00E307E9">
        <w:t>).</w:t>
      </w:r>
    </w:p>
  </w:footnote>
  <w:footnote w:id="4">
    <w:p w14:paraId="5988C7E2" w14:textId="26E616D0" w:rsidR="00095EE8" w:rsidRPr="00E307E9" w:rsidRDefault="00095EE8" w:rsidP="00095EE8">
      <w:pPr>
        <w:pStyle w:val="FootnoteText"/>
        <w:jc w:val="both"/>
      </w:pPr>
      <w:r w:rsidRPr="00E307E9">
        <w:rPr>
          <w:rStyle w:val="FootnoteReference"/>
        </w:rPr>
        <w:footnoteRef/>
      </w:r>
      <w:r w:rsidRPr="00E307E9">
        <w:t xml:space="preserve"> </w:t>
      </w:r>
      <w:r w:rsidRPr="00E307E9">
        <w:rPr>
          <w:i/>
        </w:rPr>
        <w:t>2015 Second Reform Order</w:t>
      </w:r>
      <w:r>
        <w:t>,</w:t>
      </w:r>
      <w:r w:rsidRPr="00E307E9">
        <w:t xml:space="preserve"> 30 FCC Rcd </w:t>
      </w:r>
      <w:r>
        <w:t xml:space="preserve">at </w:t>
      </w:r>
      <w:r w:rsidRPr="00E307E9">
        <w:t>7</w:t>
      </w:r>
      <w:r>
        <w:t>820-21</w:t>
      </w:r>
      <w:r w:rsidRPr="00E307E9">
        <w:t>,</w:t>
      </w:r>
      <w:r>
        <w:t xml:space="preserve"> para. 3</w:t>
      </w:r>
      <w:r w:rsidRPr="00E307E9">
        <w:t>.</w:t>
      </w:r>
    </w:p>
  </w:footnote>
  <w:footnote w:id="5">
    <w:p w14:paraId="1951415F" w14:textId="5D2EA065" w:rsidR="00872B85" w:rsidRPr="00E307E9" w:rsidRDefault="00872B85" w:rsidP="00872B85">
      <w:pPr>
        <w:pStyle w:val="FootnoteText"/>
      </w:pPr>
      <w:r w:rsidRPr="00E307E9">
        <w:rPr>
          <w:rStyle w:val="FootnoteReference"/>
        </w:rPr>
        <w:footnoteRef/>
      </w:r>
      <w:r w:rsidRPr="00E307E9">
        <w:t xml:space="preserve"> </w:t>
      </w:r>
      <w:r w:rsidR="00095EE8">
        <w:rPr>
          <w:i/>
        </w:rPr>
        <w:t>Id.</w:t>
      </w:r>
      <w:r w:rsidR="00095EE8">
        <w:t xml:space="preserve"> at 7925-29, App</w:t>
      </w:r>
      <w:r w:rsidRPr="00E307E9">
        <w:t>x</w:t>
      </w:r>
      <w:r w:rsidR="00095EE8">
        <w:t>.</w:t>
      </w:r>
      <w:r w:rsidRPr="00E307E9">
        <w:t xml:space="preserve"> B.</w:t>
      </w:r>
    </w:p>
  </w:footnote>
  <w:footnote w:id="6">
    <w:p w14:paraId="5D45A124" w14:textId="77777777" w:rsidR="00872B85" w:rsidRPr="00E307E9" w:rsidRDefault="00872B85" w:rsidP="00872B85">
      <w:pPr>
        <w:pStyle w:val="FootnoteText"/>
      </w:pPr>
      <w:r w:rsidRPr="00E307E9">
        <w:rPr>
          <w:rStyle w:val="FootnoteReference"/>
        </w:rPr>
        <w:footnoteRef/>
      </w:r>
      <w:r w:rsidRPr="00E307E9">
        <w:t xml:space="preserve"> Public Law No. 104-13, 109 Stat. 163 (May 22, 1995), </w:t>
      </w:r>
      <w:r w:rsidRPr="00E307E9">
        <w:rPr>
          <w:i/>
        </w:rPr>
        <w:t>codified at</w:t>
      </w:r>
      <w:r w:rsidRPr="00E307E9">
        <w:t xml:space="preserve"> 44 U.S.C. §§ 3501 </w:t>
      </w:r>
      <w:r w:rsidRPr="00E307E9">
        <w:rPr>
          <w:i/>
        </w:rPr>
        <w:t>et seq</w:t>
      </w:r>
      <w:r w:rsidRPr="00E307E9">
        <w:t xml:space="preserve">. </w:t>
      </w:r>
    </w:p>
  </w:footnote>
  <w:footnote w:id="7">
    <w:p w14:paraId="5343D4CB" w14:textId="77777777" w:rsidR="00872B85" w:rsidRPr="00E307E9" w:rsidRDefault="00872B85" w:rsidP="00872B85">
      <w:pPr>
        <w:pStyle w:val="FootnoteText"/>
      </w:pPr>
      <w:r w:rsidRPr="00E307E9">
        <w:rPr>
          <w:rStyle w:val="FootnoteReference"/>
        </w:rPr>
        <w:footnoteRef/>
      </w:r>
      <w:r w:rsidRPr="00E307E9">
        <w:t xml:space="preserve"> </w:t>
      </w:r>
      <w:r w:rsidRPr="00E307E9">
        <w:rPr>
          <w:i/>
        </w:rPr>
        <w:t>2015 Second Reform Order</w:t>
      </w:r>
      <w:r w:rsidRPr="00E307E9">
        <w:t>, 30 FCC Rcd 7917, para. 299.</w:t>
      </w:r>
    </w:p>
  </w:footnote>
  <w:footnote w:id="8">
    <w:p w14:paraId="6C474D1B" w14:textId="77777777" w:rsidR="00872B85" w:rsidRDefault="00872B85" w:rsidP="00872B85">
      <w:pPr>
        <w:pStyle w:val="FootnoteText"/>
      </w:pPr>
      <w:r>
        <w:rPr>
          <w:rStyle w:val="FootnoteReference"/>
        </w:rPr>
        <w:footnoteRef/>
      </w:r>
      <w:r>
        <w:t xml:space="preserve"> 47 CFR §§ 54.403, 54.400, 54.401.</w:t>
      </w:r>
    </w:p>
  </w:footnote>
  <w:footnote w:id="9">
    <w:p w14:paraId="0665EB17" w14:textId="77777777" w:rsidR="00872B85" w:rsidRDefault="00872B85" w:rsidP="00872B85">
      <w:pPr>
        <w:pStyle w:val="FootnoteText"/>
      </w:pPr>
      <w:r>
        <w:rPr>
          <w:rStyle w:val="FootnoteReference"/>
        </w:rPr>
        <w:footnoteRef/>
      </w:r>
      <w:r>
        <w:t xml:space="preserve"> 47 CFR §§ 54.403, 54.313(a)(8)</w:t>
      </w:r>
    </w:p>
  </w:footnote>
  <w:footnote w:id="10">
    <w:p w14:paraId="0EF88296" w14:textId="77777777" w:rsidR="00872B85" w:rsidRDefault="00872B85" w:rsidP="00872B85">
      <w:pPr>
        <w:pStyle w:val="FootnoteText"/>
      </w:pPr>
      <w:r>
        <w:rPr>
          <w:rStyle w:val="FootnoteReference"/>
        </w:rPr>
        <w:footnoteRef/>
      </w:r>
      <w:r>
        <w:t xml:space="preserve"> 47 CFR §§ 54.404(b)(11), 54.410(b)(1)(ii), 54.410(c)(1)(ii), 54.410(c)(2)(ii), 54.417.</w:t>
      </w:r>
    </w:p>
  </w:footnote>
  <w:footnote w:id="11">
    <w:p w14:paraId="6EB674EE" w14:textId="77777777" w:rsidR="00872B85" w:rsidRDefault="00872B85" w:rsidP="00872B85">
      <w:pPr>
        <w:pStyle w:val="FootnoteText"/>
      </w:pPr>
      <w:r>
        <w:rPr>
          <w:rStyle w:val="FootnoteReference"/>
        </w:rPr>
        <w:footnoteRef/>
      </w:r>
      <w:r>
        <w:t xml:space="preserve"> 47 CFR § 54.410(f).</w:t>
      </w:r>
    </w:p>
  </w:footnote>
  <w:footnote w:id="12">
    <w:p w14:paraId="68B0B064" w14:textId="77777777" w:rsidR="00872B85" w:rsidRDefault="00872B85" w:rsidP="00872B85">
      <w:pPr>
        <w:pStyle w:val="FootnoteText"/>
      </w:pPr>
      <w:r>
        <w:rPr>
          <w:rStyle w:val="FootnoteReference"/>
        </w:rPr>
        <w:footnoteRef/>
      </w:r>
      <w:r>
        <w:t xml:space="preserve"> 47 CFR § 54.416(b).</w:t>
      </w:r>
    </w:p>
  </w:footnote>
  <w:footnote w:id="13">
    <w:p w14:paraId="5D6BD5C0" w14:textId="77777777" w:rsidR="00872B85" w:rsidRDefault="00872B85" w:rsidP="00872B85">
      <w:pPr>
        <w:pStyle w:val="FootnoteText"/>
      </w:pPr>
      <w:r>
        <w:rPr>
          <w:rStyle w:val="FootnoteReference"/>
        </w:rPr>
        <w:footnoteRef/>
      </w:r>
      <w:r>
        <w:t xml:space="preserve"> 47 CFR § 54.407.</w:t>
      </w:r>
    </w:p>
  </w:footnote>
  <w:footnote w:id="14">
    <w:p w14:paraId="0CF41666" w14:textId="77777777" w:rsidR="00872B85" w:rsidRDefault="00872B85" w:rsidP="00872B85">
      <w:pPr>
        <w:pStyle w:val="FootnoteText"/>
      </w:pPr>
      <w:r>
        <w:rPr>
          <w:rStyle w:val="FootnoteReference"/>
        </w:rPr>
        <w:footnoteRef/>
      </w:r>
      <w:r>
        <w:t xml:space="preserve"> 47 CFR § 54.405(e)(3).</w:t>
      </w:r>
    </w:p>
  </w:footnote>
  <w:footnote w:id="15">
    <w:p w14:paraId="0B0BECE6" w14:textId="77777777" w:rsidR="00872B85" w:rsidRDefault="00872B85" w:rsidP="00872B85">
      <w:pPr>
        <w:pStyle w:val="FootnoteText"/>
      </w:pPr>
      <w:r>
        <w:rPr>
          <w:rStyle w:val="FootnoteReference"/>
        </w:rPr>
        <w:footnoteRef/>
      </w:r>
      <w:r>
        <w:t xml:space="preserve"> 47 CFR § 54.405(c).</w:t>
      </w:r>
    </w:p>
  </w:footnote>
  <w:footnote w:id="16">
    <w:p w14:paraId="638BDC9D" w14:textId="77777777" w:rsidR="00872B85" w:rsidRDefault="00872B85" w:rsidP="00872B85">
      <w:pPr>
        <w:pStyle w:val="FootnoteText"/>
      </w:pPr>
      <w:r>
        <w:rPr>
          <w:rStyle w:val="FootnoteReference"/>
        </w:rPr>
        <w:footnoteRef/>
      </w:r>
      <w:r>
        <w:t xml:space="preserve"> 47 CFR §§ 54.420(a), (b).</w:t>
      </w:r>
    </w:p>
  </w:footnote>
  <w:footnote w:id="17">
    <w:p w14:paraId="079B618F" w14:textId="77777777" w:rsidR="00872B85" w:rsidRDefault="00872B85" w:rsidP="00872B85">
      <w:pPr>
        <w:pStyle w:val="FootnoteText"/>
      </w:pPr>
      <w:r>
        <w:rPr>
          <w:rStyle w:val="FootnoteReference"/>
        </w:rPr>
        <w:footnoteRef/>
      </w:r>
      <w:r>
        <w:t xml:space="preserve"> 47 CFR § 54.419.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2E66" w14:textId="77777777" w:rsidR="00AF377F" w:rsidRDefault="00AF3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A481C" w14:textId="77777777" w:rsidR="00AF377F" w:rsidRDefault="00AF37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D524B"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2B934537" wp14:editId="4BD31FA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7293" w14:textId="77777777" w:rsidR="00D47505" w:rsidRDefault="00D47505" w:rsidP="00D47505">
                          <w:pPr>
                            <w:rPr>
                              <w:rFonts w:ascii="Arial" w:hAnsi="Arial"/>
                              <w:b/>
                            </w:rPr>
                          </w:pPr>
                          <w:r>
                            <w:rPr>
                              <w:rFonts w:ascii="Arial" w:hAnsi="Arial"/>
                              <w:b/>
                            </w:rPr>
                            <w:t>Federal Communications Commission</w:t>
                          </w:r>
                        </w:p>
                        <w:p w14:paraId="3B2B3404"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377434A"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934537"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158F7293" w14:textId="77777777" w:rsidR="00D47505" w:rsidRDefault="00D47505" w:rsidP="00D47505">
                    <w:pPr>
                      <w:rPr>
                        <w:rFonts w:ascii="Arial" w:hAnsi="Arial"/>
                        <w:b/>
                      </w:rPr>
                    </w:pPr>
                    <w:r>
                      <w:rPr>
                        <w:rFonts w:ascii="Arial" w:hAnsi="Arial"/>
                        <w:b/>
                      </w:rPr>
                      <w:t>Federal Communications Commission</w:t>
                    </w:r>
                  </w:p>
                  <w:p w14:paraId="3B2B3404"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377434A"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D7321BC" wp14:editId="44E22D19">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79AAF2FD"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33E8DF0A" wp14:editId="07C15D00">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80F154"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20197EBA" wp14:editId="0D1F621E">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F04F4"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9EDE1EE" w14:textId="38A9A147"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C525B">
                            <w:rPr>
                              <w:rFonts w:ascii="Arial" w:hAnsi="Arial"/>
                              <w:b/>
                              <w:sz w:val="16"/>
                            </w:rPr>
                            <w:instrText>HYPERLINK "https://www.fcc.gov/"</w:instrText>
                          </w:r>
                          <w:r w:rsidR="007C525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26012069"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3E7F04F4"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29EDE1EE" w14:textId="38A9A147"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7C525B">
                      <w:rPr>
                        <w:rFonts w:ascii="Arial" w:hAnsi="Arial"/>
                        <w:b/>
                        <w:sz w:val="16"/>
                      </w:rPr>
                      <w:instrText>HYPERLINK "https://www.fcc.gov/"</w:instrText>
                    </w:r>
                    <w:r w:rsidR="007C525B">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26012069"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0F5066"/>
    <w:multiLevelType w:val="hybridMultilevel"/>
    <w:tmpl w:val="4AE0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5"/>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85"/>
    <w:rsid w:val="00036039"/>
    <w:rsid w:val="00037F90"/>
    <w:rsid w:val="00054C56"/>
    <w:rsid w:val="000875BF"/>
    <w:rsid w:val="00095EE8"/>
    <w:rsid w:val="00096D8C"/>
    <w:rsid w:val="000C0B65"/>
    <w:rsid w:val="000E05FE"/>
    <w:rsid w:val="000E3D42"/>
    <w:rsid w:val="00122BD5"/>
    <w:rsid w:val="00133F79"/>
    <w:rsid w:val="00194A66"/>
    <w:rsid w:val="001D6BCF"/>
    <w:rsid w:val="001E01CA"/>
    <w:rsid w:val="002749CB"/>
    <w:rsid w:val="00275CF5"/>
    <w:rsid w:val="0028301F"/>
    <w:rsid w:val="00285017"/>
    <w:rsid w:val="00291024"/>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97C3F"/>
    <w:rsid w:val="006A1F49"/>
    <w:rsid w:val="006A6A81"/>
    <w:rsid w:val="006B1456"/>
    <w:rsid w:val="006F7393"/>
    <w:rsid w:val="0070224F"/>
    <w:rsid w:val="007115F7"/>
    <w:rsid w:val="00775EA0"/>
    <w:rsid w:val="00785689"/>
    <w:rsid w:val="007874EA"/>
    <w:rsid w:val="0079754B"/>
    <w:rsid w:val="007A1E6D"/>
    <w:rsid w:val="007B0EB2"/>
    <w:rsid w:val="007C525B"/>
    <w:rsid w:val="007F413A"/>
    <w:rsid w:val="00810B6F"/>
    <w:rsid w:val="00822CE0"/>
    <w:rsid w:val="00841AB1"/>
    <w:rsid w:val="00872B85"/>
    <w:rsid w:val="00876BC4"/>
    <w:rsid w:val="008A1C25"/>
    <w:rsid w:val="008C68F1"/>
    <w:rsid w:val="00921803"/>
    <w:rsid w:val="00926503"/>
    <w:rsid w:val="009726D8"/>
    <w:rsid w:val="009F76DB"/>
    <w:rsid w:val="00A32C3B"/>
    <w:rsid w:val="00A45F4F"/>
    <w:rsid w:val="00A600A9"/>
    <w:rsid w:val="00AA55B7"/>
    <w:rsid w:val="00AA5B9E"/>
    <w:rsid w:val="00AB2407"/>
    <w:rsid w:val="00AB53DF"/>
    <w:rsid w:val="00AC424B"/>
    <w:rsid w:val="00AF350C"/>
    <w:rsid w:val="00AF377F"/>
    <w:rsid w:val="00AF46DC"/>
    <w:rsid w:val="00B07E5C"/>
    <w:rsid w:val="00B20363"/>
    <w:rsid w:val="00B338A9"/>
    <w:rsid w:val="00B679AB"/>
    <w:rsid w:val="00B76DB8"/>
    <w:rsid w:val="00B811F7"/>
    <w:rsid w:val="00BA5DC6"/>
    <w:rsid w:val="00BA6196"/>
    <w:rsid w:val="00BC6D8C"/>
    <w:rsid w:val="00BF0536"/>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0B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rsid w:val="00872B85"/>
  </w:style>
  <w:style w:type="character" w:styleId="CommentReference">
    <w:name w:val="annotation reference"/>
    <w:basedOn w:val="DefaultParagraphFont"/>
    <w:uiPriority w:val="99"/>
    <w:unhideWhenUsed/>
    <w:rsid w:val="00872B85"/>
    <w:rPr>
      <w:sz w:val="16"/>
      <w:szCs w:val="16"/>
    </w:rPr>
  </w:style>
  <w:style w:type="paragraph" w:styleId="CommentText">
    <w:name w:val="annotation text"/>
    <w:basedOn w:val="Normal"/>
    <w:link w:val="CommentTextChar"/>
    <w:uiPriority w:val="99"/>
    <w:unhideWhenUsed/>
    <w:rsid w:val="00872B85"/>
    <w:pPr>
      <w:widowControl/>
    </w:pPr>
    <w:rPr>
      <w:snapToGrid/>
      <w:kern w:val="0"/>
      <w:sz w:val="20"/>
    </w:rPr>
  </w:style>
  <w:style w:type="character" w:customStyle="1" w:styleId="CommentTextChar">
    <w:name w:val="Comment Text Char"/>
    <w:basedOn w:val="DefaultParagraphFont"/>
    <w:link w:val="CommentText"/>
    <w:uiPriority w:val="99"/>
    <w:rsid w:val="00872B85"/>
  </w:style>
  <w:style w:type="paragraph" w:styleId="ListParagraph">
    <w:name w:val="List Paragraph"/>
    <w:basedOn w:val="Normal"/>
    <w:uiPriority w:val="34"/>
    <w:qFormat/>
    <w:rsid w:val="00872B85"/>
    <w:pPr>
      <w:widowControl/>
      <w:ind w:left="720"/>
      <w:contextualSpacing/>
    </w:pPr>
    <w:rPr>
      <w:snapToGrid/>
      <w:kern w:val="0"/>
    </w:rPr>
  </w:style>
  <w:style w:type="paragraph" w:styleId="CommentSubject">
    <w:name w:val="annotation subject"/>
    <w:basedOn w:val="CommentText"/>
    <w:next w:val="CommentText"/>
    <w:link w:val="CommentSubjectChar"/>
    <w:rsid w:val="00697C3F"/>
    <w:pPr>
      <w:widowControl w:val="0"/>
    </w:pPr>
    <w:rPr>
      <w:b/>
      <w:bCs/>
      <w:snapToGrid w:val="0"/>
      <w:kern w:val="28"/>
    </w:rPr>
  </w:style>
  <w:style w:type="character" w:customStyle="1" w:styleId="CommentSubjectChar">
    <w:name w:val="Comment Subject Char"/>
    <w:basedOn w:val="CommentTextChar"/>
    <w:link w:val="CommentSubject"/>
    <w:rsid w:val="00697C3F"/>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1 Char,Footnote Text Char Char1 Char,Footnote Text Char2 Char1 Char Char,Footnote Text Char Char1 Char Char Char1,Footnote Text Char1 Char Char Char1 Char Char,Footnote Text Char1,fn Char Char,fn Char,f"/>
    <w:link w:val="FootnoteTextChar"/>
    <w:rsid w:val="000E3D42"/>
    <w:pPr>
      <w:spacing w:after="120"/>
    </w:pPr>
  </w:style>
  <w:style w:type="character" w:styleId="FootnoteReference">
    <w:name w:val="footnote reference"/>
    <w:aliases w:val="Style 12,(NECG) Footnote Reference,Appel note de bas de p,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1 Char Char,Footnote Text Char Char1 Char Char,Footnote Text Char2 Char1 Char Char Char,Footnote Text Char Char1 Char Char Char1 Char,Footnote Text Char1 Char Char Char1 Char Char Char,f Char"/>
    <w:basedOn w:val="DefaultParagraphFont"/>
    <w:link w:val="FootnoteText"/>
    <w:rsid w:val="00872B85"/>
  </w:style>
  <w:style w:type="character" w:styleId="CommentReference">
    <w:name w:val="annotation reference"/>
    <w:basedOn w:val="DefaultParagraphFont"/>
    <w:uiPriority w:val="99"/>
    <w:unhideWhenUsed/>
    <w:rsid w:val="00872B85"/>
    <w:rPr>
      <w:sz w:val="16"/>
      <w:szCs w:val="16"/>
    </w:rPr>
  </w:style>
  <w:style w:type="paragraph" w:styleId="CommentText">
    <w:name w:val="annotation text"/>
    <w:basedOn w:val="Normal"/>
    <w:link w:val="CommentTextChar"/>
    <w:uiPriority w:val="99"/>
    <w:unhideWhenUsed/>
    <w:rsid w:val="00872B85"/>
    <w:pPr>
      <w:widowControl/>
    </w:pPr>
    <w:rPr>
      <w:snapToGrid/>
      <w:kern w:val="0"/>
      <w:sz w:val="20"/>
    </w:rPr>
  </w:style>
  <w:style w:type="character" w:customStyle="1" w:styleId="CommentTextChar">
    <w:name w:val="Comment Text Char"/>
    <w:basedOn w:val="DefaultParagraphFont"/>
    <w:link w:val="CommentText"/>
    <w:uiPriority w:val="99"/>
    <w:rsid w:val="00872B85"/>
  </w:style>
  <w:style w:type="paragraph" w:styleId="ListParagraph">
    <w:name w:val="List Paragraph"/>
    <w:basedOn w:val="Normal"/>
    <w:uiPriority w:val="34"/>
    <w:qFormat/>
    <w:rsid w:val="00872B85"/>
    <w:pPr>
      <w:widowControl/>
      <w:ind w:left="720"/>
      <w:contextualSpacing/>
    </w:pPr>
    <w:rPr>
      <w:snapToGrid/>
      <w:kern w:val="0"/>
    </w:rPr>
  </w:style>
  <w:style w:type="paragraph" w:styleId="CommentSubject">
    <w:name w:val="annotation subject"/>
    <w:basedOn w:val="CommentText"/>
    <w:next w:val="CommentText"/>
    <w:link w:val="CommentSubjectChar"/>
    <w:rsid w:val="00697C3F"/>
    <w:pPr>
      <w:widowControl w:val="0"/>
    </w:pPr>
    <w:rPr>
      <w:b/>
      <w:bCs/>
      <w:snapToGrid w:val="0"/>
      <w:kern w:val="28"/>
    </w:rPr>
  </w:style>
  <w:style w:type="character" w:customStyle="1" w:styleId="CommentSubjectChar">
    <w:name w:val="Comment Subject Char"/>
    <w:basedOn w:val="CommentTextChar"/>
    <w:link w:val="CommentSubject"/>
    <w:rsid w:val="00697C3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378</Words>
  <Characters>2325</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2016-01-14T22:14:00Z</cp:lastPrinted>
  <dcterms:created xsi:type="dcterms:W3CDTF">2016-01-15T17:25:00Z</dcterms:created>
  <dcterms:modified xsi:type="dcterms:W3CDTF">2016-01-15T17:25:00Z</dcterms:modified>
  <cp:category> </cp:category>
  <cp:contentStatus> </cp:contentStatus>
</cp:coreProperties>
</file>