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6218A"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1D15B50" w14:textId="77777777" w:rsidR="00921803" w:rsidRDefault="00921803" w:rsidP="00921803">
      <w:pPr>
        <w:pStyle w:val="StyleBoldCentered"/>
      </w:pPr>
      <w:r>
        <w:t>F</w:t>
      </w:r>
      <w:r>
        <w:rPr>
          <w:caps w:val="0"/>
        </w:rPr>
        <w:t>ederal Communications Commission</w:t>
      </w:r>
    </w:p>
    <w:p w14:paraId="47A8DE09" w14:textId="77777777" w:rsidR="004C2EE3" w:rsidRDefault="00810B6F" w:rsidP="00096D8C">
      <w:pPr>
        <w:pStyle w:val="StyleBoldCentered"/>
      </w:pPr>
      <w:r>
        <w:rPr>
          <w:caps w:val="0"/>
        </w:rPr>
        <w:t>Washington, D.C. 20554</w:t>
      </w:r>
    </w:p>
    <w:p w14:paraId="345AD9AC" w14:textId="77777777" w:rsidR="004C2EE3" w:rsidRDefault="004C2EE3" w:rsidP="0070224F"/>
    <w:p w14:paraId="1C5D67EA"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6C01659F" w14:textId="77777777">
        <w:tc>
          <w:tcPr>
            <w:tcW w:w="4698" w:type="dxa"/>
          </w:tcPr>
          <w:p w14:paraId="466839F9" w14:textId="77777777" w:rsidR="004C2EE3" w:rsidRDefault="004C2EE3">
            <w:pPr>
              <w:tabs>
                <w:tab w:val="center" w:pos="4680"/>
              </w:tabs>
              <w:suppressAutoHyphens/>
              <w:rPr>
                <w:spacing w:val="-2"/>
              </w:rPr>
            </w:pPr>
            <w:r>
              <w:rPr>
                <w:spacing w:val="-2"/>
              </w:rPr>
              <w:t>In the Matter of</w:t>
            </w:r>
          </w:p>
          <w:p w14:paraId="2784E79D" w14:textId="77777777" w:rsidR="004C2EE3" w:rsidRDefault="004C2EE3">
            <w:pPr>
              <w:tabs>
                <w:tab w:val="center" w:pos="4680"/>
              </w:tabs>
              <w:suppressAutoHyphens/>
              <w:rPr>
                <w:spacing w:val="-2"/>
              </w:rPr>
            </w:pPr>
          </w:p>
          <w:p w14:paraId="30B649ED" w14:textId="77777777" w:rsidR="000F0645" w:rsidRPr="00CC5E3B" w:rsidRDefault="000F0645" w:rsidP="000F0645">
            <w:pPr>
              <w:ind w:right="-18"/>
              <w:rPr>
                <w:szCs w:val="22"/>
              </w:rPr>
            </w:pPr>
            <w:r w:rsidRPr="00CC5E3B">
              <w:rPr>
                <w:szCs w:val="22"/>
              </w:rPr>
              <w:t>SATV10, LLC</w:t>
            </w:r>
          </w:p>
          <w:p w14:paraId="5C3EE568" w14:textId="77777777" w:rsidR="000F0645" w:rsidRPr="00CC5E3B" w:rsidRDefault="000F0645" w:rsidP="000F0645">
            <w:pPr>
              <w:ind w:right="-18"/>
              <w:rPr>
                <w:szCs w:val="22"/>
              </w:rPr>
            </w:pPr>
            <w:r w:rsidRPr="00CC5E3B">
              <w:rPr>
                <w:szCs w:val="22"/>
              </w:rPr>
              <w:t>Licensee of  Station KYVV-TV</w:t>
            </w:r>
          </w:p>
          <w:p w14:paraId="73F3BE97" w14:textId="77777777" w:rsidR="004C2EE3" w:rsidRPr="007115F7" w:rsidRDefault="000F0645" w:rsidP="000F0645">
            <w:pPr>
              <w:tabs>
                <w:tab w:val="center" w:pos="4680"/>
              </w:tabs>
              <w:suppressAutoHyphens/>
              <w:rPr>
                <w:spacing w:val="-2"/>
              </w:rPr>
            </w:pPr>
            <w:r w:rsidRPr="00CC5E3B">
              <w:rPr>
                <w:szCs w:val="22"/>
              </w:rPr>
              <w:t>Del Rio, Texas</w:t>
            </w:r>
          </w:p>
        </w:tc>
        <w:tc>
          <w:tcPr>
            <w:tcW w:w="630" w:type="dxa"/>
          </w:tcPr>
          <w:p w14:paraId="68E391B3" w14:textId="77777777" w:rsidR="004C2EE3" w:rsidRDefault="004C2EE3">
            <w:pPr>
              <w:tabs>
                <w:tab w:val="center" w:pos="4680"/>
              </w:tabs>
              <w:suppressAutoHyphens/>
              <w:rPr>
                <w:b/>
                <w:spacing w:val="-2"/>
              </w:rPr>
            </w:pPr>
            <w:r>
              <w:rPr>
                <w:b/>
                <w:spacing w:val="-2"/>
              </w:rPr>
              <w:t>)</w:t>
            </w:r>
          </w:p>
          <w:p w14:paraId="7D598120" w14:textId="77777777" w:rsidR="004C2EE3" w:rsidRDefault="004C2EE3">
            <w:pPr>
              <w:tabs>
                <w:tab w:val="center" w:pos="4680"/>
              </w:tabs>
              <w:suppressAutoHyphens/>
              <w:rPr>
                <w:b/>
                <w:spacing w:val="-2"/>
              </w:rPr>
            </w:pPr>
            <w:r>
              <w:rPr>
                <w:b/>
                <w:spacing w:val="-2"/>
              </w:rPr>
              <w:t>)</w:t>
            </w:r>
          </w:p>
          <w:p w14:paraId="6DBBA78D" w14:textId="77777777" w:rsidR="004C2EE3" w:rsidRDefault="004C2EE3">
            <w:pPr>
              <w:tabs>
                <w:tab w:val="center" w:pos="4680"/>
              </w:tabs>
              <w:suppressAutoHyphens/>
              <w:rPr>
                <w:b/>
                <w:spacing w:val="-2"/>
              </w:rPr>
            </w:pPr>
            <w:r>
              <w:rPr>
                <w:b/>
                <w:spacing w:val="-2"/>
              </w:rPr>
              <w:t>)</w:t>
            </w:r>
          </w:p>
          <w:p w14:paraId="5317C109" w14:textId="77777777" w:rsidR="004C2EE3" w:rsidRDefault="004C2EE3">
            <w:pPr>
              <w:tabs>
                <w:tab w:val="center" w:pos="4680"/>
              </w:tabs>
              <w:suppressAutoHyphens/>
              <w:rPr>
                <w:b/>
                <w:spacing w:val="-2"/>
              </w:rPr>
            </w:pPr>
            <w:r>
              <w:rPr>
                <w:b/>
                <w:spacing w:val="-2"/>
              </w:rPr>
              <w:t>)</w:t>
            </w:r>
          </w:p>
          <w:p w14:paraId="6D835F81" w14:textId="65D5CA02" w:rsidR="004C2EE3" w:rsidRDefault="004C2EE3">
            <w:pPr>
              <w:tabs>
                <w:tab w:val="center" w:pos="4680"/>
              </w:tabs>
              <w:suppressAutoHyphens/>
              <w:rPr>
                <w:spacing w:val="-2"/>
              </w:rPr>
            </w:pPr>
            <w:r>
              <w:rPr>
                <w:b/>
                <w:spacing w:val="-2"/>
              </w:rPr>
              <w:t>)</w:t>
            </w:r>
          </w:p>
        </w:tc>
        <w:tc>
          <w:tcPr>
            <w:tcW w:w="4248" w:type="dxa"/>
          </w:tcPr>
          <w:p w14:paraId="63F3BA51" w14:textId="77777777" w:rsidR="004C2EE3" w:rsidRDefault="004C2EE3">
            <w:pPr>
              <w:tabs>
                <w:tab w:val="center" w:pos="4680"/>
              </w:tabs>
              <w:suppressAutoHyphens/>
              <w:rPr>
                <w:spacing w:val="-2"/>
              </w:rPr>
            </w:pPr>
          </w:p>
          <w:p w14:paraId="183FA958" w14:textId="77777777" w:rsidR="004C2EE3" w:rsidRDefault="004C2EE3">
            <w:pPr>
              <w:pStyle w:val="TOAHeading"/>
              <w:tabs>
                <w:tab w:val="clear" w:pos="9360"/>
                <w:tab w:val="center" w:pos="4680"/>
              </w:tabs>
              <w:rPr>
                <w:spacing w:val="-2"/>
              </w:rPr>
            </w:pPr>
          </w:p>
          <w:p w14:paraId="5D50485E" w14:textId="77777777" w:rsidR="000F0645" w:rsidRPr="00CC5E3B" w:rsidRDefault="000F0645" w:rsidP="000F0645">
            <w:pPr>
              <w:rPr>
                <w:b/>
                <w:szCs w:val="22"/>
                <w:lang w:val="es-ES"/>
              </w:rPr>
            </w:pPr>
            <w:r w:rsidRPr="00CC5E3B">
              <w:rPr>
                <w:szCs w:val="22"/>
                <w:lang w:val="es-ES"/>
              </w:rPr>
              <w:t>Facility I.D. No. 55762</w:t>
            </w:r>
          </w:p>
          <w:p w14:paraId="6BF52F36" w14:textId="77777777" w:rsidR="000F0645" w:rsidRPr="00CC5E3B" w:rsidRDefault="000F0645" w:rsidP="000F0645">
            <w:pPr>
              <w:rPr>
                <w:szCs w:val="22"/>
                <w:lang w:val="es-ES"/>
              </w:rPr>
            </w:pPr>
            <w:r w:rsidRPr="00CC5E3B">
              <w:rPr>
                <w:szCs w:val="22"/>
                <w:lang w:val="es-ES"/>
              </w:rPr>
              <w:t>NAL/Acct. 201441420029</w:t>
            </w:r>
          </w:p>
          <w:p w14:paraId="38212E7E" w14:textId="77777777" w:rsidR="004C2EE3" w:rsidRDefault="000F0645" w:rsidP="000F0645">
            <w:pPr>
              <w:tabs>
                <w:tab w:val="center" w:pos="4680"/>
              </w:tabs>
              <w:suppressAutoHyphens/>
              <w:rPr>
                <w:spacing w:val="-2"/>
              </w:rPr>
            </w:pPr>
            <w:r w:rsidRPr="00CC5E3B">
              <w:rPr>
                <w:szCs w:val="22"/>
                <w:lang w:val="es-ES"/>
              </w:rPr>
              <w:t xml:space="preserve">FRN: </w:t>
            </w:r>
            <w:r w:rsidRPr="00CC5E3B">
              <w:rPr>
                <w:szCs w:val="22"/>
              </w:rPr>
              <w:t>0014562839</w:t>
            </w:r>
          </w:p>
        </w:tc>
      </w:tr>
    </w:tbl>
    <w:p w14:paraId="0CA47A67" w14:textId="77777777" w:rsidR="004C2EE3" w:rsidRDefault="004C2EE3" w:rsidP="0070224F"/>
    <w:p w14:paraId="1CF87BCA" w14:textId="77777777" w:rsidR="00841AB1" w:rsidRDefault="000F0645" w:rsidP="00F021FA">
      <w:pPr>
        <w:pStyle w:val="StyleBoldCentered"/>
      </w:pPr>
      <w:r>
        <w:t>FORFEITURE ORDER</w:t>
      </w:r>
    </w:p>
    <w:p w14:paraId="03B1BAF8" w14:textId="77777777" w:rsidR="004C2EE3" w:rsidRDefault="004C2EE3">
      <w:pPr>
        <w:tabs>
          <w:tab w:val="left" w:pos="-720"/>
        </w:tabs>
        <w:suppressAutoHyphens/>
        <w:spacing w:line="227" w:lineRule="auto"/>
        <w:rPr>
          <w:spacing w:val="-2"/>
        </w:rPr>
      </w:pPr>
    </w:p>
    <w:p w14:paraId="545E739D" w14:textId="77777777" w:rsidR="000F0645" w:rsidRPr="00CC5E3B" w:rsidRDefault="000F0645" w:rsidP="000F0645">
      <w:pPr>
        <w:tabs>
          <w:tab w:val="left" w:pos="0"/>
        </w:tabs>
        <w:suppressAutoHyphens/>
        <w:spacing w:line="240" w:lineRule="atLeast"/>
        <w:jc w:val="both"/>
        <w:rPr>
          <w:spacing w:val="-2"/>
          <w:szCs w:val="22"/>
        </w:rPr>
      </w:pPr>
    </w:p>
    <w:p w14:paraId="46863EBA" w14:textId="0BFAEA9B" w:rsidR="000F0645" w:rsidRPr="00CC5E3B" w:rsidRDefault="000F0645" w:rsidP="000F0645">
      <w:pPr>
        <w:tabs>
          <w:tab w:val="left" w:pos="0"/>
          <w:tab w:val="left" w:pos="720"/>
          <w:tab w:val="left" w:pos="5760"/>
        </w:tabs>
        <w:suppressAutoHyphens/>
        <w:spacing w:line="240" w:lineRule="atLeast"/>
        <w:jc w:val="both"/>
        <w:rPr>
          <w:spacing w:val="-2"/>
          <w:szCs w:val="22"/>
        </w:rPr>
      </w:pPr>
      <w:r w:rsidRPr="00CC5E3B">
        <w:rPr>
          <w:b/>
          <w:spacing w:val="-2"/>
          <w:szCs w:val="22"/>
        </w:rPr>
        <w:t xml:space="preserve">Adopted:  </w:t>
      </w:r>
      <w:r w:rsidR="00C63511">
        <w:rPr>
          <w:b/>
          <w:spacing w:val="-2"/>
          <w:szCs w:val="22"/>
        </w:rPr>
        <w:t>May 20</w:t>
      </w:r>
      <w:r w:rsidRPr="00CC5E3B">
        <w:rPr>
          <w:b/>
          <w:spacing w:val="-2"/>
          <w:szCs w:val="22"/>
        </w:rPr>
        <w:t>, 2016</w:t>
      </w:r>
      <w:r w:rsidRPr="00CC5E3B">
        <w:rPr>
          <w:spacing w:val="-2"/>
          <w:szCs w:val="22"/>
        </w:rPr>
        <w:tab/>
      </w:r>
      <w:r w:rsidRPr="00CC5E3B">
        <w:rPr>
          <w:b/>
          <w:spacing w:val="-2"/>
          <w:szCs w:val="22"/>
        </w:rPr>
        <w:t xml:space="preserve">Released: </w:t>
      </w:r>
      <w:r w:rsidR="00C63511">
        <w:rPr>
          <w:b/>
          <w:spacing w:val="-2"/>
          <w:szCs w:val="22"/>
        </w:rPr>
        <w:t>May 20</w:t>
      </w:r>
      <w:r w:rsidRPr="00CC5E3B">
        <w:rPr>
          <w:b/>
          <w:spacing w:val="-2"/>
          <w:szCs w:val="22"/>
        </w:rPr>
        <w:t>, 201</w:t>
      </w:r>
      <w:r w:rsidR="004A22CB">
        <w:rPr>
          <w:b/>
          <w:spacing w:val="-2"/>
          <w:szCs w:val="22"/>
        </w:rPr>
        <w:t>6</w:t>
      </w:r>
    </w:p>
    <w:p w14:paraId="2721469B" w14:textId="77777777" w:rsidR="000F0645" w:rsidRPr="00CC5E3B" w:rsidRDefault="000F0645" w:rsidP="000F0645">
      <w:pPr>
        <w:tabs>
          <w:tab w:val="left" w:pos="0"/>
          <w:tab w:val="left" w:pos="720"/>
          <w:tab w:val="left" w:pos="5760"/>
        </w:tabs>
        <w:suppressAutoHyphens/>
        <w:spacing w:line="240" w:lineRule="atLeast"/>
        <w:jc w:val="both"/>
        <w:rPr>
          <w:spacing w:val="-2"/>
          <w:szCs w:val="22"/>
        </w:rPr>
      </w:pPr>
    </w:p>
    <w:p w14:paraId="429E6467" w14:textId="77777777" w:rsidR="000F0645" w:rsidRPr="00CC5E3B" w:rsidRDefault="000F0645" w:rsidP="000F0645">
      <w:pPr>
        <w:tabs>
          <w:tab w:val="left" w:pos="0"/>
          <w:tab w:val="left" w:pos="720"/>
          <w:tab w:val="left" w:pos="5760"/>
        </w:tabs>
        <w:suppressAutoHyphens/>
        <w:jc w:val="both"/>
        <w:rPr>
          <w:spacing w:val="-2"/>
          <w:szCs w:val="22"/>
        </w:rPr>
      </w:pPr>
      <w:r w:rsidRPr="00CC5E3B">
        <w:rPr>
          <w:spacing w:val="-2"/>
          <w:szCs w:val="22"/>
        </w:rPr>
        <w:t>By the Chief, Video Division, Media Bureau:</w:t>
      </w:r>
    </w:p>
    <w:p w14:paraId="517E90D1" w14:textId="77777777" w:rsidR="00412FC5" w:rsidRDefault="00412FC5" w:rsidP="00412FC5"/>
    <w:p w14:paraId="7F86941D" w14:textId="77777777" w:rsidR="00F7724B" w:rsidRPr="000F0645" w:rsidRDefault="00F7724B" w:rsidP="000F0645">
      <w:pPr>
        <w:pStyle w:val="Heading1"/>
        <w:rPr>
          <w:rFonts w:ascii="Times New Roman" w:hAnsi="Times New Roman"/>
          <w:szCs w:val="22"/>
        </w:rPr>
      </w:pPr>
      <w:r w:rsidRPr="00CC5E3B">
        <w:rPr>
          <w:rFonts w:ascii="Times New Roman" w:hAnsi="Times New Roman"/>
          <w:szCs w:val="22"/>
        </w:rPr>
        <w:t>INTRODUCTION</w:t>
      </w:r>
    </w:p>
    <w:p w14:paraId="68ED15D8" w14:textId="107692DE" w:rsidR="00F7724B" w:rsidRPr="00CC5E3B" w:rsidRDefault="00F7724B" w:rsidP="00F7724B">
      <w:pPr>
        <w:pStyle w:val="ParaNum"/>
        <w:rPr>
          <w:szCs w:val="22"/>
        </w:rPr>
      </w:pPr>
      <w:r w:rsidRPr="00CC5E3B">
        <w:rPr>
          <w:spacing w:val="-2"/>
          <w:szCs w:val="22"/>
        </w:rPr>
        <w:t xml:space="preserve">In this </w:t>
      </w:r>
      <w:r w:rsidRPr="00CC5E3B">
        <w:rPr>
          <w:i/>
          <w:spacing w:val="-2"/>
          <w:szCs w:val="22"/>
        </w:rPr>
        <w:t>Forfeiture Order</w:t>
      </w:r>
      <w:r w:rsidR="006D0659">
        <w:rPr>
          <w:spacing w:val="-2"/>
          <w:szCs w:val="22"/>
        </w:rPr>
        <w:t>, issued pursuant to s</w:t>
      </w:r>
      <w:r w:rsidRPr="00CC5E3B">
        <w:rPr>
          <w:spacing w:val="-2"/>
          <w:szCs w:val="22"/>
        </w:rPr>
        <w:t>ections 0.61(f)(1) and 1.80(a)(1) and (2) of the Commission’s rules,</w:t>
      </w:r>
      <w:r w:rsidRPr="00CC5E3B">
        <w:rPr>
          <w:rStyle w:val="FootnoteReference"/>
          <w:spacing w:val="-2"/>
          <w:sz w:val="22"/>
          <w:szCs w:val="22"/>
        </w:rPr>
        <w:footnoteReference w:id="2"/>
      </w:r>
      <w:r w:rsidRPr="00CC5E3B">
        <w:rPr>
          <w:spacing w:val="-2"/>
          <w:szCs w:val="22"/>
        </w:rPr>
        <w:t xml:space="preserve"> </w:t>
      </w:r>
      <w:r w:rsidR="00E4788F">
        <w:rPr>
          <w:spacing w:val="-2"/>
          <w:szCs w:val="22"/>
        </w:rPr>
        <w:t>we find that SAT</w:t>
      </w:r>
      <w:r w:rsidR="00BC7A64">
        <w:rPr>
          <w:spacing w:val="-2"/>
          <w:szCs w:val="22"/>
        </w:rPr>
        <w:t>V</w:t>
      </w:r>
      <w:r w:rsidR="00E4788F">
        <w:rPr>
          <w:spacing w:val="-2"/>
          <w:szCs w:val="22"/>
        </w:rPr>
        <w:t>10, LLC (L</w:t>
      </w:r>
      <w:r w:rsidRPr="00CC5E3B">
        <w:rPr>
          <w:szCs w:val="22"/>
        </w:rPr>
        <w:t xml:space="preserve">icensee), licensee of full power television station KYVV-TV, Del Rio, Texas (Station), willfully and/or repeatedly violated the Commission’s Rules (Rules) by: (1) failing to place in its public file quarterly </w:t>
      </w:r>
      <w:r w:rsidR="007E79B2">
        <w:rPr>
          <w:szCs w:val="22"/>
        </w:rPr>
        <w:t xml:space="preserve">TV </w:t>
      </w:r>
      <w:r w:rsidRPr="00CC5E3B">
        <w:rPr>
          <w:szCs w:val="22"/>
        </w:rPr>
        <w:t>issues/programs lists</w:t>
      </w:r>
      <w:r w:rsidR="00244622">
        <w:rPr>
          <w:szCs w:val="22"/>
        </w:rPr>
        <w:t>, in violation of s</w:t>
      </w:r>
      <w:r w:rsidRPr="00CC5E3B">
        <w:rPr>
          <w:szCs w:val="22"/>
        </w:rPr>
        <w:t>ection 73.3526(e)(11)(i)</w:t>
      </w:r>
      <w:r w:rsidRPr="00CC5E3B">
        <w:rPr>
          <w:rStyle w:val="FootnoteReference"/>
          <w:sz w:val="22"/>
          <w:szCs w:val="22"/>
        </w:rPr>
        <w:footnoteReference w:id="3"/>
      </w:r>
      <w:r w:rsidRPr="00CC5E3B">
        <w:rPr>
          <w:szCs w:val="22"/>
        </w:rPr>
        <w:t xml:space="preserve"> </w:t>
      </w:r>
      <w:r w:rsidR="007E79B2">
        <w:rPr>
          <w:szCs w:val="22"/>
        </w:rPr>
        <w:t xml:space="preserve">of the Rules </w:t>
      </w:r>
      <w:r w:rsidRPr="00CC5E3B">
        <w:rPr>
          <w:szCs w:val="22"/>
        </w:rPr>
        <w:t>and (2) failing to file timely with the Commission the Station’s Children’s Television Programming Reports (FCC Form 398), in violation of section 73.3526(e)(11)(iii) of the Rules.</w:t>
      </w:r>
      <w:r w:rsidRPr="00CC5E3B">
        <w:rPr>
          <w:rStyle w:val="FootnoteReference"/>
          <w:sz w:val="22"/>
          <w:szCs w:val="22"/>
        </w:rPr>
        <w:footnoteReference w:id="4"/>
      </w:r>
      <w:r w:rsidRPr="00CC5E3B">
        <w:rPr>
          <w:szCs w:val="22"/>
        </w:rPr>
        <w:t xml:space="preserve">  Based upon our review of the facts and circumstances before us, we conclude that the Licensee is liable for a monetary forfeiture in the amount of Sixteen Thousand Dollars ($16,000).</w:t>
      </w:r>
    </w:p>
    <w:p w14:paraId="6A6BDC4D" w14:textId="77777777" w:rsidR="00F7724B" w:rsidRPr="000F0645" w:rsidRDefault="00F7724B" w:rsidP="000F0645">
      <w:pPr>
        <w:pStyle w:val="Heading1"/>
        <w:rPr>
          <w:rFonts w:ascii="Times New Roman" w:hAnsi="Times New Roman"/>
          <w:szCs w:val="22"/>
        </w:rPr>
      </w:pPr>
      <w:r w:rsidRPr="00CC5E3B">
        <w:rPr>
          <w:rFonts w:ascii="Times New Roman" w:hAnsi="Times New Roman"/>
          <w:szCs w:val="22"/>
        </w:rPr>
        <w:t>BACKGROUND</w:t>
      </w:r>
    </w:p>
    <w:p w14:paraId="46EF7833" w14:textId="7BEEBFD2" w:rsidR="00F7724B" w:rsidRPr="00CC5E3B" w:rsidRDefault="00F7724B" w:rsidP="00F7724B">
      <w:pPr>
        <w:pStyle w:val="ParaNum"/>
        <w:rPr>
          <w:szCs w:val="22"/>
        </w:rPr>
      </w:pPr>
      <w:r w:rsidRPr="00CC5E3B">
        <w:rPr>
          <w:szCs w:val="22"/>
        </w:rPr>
        <w:t>The Video Division issued a Notice of Apparent Liability (</w:t>
      </w:r>
      <w:r w:rsidRPr="00CC5E3B">
        <w:rPr>
          <w:i/>
          <w:szCs w:val="22"/>
        </w:rPr>
        <w:t>NAL</w:t>
      </w:r>
      <w:r w:rsidRPr="00CC5E3B">
        <w:rPr>
          <w:szCs w:val="22"/>
        </w:rPr>
        <w:t>) for Forfeiture on August 7, 2014.</w:t>
      </w:r>
      <w:r w:rsidRPr="00CC5E3B">
        <w:rPr>
          <w:rStyle w:val="FootnoteReference"/>
          <w:spacing w:val="-2"/>
          <w:sz w:val="22"/>
          <w:szCs w:val="22"/>
        </w:rPr>
        <w:footnoteReference w:id="5"/>
      </w:r>
      <w:r w:rsidRPr="00CC5E3B">
        <w:rPr>
          <w:szCs w:val="22"/>
        </w:rPr>
        <w:t xml:space="preserve">  The </w:t>
      </w:r>
      <w:r w:rsidRPr="00CC5E3B">
        <w:rPr>
          <w:i/>
          <w:szCs w:val="22"/>
        </w:rPr>
        <w:t>NAL</w:t>
      </w:r>
      <w:r w:rsidRPr="00CC5E3B">
        <w:rPr>
          <w:szCs w:val="22"/>
        </w:rPr>
        <w:t xml:space="preserve"> notified the Licensee that: (1) its failure to place in its public file quarterly issues/programs lists for 21 quarters constituted an apparent willful and/or repeated violation of section 73.3526(e)(11)(i)</w:t>
      </w:r>
      <w:r w:rsidRPr="00CC5E3B">
        <w:rPr>
          <w:rStyle w:val="FootnoteReference"/>
          <w:sz w:val="22"/>
          <w:szCs w:val="22"/>
        </w:rPr>
        <w:footnoteReference w:id="6"/>
      </w:r>
      <w:r w:rsidRPr="00CC5E3B">
        <w:rPr>
          <w:szCs w:val="22"/>
        </w:rPr>
        <w:t xml:space="preserve"> </w:t>
      </w:r>
      <w:r w:rsidR="007E79B2">
        <w:rPr>
          <w:szCs w:val="22"/>
        </w:rPr>
        <w:t xml:space="preserve">of the Rules </w:t>
      </w:r>
      <w:r w:rsidRPr="00CC5E3B">
        <w:rPr>
          <w:szCs w:val="22"/>
        </w:rPr>
        <w:t xml:space="preserve">and (2) its failure to file timely with the Commission the Station’s Children’s Television Programming Reports (FCC Form 398) for four quarters constituted an apparent willful and/or repeated violation of </w:t>
      </w:r>
      <w:r w:rsidR="00B3789F">
        <w:rPr>
          <w:szCs w:val="22"/>
        </w:rPr>
        <w:t>s</w:t>
      </w:r>
      <w:r w:rsidRPr="00CC5E3B">
        <w:rPr>
          <w:szCs w:val="22"/>
        </w:rPr>
        <w:t>ection 73.3526(e)(11)(iii)</w:t>
      </w:r>
      <w:r w:rsidR="007E79B2">
        <w:rPr>
          <w:szCs w:val="22"/>
        </w:rPr>
        <w:t xml:space="preserve"> of the Rules</w:t>
      </w:r>
      <w:r w:rsidRPr="00CC5E3B">
        <w:rPr>
          <w:szCs w:val="22"/>
        </w:rPr>
        <w:t>.</w:t>
      </w:r>
      <w:r w:rsidRPr="00CC5E3B">
        <w:rPr>
          <w:rStyle w:val="FootnoteReference"/>
          <w:sz w:val="22"/>
          <w:szCs w:val="22"/>
        </w:rPr>
        <w:footnoteReference w:id="7"/>
      </w:r>
      <w:r w:rsidRPr="00CC5E3B">
        <w:rPr>
          <w:szCs w:val="22"/>
        </w:rPr>
        <w:t xml:space="preserve">  The Division concluded that the Licensee was apparently liable for a forfeiture </w:t>
      </w:r>
      <w:r w:rsidR="007E79B2">
        <w:rPr>
          <w:szCs w:val="22"/>
        </w:rPr>
        <w:t xml:space="preserve">in the amount </w:t>
      </w:r>
      <w:r w:rsidRPr="00CC5E3B">
        <w:rPr>
          <w:szCs w:val="22"/>
        </w:rPr>
        <w:t>of $16,000.</w:t>
      </w:r>
    </w:p>
    <w:p w14:paraId="6BE30A86" w14:textId="54B4BBFD" w:rsidR="00F7724B" w:rsidRPr="00CC5E3B" w:rsidRDefault="00F7724B" w:rsidP="00F9277B">
      <w:pPr>
        <w:pStyle w:val="ParaNum"/>
        <w:widowControl/>
        <w:rPr>
          <w:szCs w:val="22"/>
        </w:rPr>
      </w:pPr>
      <w:r w:rsidRPr="00CC5E3B">
        <w:rPr>
          <w:szCs w:val="22"/>
        </w:rPr>
        <w:t>In a timely response dated A</w:t>
      </w:r>
      <w:r w:rsidR="004A22CB">
        <w:rPr>
          <w:szCs w:val="22"/>
        </w:rPr>
        <w:t>ugust 20, 2014, the Licensee does</w:t>
      </w:r>
      <w:r w:rsidRPr="00CC5E3B">
        <w:rPr>
          <w:szCs w:val="22"/>
        </w:rPr>
        <w:t xml:space="preserve"> not attempt to rebut the</w:t>
      </w:r>
      <w:r w:rsidR="004A22CB">
        <w:rPr>
          <w:szCs w:val="22"/>
        </w:rPr>
        <w:t xml:space="preserve"> claimed violations</w:t>
      </w:r>
      <w:r w:rsidR="007E79B2">
        <w:rPr>
          <w:szCs w:val="22"/>
        </w:rPr>
        <w:t>,</w:t>
      </w:r>
      <w:r w:rsidR="004A22CB">
        <w:rPr>
          <w:szCs w:val="22"/>
        </w:rPr>
        <w:t xml:space="preserve"> but asserts</w:t>
      </w:r>
      <w:r w:rsidRPr="00CC5E3B">
        <w:rPr>
          <w:szCs w:val="22"/>
        </w:rPr>
        <w:t xml:space="preserve"> that the proposed forfeiture amount should be reduced based on the </w:t>
      </w:r>
      <w:r w:rsidRPr="00CC5E3B">
        <w:rPr>
          <w:szCs w:val="22"/>
        </w:rPr>
        <w:lastRenderedPageBreak/>
        <w:t>Licensee’s inability to pay.</w:t>
      </w:r>
      <w:r w:rsidRPr="00CC5E3B">
        <w:rPr>
          <w:rStyle w:val="FootnoteReference"/>
          <w:sz w:val="22"/>
          <w:szCs w:val="22"/>
        </w:rPr>
        <w:footnoteReference w:id="8"/>
      </w:r>
      <w:r w:rsidRPr="00CC5E3B">
        <w:rPr>
          <w:szCs w:val="22"/>
        </w:rPr>
        <w:t xml:space="preserve">  The Licensee </w:t>
      </w:r>
      <w:r w:rsidR="007E79B2">
        <w:rPr>
          <w:szCs w:val="22"/>
        </w:rPr>
        <w:t xml:space="preserve">has </w:t>
      </w:r>
      <w:r w:rsidRPr="00CC5E3B">
        <w:rPr>
          <w:szCs w:val="22"/>
        </w:rPr>
        <w:t>provide</w:t>
      </w:r>
      <w:r w:rsidR="007E79B2">
        <w:rPr>
          <w:szCs w:val="22"/>
        </w:rPr>
        <w:t>d</w:t>
      </w:r>
      <w:r w:rsidRPr="00CC5E3B">
        <w:rPr>
          <w:szCs w:val="22"/>
        </w:rPr>
        <w:t xml:space="preserve"> its tax returns </w:t>
      </w:r>
      <w:r w:rsidR="007E79B2">
        <w:rPr>
          <w:szCs w:val="22"/>
        </w:rPr>
        <w:t>for</w:t>
      </w:r>
      <w:r w:rsidR="007E79B2" w:rsidRPr="00CC5E3B">
        <w:rPr>
          <w:szCs w:val="22"/>
        </w:rPr>
        <w:t xml:space="preserve"> </w:t>
      </w:r>
      <w:r w:rsidRPr="00CC5E3B">
        <w:rPr>
          <w:szCs w:val="22"/>
        </w:rPr>
        <w:t>the most recent three-year period,</w:t>
      </w:r>
      <w:r w:rsidR="009F2543">
        <w:rPr>
          <w:szCs w:val="22"/>
        </w:rPr>
        <w:t xml:space="preserve"> </w:t>
      </w:r>
      <w:r w:rsidRPr="00CC5E3B">
        <w:rPr>
          <w:szCs w:val="22"/>
        </w:rPr>
        <w:t xml:space="preserve">from the date of the </w:t>
      </w:r>
      <w:r w:rsidRPr="00CC5E3B">
        <w:rPr>
          <w:i/>
          <w:szCs w:val="22"/>
        </w:rPr>
        <w:t>NAL</w:t>
      </w:r>
      <w:r w:rsidRPr="00CC5E3B">
        <w:rPr>
          <w:szCs w:val="22"/>
        </w:rPr>
        <w:t>, to support its claim of inability to pay.</w:t>
      </w:r>
      <w:r w:rsidR="007E79B2" w:rsidRPr="007E79B2">
        <w:rPr>
          <w:rStyle w:val="FootnoteReference"/>
          <w:sz w:val="22"/>
          <w:szCs w:val="22"/>
        </w:rPr>
        <w:t xml:space="preserve"> </w:t>
      </w:r>
      <w:r w:rsidR="007E79B2" w:rsidRPr="00CC5E3B">
        <w:rPr>
          <w:rStyle w:val="FootnoteReference"/>
          <w:sz w:val="22"/>
          <w:szCs w:val="22"/>
        </w:rPr>
        <w:footnoteReference w:id="9"/>
      </w:r>
    </w:p>
    <w:p w14:paraId="0017BA42" w14:textId="77777777" w:rsidR="00F7724B" w:rsidRPr="00CC5E3B" w:rsidRDefault="00F7724B" w:rsidP="00F7724B">
      <w:pPr>
        <w:pStyle w:val="Heading1"/>
        <w:rPr>
          <w:rFonts w:ascii="Times New Roman" w:hAnsi="Times New Roman"/>
          <w:szCs w:val="22"/>
        </w:rPr>
      </w:pPr>
      <w:r w:rsidRPr="00CC5E3B">
        <w:rPr>
          <w:rFonts w:ascii="Times New Roman" w:hAnsi="Times New Roman"/>
          <w:szCs w:val="22"/>
        </w:rPr>
        <w:t>DISCUSSION</w:t>
      </w:r>
    </w:p>
    <w:p w14:paraId="295127F5" w14:textId="77777777" w:rsidR="00F7724B" w:rsidRPr="00CC5E3B" w:rsidRDefault="00F7724B" w:rsidP="00F7724B">
      <w:pPr>
        <w:pStyle w:val="ParaNum"/>
        <w:rPr>
          <w:spacing w:val="-2"/>
          <w:szCs w:val="22"/>
        </w:rPr>
      </w:pPr>
      <w:r w:rsidRPr="00CC5E3B">
        <w:rPr>
          <w:szCs w:val="22"/>
        </w:rPr>
        <w:t>The Commission is authorized to license radio and television broadcast stations and is responsible for enforcing the Commission’s rules and applicable statutory provisions concerning the operation of those stations.  Under section 503(b)(1) of the</w:t>
      </w:r>
      <w:r w:rsidR="003B1BA1">
        <w:rPr>
          <w:szCs w:val="22"/>
        </w:rPr>
        <w:t xml:space="preserve"> Communications Act of 1934, as amended</w:t>
      </w:r>
      <w:r w:rsidRPr="00CC5E3B">
        <w:rPr>
          <w:szCs w:val="22"/>
        </w:rPr>
        <w:t xml:space="preserve"> </w:t>
      </w:r>
      <w:r w:rsidR="003B1BA1">
        <w:rPr>
          <w:szCs w:val="22"/>
        </w:rPr>
        <w:t>(</w:t>
      </w:r>
      <w:r w:rsidRPr="00CC5E3B">
        <w:rPr>
          <w:szCs w:val="22"/>
        </w:rPr>
        <w:t>Act</w:t>
      </w:r>
      <w:r w:rsidR="003B1BA1">
        <w:rPr>
          <w:szCs w:val="22"/>
        </w:rPr>
        <w:t>)</w:t>
      </w:r>
      <w:r w:rsidRPr="00CC5E3B">
        <w:rPr>
          <w:szCs w:val="22"/>
        </w:rPr>
        <w:t>, any person who is determined by the Commission to have willfully or repeatedly failed to comply with any provision of the Act or any rule, regulation, or order issued by the Commission shall be liable to the United States for a forfeiture penalty.</w:t>
      </w:r>
      <w:r w:rsidRPr="00CC5E3B">
        <w:rPr>
          <w:color w:val="000000"/>
          <w:szCs w:val="22"/>
          <w:vertAlign w:val="superscript"/>
        </w:rPr>
        <w:footnoteReference w:id="10"/>
      </w:r>
      <w:r w:rsidRPr="00CC5E3B">
        <w:rPr>
          <w:szCs w:val="22"/>
        </w:rPr>
        <w:t xml:space="preserve">  In order to impose a forfeiture penalty, the Commission must issue a notice of apparent liability, the notice must be received, and the person against whom the notice has been issued must have an opportunity to show, in writing, why no such penalty should be imposed.</w:t>
      </w:r>
      <w:r w:rsidRPr="00CC5E3B">
        <w:rPr>
          <w:szCs w:val="22"/>
          <w:vertAlign w:val="superscript"/>
        </w:rPr>
        <w:footnoteReference w:id="11"/>
      </w:r>
      <w:r w:rsidRPr="00CC5E3B">
        <w:rPr>
          <w:szCs w:val="22"/>
        </w:rPr>
        <w:t xml:space="preserve">  The Commission will then issue a forfeiture order if it finds by a preponderance of the evidence that the person has violated the Act or a Commission rule.</w:t>
      </w:r>
      <w:r w:rsidRPr="00CC5E3B">
        <w:rPr>
          <w:szCs w:val="22"/>
          <w:vertAlign w:val="superscript"/>
        </w:rPr>
        <w:footnoteReference w:id="12"/>
      </w:r>
      <w:r w:rsidRPr="00CC5E3B">
        <w:rPr>
          <w:szCs w:val="22"/>
        </w:rPr>
        <w:t xml:space="preserve">  As we set forth in greater detail below, we conclude that the Licensee is liable for a forfeiture in the amount of $16,000 for its repeated and/or willful violations of sections 73.3526(e)(11)(i)</w:t>
      </w:r>
      <w:r w:rsidRPr="00CC5E3B">
        <w:rPr>
          <w:rStyle w:val="FootnoteReference"/>
          <w:sz w:val="22"/>
          <w:szCs w:val="22"/>
        </w:rPr>
        <w:footnoteReference w:id="13"/>
      </w:r>
      <w:r w:rsidRPr="00CC5E3B">
        <w:rPr>
          <w:szCs w:val="22"/>
        </w:rPr>
        <w:t xml:space="preserve"> and 73.3526(e)(11)(iii)</w:t>
      </w:r>
      <w:r w:rsidR="00674805" w:rsidRPr="00CC5E3B">
        <w:rPr>
          <w:rStyle w:val="FootnoteReference"/>
          <w:sz w:val="22"/>
          <w:szCs w:val="22"/>
        </w:rPr>
        <w:footnoteReference w:id="14"/>
      </w:r>
      <w:r w:rsidR="00AA6233">
        <w:rPr>
          <w:szCs w:val="22"/>
        </w:rPr>
        <w:t xml:space="preserve"> of the </w:t>
      </w:r>
      <w:r w:rsidRPr="00CC5E3B">
        <w:rPr>
          <w:szCs w:val="22"/>
        </w:rPr>
        <w:t xml:space="preserve">Rules.  </w:t>
      </w:r>
    </w:p>
    <w:p w14:paraId="29769B67" w14:textId="77777777" w:rsidR="00F7724B" w:rsidRPr="00E2221F" w:rsidRDefault="00F7724B" w:rsidP="00E2221F">
      <w:pPr>
        <w:pStyle w:val="ParaNum"/>
        <w:rPr>
          <w:szCs w:val="22"/>
        </w:rPr>
      </w:pPr>
      <w:r w:rsidRPr="00E2221F">
        <w:rPr>
          <w:szCs w:val="22"/>
        </w:rPr>
        <w:t>In its response, the Licensee does not dispute that</w:t>
      </w:r>
      <w:r w:rsidR="00E2221F">
        <w:rPr>
          <w:szCs w:val="22"/>
        </w:rPr>
        <w:t xml:space="preserve"> during the license term</w:t>
      </w:r>
      <w:r w:rsidRPr="00E2221F">
        <w:rPr>
          <w:szCs w:val="22"/>
        </w:rPr>
        <w:t xml:space="preserve"> </w:t>
      </w:r>
      <w:r w:rsidR="00E2221F" w:rsidRPr="00E2221F">
        <w:rPr>
          <w:szCs w:val="22"/>
        </w:rPr>
        <w:t xml:space="preserve">it failed to place </w:t>
      </w:r>
      <w:r w:rsidRPr="00E2221F">
        <w:rPr>
          <w:szCs w:val="22"/>
        </w:rPr>
        <w:t>the</w:t>
      </w:r>
      <w:r w:rsidR="00E2221F" w:rsidRPr="00E2221F">
        <w:rPr>
          <w:szCs w:val="22"/>
        </w:rPr>
        <w:t xml:space="preserve"> Station’s</w:t>
      </w:r>
      <w:r w:rsidRPr="00E2221F">
        <w:rPr>
          <w:szCs w:val="22"/>
        </w:rPr>
        <w:t xml:space="preserve"> </w:t>
      </w:r>
      <w:r w:rsidR="00E2221F" w:rsidRPr="00E2221F">
        <w:rPr>
          <w:szCs w:val="22"/>
        </w:rPr>
        <w:t>quarterly</w:t>
      </w:r>
      <w:r w:rsidR="003B1BA1">
        <w:rPr>
          <w:szCs w:val="22"/>
        </w:rPr>
        <w:t xml:space="preserve"> TV</w:t>
      </w:r>
      <w:r w:rsidR="00E2221F" w:rsidRPr="00E2221F">
        <w:rPr>
          <w:szCs w:val="22"/>
        </w:rPr>
        <w:t xml:space="preserve"> </w:t>
      </w:r>
      <w:r w:rsidR="00E2221F">
        <w:rPr>
          <w:szCs w:val="22"/>
        </w:rPr>
        <w:t>issues/programs lists</w:t>
      </w:r>
      <w:r w:rsidR="00E2221F" w:rsidRPr="00E2221F">
        <w:rPr>
          <w:szCs w:val="22"/>
        </w:rPr>
        <w:t xml:space="preserve"> in its public file for 21 quarters </w:t>
      </w:r>
      <w:r w:rsidR="00E2221F">
        <w:rPr>
          <w:szCs w:val="22"/>
        </w:rPr>
        <w:t xml:space="preserve">or that it failed </w:t>
      </w:r>
      <w:r w:rsidR="004A22CB">
        <w:rPr>
          <w:szCs w:val="22"/>
        </w:rPr>
        <w:t xml:space="preserve">to </w:t>
      </w:r>
      <w:r w:rsidR="00E2221F" w:rsidRPr="00E2221F">
        <w:rPr>
          <w:szCs w:val="22"/>
        </w:rPr>
        <w:t xml:space="preserve">timely </w:t>
      </w:r>
      <w:r w:rsidR="00E2221F">
        <w:rPr>
          <w:szCs w:val="22"/>
        </w:rPr>
        <w:t xml:space="preserve">file </w:t>
      </w:r>
      <w:r w:rsidR="00E2221F" w:rsidRPr="00E2221F">
        <w:rPr>
          <w:szCs w:val="22"/>
        </w:rPr>
        <w:t xml:space="preserve">with the Commission the Station’s Children’s </w:t>
      </w:r>
      <w:r w:rsidR="00E2221F">
        <w:rPr>
          <w:szCs w:val="22"/>
        </w:rPr>
        <w:t xml:space="preserve">Television Programming Reports </w:t>
      </w:r>
      <w:r w:rsidR="00E2221F" w:rsidRPr="00E2221F">
        <w:rPr>
          <w:szCs w:val="22"/>
        </w:rPr>
        <w:t>for four quarters</w:t>
      </w:r>
      <w:r w:rsidR="00E2221F">
        <w:rPr>
          <w:szCs w:val="22"/>
        </w:rPr>
        <w:t xml:space="preserve">.  </w:t>
      </w:r>
      <w:r w:rsidRPr="00E2221F">
        <w:rPr>
          <w:szCs w:val="22"/>
        </w:rPr>
        <w:t xml:space="preserve">These deficiencies, regardless of the cause, constitute willful and/or repeated </w:t>
      </w:r>
      <w:r w:rsidR="00674805">
        <w:rPr>
          <w:szCs w:val="22"/>
        </w:rPr>
        <w:t xml:space="preserve">violations </w:t>
      </w:r>
      <w:r w:rsidRPr="00E2221F">
        <w:rPr>
          <w:szCs w:val="22"/>
        </w:rPr>
        <w:t>of the relevant Commission rules.</w:t>
      </w:r>
    </w:p>
    <w:p w14:paraId="463484C7" w14:textId="6D37ECE4" w:rsidR="003B1BA1" w:rsidRPr="00B3789F" w:rsidRDefault="00F7724B" w:rsidP="00F9277B">
      <w:pPr>
        <w:pStyle w:val="ParaNum"/>
        <w:widowControl/>
        <w:rPr>
          <w:spacing w:val="-2"/>
          <w:szCs w:val="22"/>
        </w:rPr>
      </w:pPr>
      <w:r w:rsidRPr="00CC5E3B">
        <w:rPr>
          <w:spacing w:val="-2"/>
          <w:szCs w:val="22"/>
        </w:rPr>
        <w:t xml:space="preserve">The Licensee </w:t>
      </w:r>
      <w:r w:rsidRPr="00CC5E3B">
        <w:rPr>
          <w:szCs w:val="22"/>
        </w:rPr>
        <w:t>argues that it cannot afford to pay the forfeiture.</w:t>
      </w:r>
      <w:r w:rsidRPr="00CC5E3B">
        <w:rPr>
          <w:rStyle w:val="FootnoteReference"/>
          <w:color w:val="000000"/>
          <w:sz w:val="22"/>
          <w:szCs w:val="22"/>
        </w:rPr>
        <w:footnoteReference w:id="15"/>
      </w:r>
      <w:r w:rsidRPr="00CC5E3B">
        <w:rPr>
          <w:szCs w:val="22"/>
        </w:rPr>
        <w:t xml:space="preserve">  The Commission will not consider reducing or canceling a forfeiture in response to inability to pay unless the licensee submits: (1) federal tax returns for the most recent three-year period; (2) financial statements prepared according to generally accepted accounting practices (“GAAP”); or (3) some other reliable and objective documentation that accurately reflects the licensee’s current financial status.</w:t>
      </w:r>
      <w:r w:rsidR="007740CE">
        <w:rPr>
          <w:rStyle w:val="CommentReference"/>
        </w:rPr>
        <w:t xml:space="preserve">  </w:t>
      </w:r>
      <w:r w:rsidRPr="00CC5E3B">
        <w:rPr>
          <w:szCs w:val="22"/>
        </w:rPr>
        <w:t>Typically, the Commission uses gross revenue as the primary measuring stick by which it evaluates a licensee’s ability to pay.</w:t>
      </w:r>
      <w:r w:rsidRPr="00CC5E3B">
        <w:rPr>
          <w:rStyle w:val="FootnoteReference"/>
          <w:color w:val="000000"/>
          <w:sz w:val="22"/>
          <w:szCs w:val="22"/>
        </w:rPr>
        <w:footnoteReference w:id="16"/>
      </w:r>
      <w:r w:rsidR="005461F1">
        <w:rPr>
          <w:szCs w:val="22"/>
        </w:rPr>
        <w:t xml:space="preserve">  </w:t>
      </w:r>
      <w:r w:rsidRPr="00CC5E3B">
        <w:rPr>
          <w:szCs w:val="22"/>
        </w:rPr>
        <w:t xml:space="preserve">All </w:t>
      </w:r>
      <w:r w:rsidRPr="00CC5E3B">
        <w:rPr>
          <w:szCs w:val="22"/>
        </w:rPr>
        <w:lastRenderedPageBreak/>
        <w:t>of a violator’s sources of revenue must be identified, and the requisite financial information regarding them provided, in order for us to consider a request to reduce a forfeiture for inability to pay.</w:t>
      </w:r>
      <w:r w:rsidRPr="00CC5E3B">
        <w:rPr>
          <w:rStyle w:val="FootnoteReference"/>
          <w:color w:val="000000"/>
          <w:sz w:val="22"/>
          <w:szCs w:val="22"/>
        </w:rPr>
        <w:footnoteReference w:id="17"/>
      </w:r>
      <w:r w:rsidRPr="00CC5E3B">
        <w:rPr>
          <w:szCs w:val="22"/>
        </w:rPr>
        <w:t xml:space="preserve">  </w:t>
      </w:r>
    </w:p>
    <w:p w14:paraId="2D434720" w14:textId="3EE32ED0" w:rsidR="00F7724B" w:rsidRPr="003B1BA1" w:rsidRDefault="00F7724B" w:rsidP="003B1BA1">
      <w:pPr>
        <w:pStyle w:val="ParaNum"/>
        <w:rPr>
          <w:spacing w:val="-2"/>
          <w:szCs w:val="22"/>
        </w:rPr>
      </w:pPr>
      <w:r w:rsidRPr="00CC5E3B">
        <w:rPr>
          <w:szCs w:val="22"/>
        </w:rPr>
        <w:t>Here, the Licensee provides financial documentation, its tax returns</w:t>
      </w:r>
      <w:r w:rsidR="004A22CB">
        <w:rPr>
          <w:szCs w:val="22"/>
        </w:rPr>
        <w:t xml:space="preserve"> for </w:t>
      </w:r>
      <w:r w:rsidRPr="00CC5E3B">
        <w:rPr>
          <w:szCs w:val="22"/>
        </w:rPr>
        <w:t>the years 2011, 2012, and 2013,</w:t>
      </w:r>
      <w:r w:rsidRPr="00CC5E3B">
        <w:rPr>
          <w:spacing w:val="-2"/>
          <w:szCs w:val="22"/>
        </w:rPr>
        <w:t xml:space="preserve"> </w:t>
      </w:r>
      <w:r w:rsidRPr="00CC5E3B">
        <w:rPr>
          <w:szCs w:val="22"/>
        </w:rPr>
        <w:t>in an effort to support its argument that it cannot pay the forfeiture amount.</w:t>
      </w:r>
      <w:r w:rsidRPr="00CC5E3B">
        <w:rPr>
          <w:rStyle w:val="FootnoteReference"/>
          <w:color w:val="000000"/>
          <w:sz w:val="22"/>
          <w:szCs w:val="22"/>
        </w:rPr>
        <w:footnoteReference w:id="18"/>
      </w:r>
      <w:r w:rsidR="003B1BA1">
        <w:rPr>
          <w:szCs w:val="22"/>
        </w:rPr>
        <w:t xml:space="preserve">  The Commission evaluates </w:t>
      </w:r>
      <w:r w:rsidRPr="003B1BA1">
        <w:rPr>
          <w:szCs w:val="22"/>
        </w:rPr>
        <w:t xml:space="preserve">the totality of the circumstances surrounding </w:t>
      </w:r>
      <w:r w:rsidR="00305FEF">
        <w:rPr>
          <w:szCs w:val="22"/>
        </w:rPr>
        <w:t>a</w:t>
      </w:r>
      <w:r w:rsidR="00305FEF" w:rsidRPr="003B1BA1">
        <w:rPr>
          <w:szCs w:val="22"/>
        </w:rPr>
        <w:t xml:space="preserve"> </w:t>
      </w:r>
      <w:r w:rsidRPr="003B1BA1">
        <w:rPr>
          <w:szCs w:val="22"/>
        </w:rPr>
        <w:t>Licensee’s ability to pay the forfeiture.  The parent company’s ability to pay is</w:t>
      </w:r>
      <w:r w:rsidR="003B1BA1">
        <w:rPr>
          <w:szCs w:val="22"/>
        </w:rPr>
        <w:t xml:space="preserve"> also</w:t>
      </w:r>
      <w:r w:rsidRPr="003B1BA1">
        <w:rPr>
          <w:szCs w:val="22"/>
        </w:rPr>
        <w:t xml:space="preserve"> relevant in evaluating a subsidiary’s ability to pay the forfeiture.</w:t>
      </w:r>
      <w:r w:rsidRPr="00CC5E3B">
        <w:rPr>
          <w:rStyle w:val="FootnoteReference"/>
          <w:color w:val="212121"/>
          <w:sz w:val="22"/>
          <w:szCs w:val="22"/>
        </w:rPr>
        <w:footnoteReference w:id="19"/>
      </w:r>
      <w:r w:rsidRPr="003B1BA1">
        <w:rPr>
          <w:szCs w:val="22"/>
        </w:rPr>
        <w:t xml:space="preserve">  Because </w:t>
      </w:r>
      <w:r w:rsidR="004A22CB" w:rsidRPr="003B1BA1">
        <w:rPr>
          <w:szCs w:val="22"/>
        </w:rPr>
        <w:t>the L</w:t>
      </w:r>
      <w:r w:rsidRPr="003B1BA1">
        <w:rPr>
          <w:szCs w:val="22"/>
        </w:rPr>
        <w:t>icensee has not provided information from which we can evaluate the financial condition of Licensee’s parent company and i</w:t>
      </w:r>
      <w:r w:rsidR="004E3767">
        <w:rPr>
          <w:szCs w:val="22"/>
        </w:rPr>
        <w:t>ts ownership,</w:t>
      </w:r>
      <w:r w:rsidR="00B90475">
        <w:rPr>
          <w:rStyle w:val="FootnoteReference"/>
          <w:szCs w:val="22"/>
        </w:rPr>
        <w:footnoteReference w:id="20"/>
      </w:r>
      <w:r w:rsidR="004E3767">
        <w:rPr>
          <w:szCs w:val="22"/>
        </w:rPr>
        <w:t xml:space="preserve"> we must reject Licensee’s claim of inability to pay</w:t>
      </w:r>
      <w:r w:rsidRPr="003B1BA1">
        <w:rPr>
          <w:szCs w:val="22"/>
        </w:rPr>
        <w:t>.</w:t>
      </w:r>
      <w:r w:rsidRPr="003B1BA1">
        <w:rPr>
          <w:spacing w:val="-2"/>
          <w:szCs w:val="22"/>
        </w:rPr>
        <w:t xml:space="preserve">   </w:t>
      </w:r>
    </w:p>
    <w:p w14:paraId="090C502C" w14:textId="746C2B9C" w:rsidR="00F7724B" w:rsidRPr="00CC5E3B" w:rsidRDefault="00F7724B" w:rsidP="00F7724B">
      <w:pPr>
        <w:pStyle w:val="ParaNum"/>
        <w:rPr>
          <w:spacing w:val="-2"/>
          <w:szCs w:val="22"/>
        </w:rPr>
      </w:pPr>
      <w:r w:rsidRPr="00CC5E3B">
        <w:rPr>
          <w:szCs w:val="22"/>
        </w:rPr>
        <w:t xml:space="preserve">The Commission’s </w:t>
      </w:r>
      <w:r w:rsidRPr="00CC5E3B">
        <w:rPr>
          <w:i/>
          <w:szCs w:val="22"/>
        </w:rPr>
        <w:t>Forfeiture Policy Statement</w:t>
      </w:r>
      <w:r w:rsidR="00244622">
        <w:rPr>
          <w:szCs w:val="22"/>
        </w:rPr>
        <w:t xml:space="preserve"> and s</w:t>
      </w:r>
      <w:r w:rsidRPr="00CC5E3B">
        <w:rPr>
          <w:szCs w:val="22"/>
        </w:rPr>
        <w:t>ection 1.80(b)(4) of the Rules establish a base forfeiture amount of $3,000 for failure to file a required form or information and a base forfeiture amount of $10</w:t>
      </w:r>
      <w:r w:rsidRPr="005461F1">
        <w:rPr>
          <w:szCs w:val="22"/>
        </w:rPr>
        <w:t>,000 for public file violations.</w:t>
      </w:r>
      <w:r w:rsidRPr="005461F1">
        <w:rPr>
          <w:rStyle w:val="FootnoteReference"/>
          <w:sz w:val="22"/>
          <w:szCs w:val="22"/>
        </w:rPr>
        <w:footnoteReference w:id="21"/>
      </w:r>
      <w:r w:rsidRPr="005461F1">
        <w:rPr>
          <w:szCs w:val="22"/>
        </w:rPr>
        <w:t xml:space="preserve">  In determining the appropriate forfeiture amount, the Commission may adjust the base amount upward or downward</w:t>
      </w:r>
      <w:r w:rsidR="0083226D">
        <w:rPr>
          <w:szCs w:val="22"/>
        </w:rPr>
        <w:t xml:space="preserve"> by considering the factors in s</w:t>
      </w:r>
      <w:r w:rsidRPr="005461F1">
        <w:rPr>
          <w:szCs w:val="22"/>
        </w:rPr>
        <w:t xml:space="preserve">ection 503(b)(2)(E), which include “the nature, circumstances, extent, and gravity of the violation and, with respect to the violator, the degree of culpability, any history of prior offenses, ability to pay, and such other matters as justice may require.”  In the </w:t>
      </w:r>
      <w:r w:rsidRPr="005461F1">
        <w:rPr>
          <w:i/>
          <w:szCs w:val="22"/>
        </w:rPr>
        <w:t>NAL</w:t>
      </w:r>
      <w:r w:rsidRPr="005461F1">
        <w:rPr>
          <w:szCs w:val="22"/>
        </w:rPr>
        <w:t>, the Division considered such factors and proposed a forfeiture amount of $16,000.</w:t>
      </w:r>
      <w:r w:rsidRPr="005461F1">
        <w:rPr>
          <w:rStyle w:val="FootnoteReference"/>
          <w:sz w:val="22"/>
          <w:szCs w:val="22"/>
        </w:rPr>
        <w:footnoteReference w:id="22"/>
      </w:r>
      <w:r w:rsidRPr="005461F1">
        <w:rPr>
          <w:szCs w:val="22"/>
        </w:rPr>
        <w:t xml:space="preserve">   Because the Licensee has not provided </w:t>
      </w:r>
      <w:r w:rsidR="00AA6233">
        <w:rPr>
          <w:szCs w:val="22"/>
        </w:rPr>
        <w:t xml:space="preserve">sufficient financial </w:t>
      </w:r>
      <w:r w:rsidRPr="005461F1">
        <w:rPr>
          <w:szCs w:val="22"/>
        </w:rPr>
        <w:t xml:space="preserve">information from which we can evaluate </w:t>
      </w:r>
      <w:r w:rsidR="00AA6233">
        <w:rPr>
          <w:szCs w:val="22"/>
        </w:rPr>
        <w:t xml:space="preserve">its </w:t>
      </w:r>
      <w:r w:rsidRPr="005461F1">
        <w:rPr>
          <w:szCs w:val="22"/>
        </w:rPr>
        <w:t xml:space="preserve">claim of inability to pay, we find the Licensee’s violations warrants the forfeiture proposed in the </w:t>
      </w:r>
      <w:r w:rsidRPr="005461F1">
        <w:rPr>
          <w:i/>
          <w:szCs w:val="22"/>
        </w:rPr>
        <w:t>NAL</w:t>
      </w:r>
      <w:r w:rsidRPr="005461F1">
        <w:rPr>
          <w:spacing w:val="-2"/>
          <w:szCs w:val="22"/>
        </w:rPr>
        <w:t>.  Accordingly, we find that the Licensee is liable in the amount of $16,000 for its willful</w:t>
      </w:r>
      <w:r w:rsidR="009F2543">
        <w:rPr>
          <w:spacing w:val="-2"/>
          <w:szCs w:val="22"/>
        </w:rPr>
        <w:t xml:space="preserve"> and/or repeated violations of s</w:t>
      </w:r>
      <w:r w:rsidRPr="005461F1">
        <w:rPr>
          <w:spacing w:val="-2"/>
          <w:szCs w:val="22"/>
        </w:rPr>
        <w:t xml:space="preserve">ections </w:t>
      </w:r>
      <w:r w:rsidRPr="005461F1">
        <w:rPr>
          <w:szCs w:val="22"/>
        </w:rPr>
        <w:t>73.3526(e)(11)(i)</w:t>
      </w:r>
      <w:r w:rsidRPr="005461F1">
        <w:rPr>
          <w:rStyle w:val="FootnoteReference"/>
          <w:sz w:val="22"/>
          <w:szCs w:val="22"/>
        </w:rPr>
        <w:footnoteReference w:id="23"/>
      </w:r>
      <w:r w:rsidRPr="005461F1">
        <w:rPr>
          <w:szCs w:val="22"/>
        </w:rPr>
        <w:t xml:space="preserve"> and 73.3526(e)(11)(iii)</w:t>
      </w:r>
      <w:r w:rsidR="00BA3200" w:rsidRPr="005461F1">
        <w:rPr>
          <w:rStyle w:val="FootnoteReference"/>
          <w:sz w:val="22"/>
          <w:szCs w:val="22"/>
        </w:rPr>
        <w:footnoteReference w:id="24"/>
      </w:r>
      <w:r w:rsidR="00BA3200" w:rsidRPr="005461F1">
        <w:rPr>
          <w:szCs w:val="22"/>
        </w:rPr>
        <w:t xml:space="preserve"> </w:t>
      </w:r>
      <w:r w:rsidRPr="005461F1">
        <w:rPr>
          <w:szCs w:val="22"/>
        </w:rPr>
        <w:t xml:space="preserve"> </w:t>
      </w:r>
      <w:r w:rsidR="005461F1" w:rsidRPr="005461F1">
        <w:rPr>
          <w:szCs w:val="22"/>
        </w:rPr>
        <w:t xml:space="preserve">of the </w:t>
      </w:r>
      <w:r w:rsidRPr="005461F1">
        <w:rPr>
          <w:szCs w:val="22"/>
        </w:rPr>
        <w:t>Rules.</w:t>
      </w:r>
      <w:r w:rsidRPr="005461F1">
        <w:rPr>
          <w:rStyle w:val="FootnoteReference"/>
          <w:sz w:val="22"/>
          <w:szCs w:val="22"/>
        </w:rPr>
        <w:footnoteReference w:id="25"/>
      </w:r>
      <w:r w:rsidRPr="005461F1">
        <w:rPr>
          <w:szCs w:val="22"/>
        </w:rPr>
        <w:t xml:space="preserve">  </w:t>
      </w:r>
    </w:p>
    <w:p w14:paraId="386C6EA4" w14:textId="77777777" w:rsidR="00F7724B" w:rsidRPr="00CC5E3B" w:rsidRDefault="00F7724B" w:rsidP="00F7724B">
      <w:pPr>
        <w:pStyle w:val="Heading1"/>
        <w:rPr>
          <w:rFonts w:ascii="Times New Roman" w:hAnsi="Times New Roman"/>
          <w:szCs w:val="22"/>
        </w:rPr>
      </w:pPr>
      <w:r w:rsidRPr="00CC5E3B">
        <w:rPr>
          <w:rFonts w:ascii="Times New Roman" w:hAnsi="Times New Roman"/>
          <w:szCs w:val="22"/>
        </w:rPr>
        <w:t>ORDERING CLAUSES</w:t>
      </w:r>
    </w:p>
    <w:p w14:paraId="32DD6E6F" w14:textId="46848508" w:rsidR="00F7724B" w:rsidRPr="00CC5E3B" w:rsidRDefault="00F7724B" w:rsidP="00F9277B">
      <w:pPr>
        <w:pStyle w:val="ParaNum"/>
        <w:widowControl/>
        <w:rPr>
          <w:szCs w:val="22"/>
        </w:rPr>
      </w:pPr>
      <w:r w:rsidRPr="00CC5E3B">
        <w:rPr>
          <w:szCs w:val="22"/>
        </w:rPr>
        <w:t>ACCORDINGLY, IT IS ORDERED THAT, pursuant to section 503(b) of the Communication</w:t>
      </w:r>
      <w:r w:rsidR="009F2543">
        <w:rPr>
          <w:szCs w:val="22"/>
        </w:rPr>
        <w:t>s Act of 1934, as amended, and s</w:t>
      </w:r>
      <w:r w:rsidRPr="00CC5E3B">
        <w:rPr>
          <w:szCs w:val="22"/>
        </w:rPr>
        <w:t>ec</w:t>
      </w:r>
      <w:r w:rsidR="0083226D">
        <w:rPr>
          <w:szCs w:val="22"/>
        </w:rPr>
        <w:t xml:space="preserve">tions 0.61(f)(1) and 1.80(a)(1) and </w:t>
      </w:r>
      <w:r w:rsidRPr="00CC5E3B">
        <w:rPr>
          <w:szCs w:val="22"/>
        </w:rPr>
        <w:t>(2) of the Commission’s rules</w:t>
      </w:r>
      <w:r w:rsidRPr="00CC5E3B">
        <w:rPr>
          <w:spacing w:val="-2"/>
          <w:szCs w:val="22"/>
        </w:rPr>
        <w:t>,</w:t>
      </w:r>
      <w:r w:rsidRPr="00CC5E3B">
        <w:rPr>
          <w:rStyle w:val="FootnoteReference"/>
          <w:spacing w:val="-2"/>
          <w:sz w:val="22"/>
          <w:szCs w:val="22"/>
        </w:rPr>
        <w:footnoteReference w:id="26"/>
      </w:r>
      <w:r w:rsidRPr="00CC5E3B">
        <w:rPr>
          <w:szCs w:val="22"/>
        </w:rPr>
        <w:t xml:space="preserve"> SATV10, LLC SHALL FORFEIT to the United States the sum of </w:t>
      </w:r>
      <w:r w:rsidR="005461F1">
        <w:rPr>
          <w:szCs w:val="22"/>
        </w:rPr>
        <w:t>S</w:t>
      </w:r>
      <w:r w:rsidRPr="00CC5E3B">
        <w:rPr>
          <w:szCs w:val="22"/>
        </w:rPr>
        <w:t xml:space="preserve">ixteen </w:t>
      </w:r>
      <w:r w:rsidR="005461F1">
        <w:rPr>
          <w:szCs w:val="22"/>
        </w:rPr>
        <w:lastRenderedPageBreak/>
        <w:t>Thousand Dollars ($16</w:t>
      </w:r>
      <w:r w:rsidRPr="00CC5E3B">
        <w:rPr>
          <w:szCs w:val="22"/>
        </w:rPr>
        <w:t xml:space="preserve">,000) for repeatedly violating </w:t>
      </w:r>
      <w:r w:rsidR="00B3789F">
        <w:rPr>
          <w:szCs w:val="22"/>
        </w:rPr>
        <w:t>s</w:t>
      </w:r>
      <w:r w:rsidR="003B1BA1">
        <w:rPr>
          <w:szCs w:val="22"/>
        </w:rPr>
        <w:t>ections</w:t>
      </w:r>
      <w:r w:rsidRPr="00CC5E3B">
        <w:rPr>
          <w:szCs w:val="22"/>
        </w:rPr>
        <w:t xml:space="preserve"> </w:t>
      </w:r>
      <w:r w:rsidR="005461F1" w:rsidRPr="00CC5E3B">
        <w:rPr>
          <w:szCs w:val="22"/>
        </w:rPr>
        <w:t>73.3526(e)(11)(i) and 73.3526(e)(11)(iii)</w:t>
      </w:r>
      <w:r w:rsidR="003B1BA1">
        <w:rPr>
          <w:szCs w:val="22"/>
        </w:rPr>
        <w:t xml:space="preserve"> of the Rules</w:t>
      </w:r>
      <w:r w:rsidR="005461F1">
        <w:rPr>
          <w:szCs w:val="22"/>
        </w:rPr>
        <w:t>.</w:t>
      </w:r>
      <w:r w:rsidR="003B1BA1">
        <w:rPr>
          <w:rStyle w:val="FootnoteReference"/>
          <w:szCs w:val="22"/>
        </w:rPr>
        <w:footnoteReference w:id="27"/>
      </w:r>
    </w:p>
    <w:p w14:paraId="73E25E87" w14:textId="77777777" w:rsidR="00F7724B" w:rsidRPr="00CC5E3B" w:rsidRDefault="00F7724B" w:rsidP="00B3789F">
      <w:pPr>
        <w:pStyle w:val="ParaNum"/>
        <w:widowControl/>
        <w:rPr>
          <w:szCs w:val="22"/>
        </w:rPr>
      </w:pPr>
      <w:r w:rsidRPr="00CC5E3B">
        <w:rPr>
          <w:szCs w:val="22"/>
        </w:rPr>
        <w:t>Payment of the forfeiture SHALL be made</w:t>
      </w:r>
      <w:r w:rsidR="009F2543">
        <w:rPr>
          <w:szCs w:val="22"/>
        </w:rPr>
        <w:t xml:space="preserve"> in the manner provided for in s</w:t>
      </w:r>
      <w:r w:rsidRPr="00CC5E3B">
        <w:rPr>
          <w:szCs w:val="22"/>
        </w:rPr>
        <w:t xml:space="preserve">ection 1.80(h) of the Commission’s rules within thirty (30) calendar days after the release date of this </w:t>
      </w:r>
      <w:r w:rsidRPr="00CC5E3B">
        <w:rPr>
          <w:i/>
          <w:szCs w:val="22"/>
        </w:rPr>
        <w:t>Forfeiture Order</w:t>
      </w:r>
      <w:r w:rsidRPr="00CC5E3B">
        <w:rPr>
          <w:szCs w:val="22"/>
        </w:rPr>
        <w:t>.</w:t>
      </w:r>
      <w:r w:rsidRPr="00CC5E3B">
        <w:rPr>
          <w:szCs w:val="22"/>
          <w:vertAlign w:val="superscript"/>
        </w:rPr>
        <w:footnoteReference w:id="28"/>
      </w:r>
      <w:r w:rsidRPr="00CC5E3B">
        <w:rPr>
          <w:szCs w:val="22"/>
        </w:rPr>
        <w:t xml:space="preserve">  If the forfeiture is not paid within the period specified, the case may be referred to the U.S. Department of Justice for enforcement of the forfeiture </w:t>
      </w:r>
      <w:r w:rsidR="009F2543">
        <w:rPr>
          <w:szCs w:val="22"/>
        </w:rPr>
        <w:t>pursuant to s</w:t>
      </w:r>
      <w:r w:rsidRPr="00CC5E3B">
        <w:rPr>
          <w:szCs w:val="22"/>
        </w:rPr>
        <w:t>ection 504(a) of the Communications Act of 1934, as amended.</w:t>
      </w:r>
      <w:r w:rsidRPr="00CC5E3B">
        <w:rPr>
          <w:szCs w:val="22"/>
          <w:vertAlign w:val="superscript"/>
        </w:rPr>
        <w:footnoteReference w:id="29"/>
      </w:r>
      <w:r w:rsidRPr="00CC5E3B">
        <w:rPr>
          <w:szCs w:val="22"/>
        </w:rPr>
        <w:t xml:space="preserve">  </w:t>
      </w:r>
    </w:p>
    <w:p w14:paraId="4E5168D0" w14:textId="77777777" w:rsidR="00F7724B" w:rsidRPr="00CC5E3B" w:rsidRDefault="00F7724B" w:rsidP="00F7724B">
      <w:pPr>
        <w:pStyle w:val="ParaNum"/>
        <w:rPr>
          <w:szCs w:val="22"/>
        </w:rPr>
      </w:pPr>
      <w:r w:rsidRPr="00CC5E3B">
        <w:rPr>
          <w:szCs w:val="22"/>
        </w:rPr>
        <w:t xml:space="preserve">Payments of the forfeiture must be made by check or similar instrument, wire transfer, or credit card, and must include the FRN referenced above.  </w:t>
      </w:r>
      <w:r w:rsidRPr="00CC5E3B">
        <w:rPr>
          <w:iCs/>
          <w:szCs w:val="22"/>
        </w:rPr>
        <w:t>An FCC Form 159 (Remittance Advice) must be submitted with payment unless payment is made online at the Commission’s Fee Filer website</w:t>
      </w:r>
      <w:r w:rsidRPr="00CC5E3B">
        <w:rPr>
          <w:szCs w:val="22"/>
        </w:rPr>
        <w:t>.</w:t>
      </w:r>
      <w:r w:rsidRPr="00CC5E3B">
        <w:rPr>
          <w:rStyle w:val="FootnoteReference"/>
          <w:sz w:val="22"/>
          <w:szCs w:val="22"/>
        </w:rPr>
        <w:footnoteReference w:id="30"/>
      </w:r>
      <w:r w:rsidRPr="00CC5E3B">
        <w:rPr>
          <w:szCs w:val="22"/>
        </w:rPr>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r w:rsidRPr="00CC5E3B">
        <w:rPr>
          <w:rStyle w:val="FootnoteReference"/>
          <w:sz w:val="22"/>
          <w:szCs w:val="22"/>
        </w:rPr>
        <w:footnoteReference w:id="31"/>
      </w:r>
      <w:r w:rsidRPr="00CC5E3B">
        <w:rPr>
          <w:szCs w:val="22"/>
        </w:rPr>
        <w:t xml:space="preserve"> </w:t>
      </w:r>
    </w:p>
    <w:p w14:paraId="242ED280" w14:textId="77777777" w:rsidR="00F7724B" w:rsidRPr="00CC5E3B" w:rsidRDefault="00F7724B" w:rsidP="00F7724B">
      <w:pPr>
        <w:pStyle w:val="ParaNum"/>
        <w:numPr>
          <w:ilvl w:val="0"/>
          <w:numId w:val="9"/>
        </w:numPr>
        <w:rPr>
          <w:spacing w:val="-2"/>
          <w:szCs w:val="22"/>
        </w:rPr>
      </w:pPr>
      <w:r w:rsidRPr="00CC5E3B">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334E314C" w14:textId="77777777" w:rsidR="00F7724B" w:rsidRPr="00CC5E3B" w:rsidRDefault="00F7724B" w:rsidP="00F7724B">
      <w:pPr>
        <w:pStyle w:val="ParaNum"/>
        <w:widowControl/>
        <w:numPr>
          <w:ilvl w:val="0"/>
          <w:numId w:val="9"/>
        </w:numPr>
        <w:rPr>
          <w:spacing w:val="-2"/>
          <w:szCs w:val="22"/>
        </w:rPr>
      </w:pPr>
      <w:r w:rsidRPr="00CC5E3B">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9C5FE4F" w14:textId="77777777" w:rsidR="00F7724B" w:rsidRPr="00CC5E3B" w:rsidRDefault="00F7724B" w:rsidP="00F7724B">
      <w:pPr>
        <w:pStyle w:val="ParaNum"/>
        <w:numPr>
          <w:ilvl w:val="0"/>
          <w:numId w:val="9"/>
        </w:numPr>
        <w:rPr>
          <w:spacing w:val="-2"/>
          <w:szCs w:val="22"/>
        </w:rPr>
      </w:pPr>
      <w:r w:rsidRPr="00CC5E3B">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BBA0467" w14:textId="77777777" w:rsidR="00F7724B" w:rsidRPr="00CC5E3B" w:rsidRDefault="00F7724B" w:rsidP="00F7724B">
      <w:pPr>
        <w:pStyle w:val="ParaNum"/>
        <w:rPr>
          <w:szCs w:val="22"/>
        </w:rPr>
      </w:pPr>
      <w:r w:rsidRPr="00CC5E3B">
        <w:rPr>
          <w:szCs w:val="22"/>
        </w:rPr>
        <w:t xml:space="preserve">Requests for full payment of the forfeiture in this </w:t>
      </w:r>
      <w:r w:rsidRPr="00CC5E3B">
        <w:rPr>
          <w:i/>
          <w:szCs w:val="22"/>
        </w:rPr>
        <w:t>Forfeiture Order</w:t>
      </w:r>
      <w:r w:rsidRPr="00CC5E3B">
        <w:rPr>
          <w:szCs w:val="22"/>
        </w:rPr>
        <w:t xml:space="preserve"> under the installment plan should be sent to: Associate Managing Director- Financial Operations, 445 12th Street, S.W., Room 1-A625, Washington, D.C. 20554.</w:t>
      </w:r>
      <w:r w:rsidRPr="00CC5E3B">
        <w:rPr>
          <w:rStyle w:val="FootnoteReference"/>
          <w:sz w:val="22"/>
          <w:szCs w:val="22"/>
        </w:rPr>
        <w:footnoteReference w:id="32"/>
      </w:r>
    </w:p>
    <w:p w14:paraId="798369FB" w14:textId="77777777" w:rsidR="00C63511" w:rsidRDefault="00C63511">
      <w:pPr>
        <w:widowControl/>
        <w:rPr>
          <w:szCs w:val="22"/>
        </w:rPr>
      </w:pPr>
      <w:r>
        <w:rPr>
          <w:szCs w:val="22"/>
        </w:rPr>
        <w:br w:type="page"/>
      </w:r>
    </w:p>
    <w:p w14:paraId="4A47A5E1" w14:textId="1E713ED0" w:rsidR="00F7724B" w:rsidRDefault="00F7724B" w:rsidP="003F3609">
      <w:pPr>
        <w:pStyle w:val="ParaNum"/>
        <w:rPr>
          <w:szCs w:val="22"/>
        </w:rPr>
      </w:pPr>
      <w:r w:rsidRPr="00CC5E3B">
        <w:rPr>
          <w:szCs w:val="22"/>
        </w:rPr>
        <w:t xml:space="preserve"> IT IS FURTHER ORDERED THAT a copy of this </w:t>
      </w:r>
      <w:r w:rsidRPr="00CC5E3B">
        <w:rPr>
          <w:i/>
          <w:szCs w:val="22"/>
        </w:rPr>
        <w:t>Forfeiture Order</w:t>
      </w:r>
      <w:r w:rsidRPr="00CC5E3B">
        <w:rPr>
          <w:szCs w:val="22"/>
        </w:rPr>
        <w:t xml:space="preserve"> shall be sent by Certified Mail Return Receipt Requested to</w:t>
      </w:r>
      <w:r w:rsidRPr="00CC5E3B">
        <w:rPr>
          <w:szCs w:val="22"/>
          <w:shd w:val="clear" w:color="auto" w:fill="FFFFFF"/>
        </w:rPr>
        <w:t xml:space="preserve"> SATV10, LLC, 3680 South Maryland Parkway, Suite 102, Las Vegas, NV, 89169, </w:t>
      </w:r>
      <w:r w:rsidRPr="00CC5E3B">
        <w:rPr>
          <w:szCs w:val="22"/>
        </w:rPr>
        <w:t>and to its counsel, David O’Neil, Esq., 1200 New Hampshire Avenue, NW, Suite 600, Washington, DC 20036.</w:t>
      </w:r>
    </w:p>
    <w:p w14:paraId="39B38700" w14:textId="77777777" w:rsidR="003B1BA1" w:rsidRDefault="003B1BA1" w:rsidP="003B1BA1">
      <w:pPr>
        <w:pStyle w:val="ParaNum"/>
        <w:numPr>
          <w:ilvl w:val="0"/>
          <w:numId w:val="0"/>
        </w:numPr>
        <w:ind w:left="720"/>
        <w:rPr>
          <w:szCs w:val="22"/>
        </w:rPr>
      </w:pPr>
    </w:p>
    <w:p w14:paraId="374ED1CF" w14:textId="77777777" w:rsidR="003B1BA1" w:rsidRPr="003F3609" w:rsidRDefault="003B1BA1" w:rsidP="003B1BA1">
      <w:pPr>
        <w:pStyle w:val="ParaNum"/>
        <w:numPr>
          <w:ilvl w:val="0"/>
          <w:numId w:val="0"/>
        </w:numPr>
        <w:ind w:left="720"/>
        <w:rPr>
          <w:szCs w:val="22"/>
        </w:rPr>
      </w:pPr>
    </w:p>
    <w:p w14:paraId="65D3BEA0" w14:textId="77777777" w:rsidR="003B1BA1" w:rsidRDefault="003B1BA1" w:rsidP="0017296B">
      <w:r>
        <w:tab/>
      </w:r>
      <w:r>
        <w:tab/>
      </w:r>
      <w:r>
        <w:tab/>
      </w:r>
      <w:r>
        <w:tab/>
      </w:r>
      <w:r>
        <w:tab/>
      </w:r>
      <w:r>
        <w:tab/>
        <w:t>FEDERAL COMMUNICATIONS COMMISSION</w:t>
      </w:r>
    </w:p>
    <w:p w14:paraId="0744E475" w14:textId="77777777" w:rsidR="003B1BA1" w:rsidRDefault="003B1BA1" w:rsidP="0017296B"/>
    <w:p w14:paraId="78FD184B" w14:textId="77777777" w:rsidR="003B1BA1" w:rsidRDefault="003B1BA1" w:rsidP="0017296B"/>
    <w:p w14:paraId="2099F381" w14:textId="77777777" w:rsidR="003B1BA1" w:rsidRDefault="003B1BA1" w:rsidP="0017296B"/>
    <w:p w14:paraId="4D1F51E3" w14:textId="77777777" w:rsidR="003B1BA1" w:rsidRDefault="003B1BA1" w:rsidP="0017296B"/>
    <w:p w14:paraId="459549E1" w14:textId="77777777" w:rsidR="003B1BA1" w:rsidRDefault="003B1BA1" w:rsidP="0017296B">
      <w:r>
        <w:tab/>
      </w:r>
      <w:r>
        <w:tab/>
      </w:r>
      <w:r>
        <w:tab/>
      </w:r>
      <w:r>
        <w:tab/>
      </w:r>
      <w:r>
        <w:tab/>
      </w:r>
      <w:r>
        <w:tab/>
        <w:t>Barbara A. Kreisman</w:t>
      </w:r>
    </w:p>
    <w:p w14:paraId="0B402378" w14:textId="77777777" w:rsidR="003B1BA1" w:rsidRDefault="003B1BA1" w:rsidP="0017296B">
      <w:r>
        <w:tab/>
      </w:r>
      <w:r>
        <w:tab/>
      </w:r>
      <w:r>
        <w:tab/>
      </w:r>
      <w:r>
        <w:tab/>
      </w:r>
      <w:r>
        <w:tab/>
      </w:r>
      <w:r>
        <w:tab/>
        <w:t>Chief, Video Division</w:t>
      </w:r>
    </w:p>
    <w:p w14:paraId="369D6732" w14:textId="77777777" w:rsidR="002C00E8" w:rsidRPr="001358F7" w:rsidRDefault="003B1BA1" w:rsidP="003B1BA1">
      <w:pPr>
        <w:jc w:val="both"/>
      </w:pPr>
      <w:r>
        <w:tab/>
      </w:r>
      <w:r>
        <w:tab/>
      </w:r>
      <w:r>
        <w:tab/>
      </w:r>
      <w:r>
        <w:tab/>
      </w:r>
      <w:r>
        <w:tab/>
      </w:r>
      <w:r>
        <w:tab/>
        <w:t>Media Bureau</w:t>
      </w:r>
      <w:r w:rsidR="00F7724B" w:rsidRPr="00CC5E3B">
        <w:rPr>
          <w:szCs w:val="22"/>
        </w:rPr>
        <w:tab/>
      </w:r>
    </w:p>
    <w:sectPr w:rsidR="002C00E8" w:rsidRPr="001358F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06D0B" w14:textId="77777777" w:rsidR="00AD3418" w:rsidRDefault="00AD3418">
      <w:pPr>
        <w:spacing w:line="20" w:lineRule="exact"/>
      </w:pPr>
    </w:p>
  </w:endnote>
  <w:endnote w:type="continuationSeparator" w:id="0">
    <w:p w14:paraId="2ECF3BF3" w14:textId="77777777" w:rsidR="00AD3418" w:rsidRDefault="00AD3418">
      <w:r>
        <w:t xml:space="preserve"> </w:t>
      </w:r>
    </w:p>
  </w:endnote>
  <w:endnote w:type="continuationNotice" w:id="1">
    <w:p w14:paraId="0DFA929A" w14:textId="77777777" w:rsidR="00AD3418" w:rsidRDefault="00AD34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B61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EBB8BE2"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3968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961B0">
      <w:rPr>
        <w:noProof/>
      </w:rPr>
      <w:t>4</w:t>
    </w:r>
    <w:r>
      <w:fldChar w:fldCharType="end"/>
    </w:r>
  </w:p>
  <w:p w14:paraId="4892D4F8"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2AD0"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A65BD" w14:textId="77777777" w:rsidR="00AD3418" w:rsidRDefault="00AD3418">
      <w:r>
        <w:separator/>
      </w:r>
    </w:p>
  </w:footnote>
  <w:footnote w:type="continuationSeparator" w:id="0">
    <w:p w14:paraId="7370BC2E" w14:textId="77777777" w:rsidR="00AD3418" w:rsidRDefault="00AD3418" w:rsidP="00C721AC">
      <w:pPr>
        <w:spacing w:before="120"/>
        <w:rPr>
          <w:sz w:val="20"/>
        </w:rPr>
      </w:pPr>
      <w:r>
        <w:rPr>
          <w:sz w:val="20"/>
        </w:rPr>
        <w:t xml:space="preserve">(Continued from previous page)  </w:t>
      </w:r>
      <w:r>
        <w:rPr>
          <w:sz w:val="20"/>
        </w:rPr>
        <w:separator/>
      </w:r>
    </w:p>
  </w:footnote>
  <w:footnote w:type="continuationNotice" w:id="1">
    <w:p w14:paraId="064C8172" w14:textId="77777777" w:rsidR="00AD3418" w:rsidRDefault="00AD3418" w:rsidP="00C721AC">
      <w:pPr>
        <w:jc w:val="right"/>
        <w:rPr>
          <w:sz w:val="20"/>
        </w:rPr>
      </w:pPr>
      <w:r>
        <w:rPr>
          <w:sz w:val="20"/>
        </w:rPr>
        <w:t>(continued….)</w:t>
      </w:r>
    </w:p>
  </w:footnote>
  <w:footnote w:id="2">
    <w:p w14:paraId="6B04B7B0" w14:textId="6D45D55B" w:rsidR="00F7724B" w:rsidRPr="001358F7" w:rsidRDefault="00F7724B" w:rsidP="00B3789F">
      <w:pPr>
        <w:pStyle w:val="FootnoteText"/>
      </w:pPr>
      <w:r w:rsidRPr="001358F7">
        <w:rPr>
          <w:rStyle w:val="FootnoteReference"/>
        </w:rPr>
        <w:footnoteRef/>
      </w:r>
      <w:r w:rsidRPr="001358F7">
        <w:t xml:space="preserve">  47 C</w:t>
      </w:r>
      <w:r w:rsidR="006376C8">
        <w:t>.F.R. §§ 0.61(f)(1), 1.80(a)(1)-</w:t>
      </w:r>
      <w:r w:rsidRPr="001358F7">
        <w:t>(2).</w:t>
      </w:r>
    </w:p>
  </w:footnote>
  <w:footnote w:id="3">
    <w:p w14:paraId="2F07DD8A" w14:textId="77777777" w:rsidR="00F7724B" w:rsidRPr="001358F7" w:rsidRDefault="00F7724B" w:rsidP="001F0248">
      <w:pPr>
        <w:pStyle w:val="FootnoteText"/>
      </w:pPr>
      <w:r w:rsidRPr="001358F7">
        <w:rPr>
          <w:rStyle w:val="FootnoteReference"/>
        </w:rPr>
        <w:footnoteRef/>
      </w:r>
      <w:r w:rsidRPr="001358F7">
        <w:t xml:space="preserve"> 47 C.F.R. § 73.3526(e)(11)(i).</w:t>
      </w:r>
    </w:p>
  </w:footnote>
  <w:footnote w:id="4">
    <w:p w14:paraId="5BCAC1AF" w14:textId="77777777" w:rsidR="00F7724B" w:rsidRPr="001358F7" w:rsidRDefault="00F7724B" w:rsidP="00305FEF">
      <w:pPr>
        <w:pStyle w:val="FootnoteText"/>
      </w:pPr>
      <w:r w:rsidRPr="001358F7">
        <w:rPr>
          <w:rStyle w:val="FootnoteReference"/>
        </w:rPr>
        <w:footnoteRef/>
      </w:r>
      <w:r w:rsidRPr="001358F7">
        <w:t xml:space="preserve"> 47 C.F.R. § 73.3526(e)(11)(iii).  </w:t>
      </w:r>
    </w:p>
  </w:footnote>
  <w:footnote w:id="5">
    <w:p w14:paraId="0C754C84" w14:textId="77777777" w:rsidR="00F7724B" w:rsidRPr="001358F7" w:rsidRDefault="00F7724B" w:rsidP="00B3789F">
      <w:pPr>
        <w:pStyle w:val="FootnoteText"/>
      </w:pPr>
      <w:r w:rsidRPr="001358F7">
        <w:rPr>
          <w:rStyle w:val="FootnoteReference"/>
        </w:rPr>
        <w:footnoteRef/>
      </w:r>
      <w:r w:rsidRPr="001358F7">
        <w:t xml:space="preserve"> </w:t>
      </w:r>
      <w:r w:rsidRPr="001358F7">
        <w:rPr>
          <w:i/>
        </w:rPr>
        <w:t>SATV10, LLC</w:t>
      </w:r>
      <w:r w:rsidRPr="001358F7">
        <w:t>, Notice of Apparent Liability for Forfeiture, 29 FCC Rcd 9552 (Vid. Div. 2014) (</w:t>
      </w:r>
      <w:r w:rsidRPr="001358F7">
        <w:rPr>
          <w:i/>
        </w:rPr>
        <w:t>NAL</w:t>
      </w:r>
      <w:r w:rsidRPr="001358F7">
        <w:t>).</w:t>
      </w:r>
    </w:p>
  </w:footnote>
  <w:footnote w:id="6">
    <w:p w14:paraId="0B0513B0" w14:textId="77777777" w:rsidR="00F7724B" w:rsidRPr="001358F7" w:rsidRDefault="00F7724B" w:rsidP="001F0248">
      <w:pPr>
        <w:pStyle w:val="FootnoteText"/>
      </w:pPr>
      <w:r w:rsidRPr="001358F7">
        <w:rPr>
          <w:rStyle w:val="FootnoteReference"/>
        </w:rPr>
        <w:footnoteRef/>
      </w:r>
      <w:r w:rsidRPr="001358F7">
        <w:t xml:space="preserve"> 47 C.F.R. § 73.3526(e)(11)(i).</w:t>
      </w:r>
    </w:p>
  </w:footnote>
  <w:footnote w:id="7">
    <w:p w14:paraId="5CD0EF19" w14:textId="77777777" w:rsidR="00F7724B" w:rsidRPr="001358F7" w:rsidRDefault="00F7724B" w:rsidP="001F0248">
      <w:pPr>
        <w:pStyle w:val="FootnoteText"/>
      </w:pPr>
      <w:r w:rsidRPr="001358F7">
        <w:rPr>
          <w:rStyle w:val="FootnoteReference"/>
        </w:rPr>
        <w:footnoteRef/>
      </w:r>
      <w:r w:rsidRPr="001358F7">
        <w:t xml:space="preserve"> 47 C.F.R. § 73.3526(e)(11)(iii).  </w:t>
      </w:r>
    </w:p>
  </w:footnote>
  <w:footnote w:id="8">
    <w:p w14:paraId="567179B5" w14:textId="77777777" w:rsidR="00F7724B" w:rsidRPr="001358F7" w:rsidRDefault="00F7724B" w:rsidP="00B3789F">
      <w:pPr>
        <w:pStyle w:val="FootnoteText"/>
      </w:pPr>
      <w:r w:rsidRPr="001358F7">
        <w:rPr>
          <w:rStyle w:val="FootnoteReference"/>
        </w:rPr>
        <w:footnoteRef/>
      </w:r>
      <w:r w:rsidRPr="001358F7">
        <w:rPr>
          <w:i/>
        </w:rPr>
        <w:t xml:space="preserve"> </w:t>
      </w:r>
      <w:r w:rsidRPr="001358F7">
        <w:t>Licensee Response to Notice of Apparent Liability (Licensee Response) (Aug. 7, 2014) at 2-3.</w:t>
      </w:r>
    </w:p>
  </w:footnote>
  <w:footnote w:id="9">
    <w:p w14:paraId="553FA10D" w14:textId="77777777" w:rsidR="007E79B2" w:rsidRPr="001358F7" w:rsidRDefault="007E79B2">
      <w:pPr>
        <w:pStyle w:val="FootnoteText"/>
      </w:pPr>
      <w:r w:rsidRPr="001358F7">
        <w:rPr>
          <w:rStyle w:val="FootnoteReference"/>
        </w:rPr>
        <w:footnoteRef/>
      </w:r>
      <w:r w:rsidRPr="001358F7">
        <w:t xml:space="preserve"> </w:t>
      </w:r>
      <w:r>
        <w:t>Licensee provided</w:t>
      </w:r>
      <w:r w:rsidRPr="001358F7">
        <w:t xml:space="preserve"> its tax returns for the years 2011, 2012, and 2013.  Licensee requests that the Commission treat as confidential the content of the submitted tax returns.</w:t>
      </w:r>
      <w:r>
        <w:t xml:space="preserve">  Licensee Response at E</w:t>
      </w:r>
      <w:r w:rsidRPr="001358F7">
        <w:t>xhibits 2-4.</w:t>
      </w:r>
    </w:p>
  </w:footnote>
  <w:footnote w:id="10">
    <w:p w14:paraId="2C742A44" w14:textId="6205446F" w:rsidR="00F7724B" w:rsidRPr="001358F7" w:rsidRDefault="00F7724B">
      <w:pPr>
        <w:pStyle w:val="FootnoteText"/>
      </w:pPr>
      <w:r w:rsidRPr="001358F7">
        <w:rPr>
          <w:rStyle w:val="FootnoteReference"/>
        </w:rPr>
        <w:footnoteRef/>
      </w:r>
      <w:r w:rsidR="0083226D">
        <w:t xml:space="preserve"> 47 U.S.C. § 503(b)(1)</w:t>
      </w:r>
      <w:r w:rsidR="006376C8">
        <w:t>(A)-(B); 47 C.F.R. § 1.80(a)(1)-</w:t>
      </w:r>
      <w:r w:rsidRPr="001358F7">
        <w:t xml:space="preserve">(2).  The Commission may assess a forfeiture order for violations that are merely repeated, and not willful.  </w:t>
      </w:r>
      <w:r w:rsidRPr="001358F7">
        <w:rPr>
          <w:i/>
        </w:rPr>
        <w:t>See, e.g.,</w:t>
      </w:r>
      <w:r w:rsidRPr="001358F7">
        <w:t xml:space="preserve"> </w:t>
      </w:r>
      <w:r w:rsidRPr="001358F7">
        <w:rPr>
          <w:i/>
        </w:rPr>
        <w:t>Callais Cablevision, Inc., Grand Isle, Louisiana</w:t>
      </w:r>
      <w:r w:rsidRPr="001358F7">
        <w:t>, Notice of Apparent Liability</w:t>
      </w:r>
      <w:r w:rsidR="00244622">
        <w:t xml:space="preserve"> for Forfeiture</w:t>
      </w:r>
      <w:r w:rsidRPr="001358F7">
        <w:t xml:space="preserve">, 16 FCC Rcd 1359, 1362 (2001) (issuing a Notice of Apparent Liability for a cable television operator’s repeated violations of the Commission’s signal leakage rules). </w:t>
      </w:r>
      <w:r w:rsidRPr="001358F7">
        <w:rPr>
          <w:i/>
        </w:rPr>
        <w:t xml:space="preserve"> </w:t>
      </w:r>
      <w:r w:rsidRPr="001358F7">
        <w:t xml:space="preserve">“Repeated” means that the act was committed or omitted more than once.  </w:t>
      </w:r>
      <w:r w:rsidRPr="001358F7">
        <w:rPr>
          <w:i/>
        </w:rPr>
        <w:t xml:space="preserve">Southern California Broadcasting Co., </w:t>
      </w:r>
      <w:r w:rsidRPr="001358F7">
        <w:t>Memorandum Opinion and Order, 6 FCC Rcd 4387, 4388 (1991).</w:t>
      </w:r>
    </w:p>
  </w:footnote>
  <w:footnote w:id="11">
    <w:p w14:paraId="7F864545" w14:textId="77777777" w:rsidR="00F7724B" w:rsidRPr="001358F7" w:rsidRDefault="00F7724B">
      <w:pPr>
        <w:pStyle w:val="FootnoteText"/>
      </w:pPr>
      <w:r w:rsidRPr="001358F7">
        <w:rPr>
          <w:rStyle w:val="FootnoteReference"/>
        </w:rPr>
        <w:footnoteRef/>
      </w:r>
      <w:r w:rsidRPr="001358F7">
        <w:t xml:space="preserve"> 47 U.S.C. § 503(b); 47 C.F.R. § 1.80(f).</w:t>
      </w:r>
    </w:p>
  </w:footnote>
  <w:footnote w:id="12">
    <w:p w14:paraId="5D1C6EB6" w14:textId="77777777" w:rsidR="00F7724B" w:rsidRPr="001358F7" w:rsidRDefault="00F7724B">
      <w:pPr>
        <w:pStyle w:val="FootnoteText"/>
      </w:pPr>
      <w:r w:rsidRPr="001358F7">
        <w:rPr>
          <w:rStyle w:val="FootnoteReference"/>
        </w:rPr>
        <w:footnoteRef/>
      </w:r>
      <w:r w:rsidRPr="001358F7">
        <w:t xml:space="preserve"> </w:t>
      </w:r>
      <w:r w:rsidRPr="001358F7">
        <w:rPr>
          <w:i/>
        </w:rPr>
        <w:t>See, e.g., SBC Communications, Inc.</w:t>
      </w:r>
      <w:r w:rsidRPr="001358F7">
        <w:t xml:space="preserve">, Forfeiture Order, 17 FCC Rcd 7589, 7591 (2002). </w:t>
      </w:r>
    </w:p>
  </w:footnote>
  <w:footnote w:id="13">
    <w:p w14:paraId="26D025B1" w14:textId="77777777" w:rsidR="00F7724B" w:rsidRPr="001358F7" w:rsidRDefault="00F7724B">
      <w:pPr>
        <w:pStyle w:val="FootnoteText"/>
      </w:pPr>
      <w:r w:rsidRPr="001358F7">
        <w:rPr>
          <w:rStyle w:val="FootnoteReference"/>
        </w:rPr>
        <w:footnoteRef/>
      </w:r>
      <w:r w:rsidRPr="001358F7">
        <w:t xml:space="preserve"> 47 C.F.R. § 73.3526(e)(11)(i).</w:t>
      </w:r>
    </w:p>
  </w:footnote>
  <w:footnote w:id="14">
    <w:p w14:paraId="1A42CE85" w14:textId="77777777" w:rsidR="00674805" w:rsidRPr="001358F7" w:rsidRDefault="00674805">
      <w:pPr>
        <w:pStyle w:val="FootnoteText"/>
      </w:pPr>
      <w:r w:rsidRPr="001358F7">
        <w:rPr>
          <w:rStyle w:val="FootnoteReference"/>
        </w:rPr>
        <w:footnoteRef/>
      </w:r>
      <w:r w:rsidRPr="001358F7">
        <w:t xml:space="preserve"> 47 C.F.R. § 73.3526(e)(11)(iii).  </w:t>
      </w:r>
    </w:p>
  </w:footnote>
  <w:footnote w:id="15">
    <w:p w14:paraId="0FF98848" w14:textId="77777777" w:rsidR="00F7724B" w:rsidRPr="001358F7" w:rsidRDefault="00F7724B" w:rsidP="00B3789F">
      <w:pPr>
        <w:pStyle w:val="FootnoteText"/>
      </w:pPr>
      <w:r w:rsidRPr="001358F7">
        <w:rPr>
          <w:rStyle w:val="FootnoteReference"/>
        </w:rPr>
        <w:footnoteRef/>
      </w:r>
      <w:r w:rsidRPr="001358F7">
        <w:t xml:space="preserve"> Licensee Response at 2-3, </w:t>
      </w:r>
      <w:r w:rsidR="00AA6233">
        <w:t>E</w:t>
      </w:r>
      <w:r w:rsidRPr="001358F7">
        <w:t>xhibits 2-4.</w:t>
      </w:r>
    </w:p>
  </w:footnote>
  <w:footnote w:id="16">
    <w:p w14:paraId="2A1C7A35" w14:textId="7021E0B4" w:rsidR="00F7724B" w:rsidRPr="001358F7" w:rsidRDefault="00F7724B" w:rsidP="00B3789F">
      <w:pPr>
        <w:pStyle w:val="FootnoteText"/>
      </w:pPr>
      <w:r w:rsidRPr="001358F7">
        <w:rPr>
          <w:rStyle w:val="FootnoteReference"/>
        </w:rPr>
        <w:footnoteRef/>
      </w:r>
      <w:r w:rsidRPr="001358F7">
        <w:t xml:space="preserve"> </w:t>
      </w:r>
      <w:r w:rsidR="00B14BB1" w:rsidRPr="00B3789F">
        <w:rPr>
          <w:i/>
        </w:rPr>
        <w:t>See</w:t>
      </w:r>
      <w:r w:rsidR="00B14BB1">
        <w:t xml:space="preserve"> </w:t>
      </w:r>
      <w:r w:rsidRPr="001358F7">
        <w:rPr>
          <w:i/>
        </w:rPr>
        <w:t>San Jose State University</w:t>
      </w:r>
      <w:r w:rsidRPr="001358F7">
        <w:t>, Memorandum Opinion and Order, 26 FCC Rcd 5908 (2011)</w:t>
      </w:r>
      <w:r w:rsidR="009C62C2">
        <w:t xml:space="preserve"> </w:t>
      </w:r>
      <w:r w:rsidR="009C62C2" w:rsidRPr="00BC1979">
        <w:t>(noting that “[t]</w:t>
      </w:r>
      <w:r w:rsidR="009C62C2" w:rsidRPr="009B1604">
        <w:rPr>
          <w:color w:val="252525"/>
        </w:rPr>
        <w:t>ypically, the Commission uses gross revenue as the primary measuring stick by which it evaluates a licensee's ability to pay. Other financial indicators may be considered….”)</w:t>
      </w:r>
      <w:r w:rsidRPr="001358F7">
        <w:t>.</w:t>
      </w:r>
    </w:p>
  </w:footnote>
  <w:footnote w:id="17">
    <w:p w14:paraId="21891740" w14:textId="14138557" w:rsidR="00F7724B" w:rsidRPr="001358F7" w:rsidRDefault="00F7724B" w:rsidP="00F9277B">
      <w:pPr>
        <w:widowControl/>
        <w:spacing w:after="120"/>
        <w:rPr>
          <w:sz w:val="20"/>
        </w:rPr>
      </w:pPr>
      <w:r w:rsidRPr="001358F7">
        <w:rPr>
          <w:rStyle w:val="FootnoteReference"/>
        </w:rPr>
        <w:footnoteRef/>
      </w:r>
      <w:r w:rsidRPr="001358F7">
        <w:rPr>
          <w:sz w:val="20"/>
        </w:rPr>
        <w:t xml:space="preserve"> </w:t>
      </w:r>
      <w:r w:rsidRPr="001358F7">
        <w:rPr>
          <w:i/>
          <w:color w:val="000000"/>
          <w:sz w:val="20"/>
        </w:rPr>
        <w:t>Frank Neely</w:t>
      </w:r>
      <w:r w:rsidRPr="001358F7">
        <w:rPr>
          <w:color w:val="000000"/>
          <w:sz w:val="20"/>
        </w:rPr>
        <w:t>, Memorandum Opinion and Order, 22 FCC Rcd 1434, 1436 (EB 2007) (</w:t>
      </w:r>
      <w:r w:rsidRPr="001358F7">
        <w:rPr>
          <w:sz w:val="20"/>
        </w:rPr>
        <w:t>citing</w:t>
      </w:r>
      <w:r w:rsidR="001358F7" w:rsidRPr="001358F7">
        <w:rPr>
          <w:sz w:val="20"/>
        </w:rPr>
        <w:t xml:space="preserve"> </w:t>
      </w:r>
      <w:r w:rsidR="001358F7" w:rsidRPr="001358F7">
        <w:rPr>
          <w:i/>
          <w:sz w:val="20"/>
        </w:rPr>
        <w:t>Forfeiture Policy Statement and Amendment of Section 1.80(b) of the Rules to Incorporate the Forfeiture Guidelines</w:t>
      </w:r>
      <w:r w:rsidR="001358F7" w:rsidRPr="001358F7">
        <w:rPr>
          <w:sz w:val="20"/>
        </w:rPr>
        <w:t xml:space="preserve">, Report and Order, 12 FCC Rcd 17087, 17158 </w:t>
      </w:r>
      <w:r w:rsidR="001358F7" w:rsidRPr="001358F7">
        <w:rPr>
          <w:i/>
          <w:sz w:val="20"/>
        </w:rPr>
        <w:t>recon. denied</w:t>
      </w:r>
      <w:r w:rsidR="001358F7" w:rsidRPr="001358F7">
        <w:rPr>
          <w:sz w:val="20"/>
        </w:rPr>
        <w:t>, 15 FCC Rcd 303 (1999)</w:t>
      </w:r>
      <w:r w:rsidRPr="001358F7">
        <w:rPr>
          <w:sz w:val="20"/>
        </w:rPr>
        <w:t xml:space="preserve"> (“As for forfeitures that a licensee believes it cannot afford to pay relative to its financial situation, we must look to the totality of the circumstances surrounding the individual case.”); </w:t>
      </w:r>
      <w:r w:rsidRPr="001358F7">
        <w:rPr>
          <w:i/>
          <w:iCs/>
          <w:sz w:val="20"/>
        </w:rPr>
        <w:t>Radio X Broadcasting Corporation</w:t>
      </w:r>
      <w:r w:rsidRPr="001358F7">
        <w:rPr>
          <w:sz w:val="20"/>
        </w:rPr>
        <w:t xml:space="preserve">, 21 FCC Rcd 12209, 12217 (2006) (subsidiary and parent company financial information are both relevant to inability to pay determination by the Commission); </w:t>
      </w:r>
      <w:r w:rsidRPr="001358F7">
        <w:rPr>
          <w:i/>
          <w:iCs/>
          <w:sz w:val="20"/>
        </w:rPr>
        <w:t>A-O Broadcasting</w:t>
      </w:r>
      <w:r w:rsidRPr="001358F7">
        <w:rPr>
          <w:sz w:val="20"/>
        </w:rPr>
        <w:t>, 20 FCC Rcd 756, 7</w:t>
      </w:r>
      <w:r w:rsidR="009F2543">
        <w:rPr>
          <w:sz w:val="20"/>
        </w:rPr>
        <w:t xml:space="preserve">61 (2005) </w:t>
      </w:r>
      <w:r w:rsidRPr="001358F7">
        <w:rPr>
          <w:sz w:val="20"/>
        </w:rPr>
        <w:t>(financial information of the corporate owner is relevant to the Commission evaluatio</w:t>
      </w:r>
      <w:r w:rsidR="00AA6233">
        <w:rPr>
          <w:sz w:val="20"/>
        </w:rPr>
        <w:t>n of an inability to pay claim)</w:t>
      </w:r>
      <w:r w:rsidRPr="001358F7">
        <w:rPr>
          <w:sz w:val="20"/>
        </w:rPr>
        <w:t>.</w:t>
      </w:r>
    </w:p>
  </w:footnote>
  <w:footnote w:id="18">
    <w:p w14:paraId="234DBD7B" w14:textId="77777777" w:rsidR="00F7724B" w:rsidRPr="001358F7" w:rsidRDefault="00F7724B" w:rsidP="00B3789F">
      <w:pPr>
        <w:pStyle w:val="FootnoteText"/>
      </w:pPr>
      <w:r w:rsidRPr="001358F7">
        <w:rPr>
          <w:rStyle w:val="FootnoteReference"/>
        </w:rPr>
        <w:footnoteRef/>
      </w:r>
      <w:r w:rsidRPr="001358F7">
        <w:t xml:space="preserve"> </w:t>
      </w:r>
      <w:r w:rsidR="00AA6233">
        <w:t>Licensee Response at 2-3, E</w:t>
      </w:r>
      <w:r w:rsidRPr="001358F7">
        <w:t>xhibits 2-4.</w:t>
      </w:r>
    </w:p>
  </w:footnote>
  <w:footnote w:id="19">
    <w:p w14:paraId="786AD93E" w14:textId="4BEF1AF8" w:rsidR="00F7724B" w:rsidRPr="001358F7" w:rsidRDefault="00F7724B" w:rsidP="001F0248">
      <w:pPr>
        <w:pStyle w:val="FootnoteText"/>
      </w:pPr>
      <w:r w:rsidRPr="001358F7">
        <w:rPr>
          <w:rStyle w:val="FootnoteReference"/>
        </w:rPr>
        <w:footnoteRef/>
      </w:r>
      <w:r w:rsidRPr="001358F7">
        <w:t xml:space="preserve"> </w:t>
      </w:r>
      <w:r w:rsidRPr="001358F7">
        <w:rPr>
          <w:i/>
          <w:iCs/>
          <w:color w:val="212121"/>
        </w:rPr>
        <w:t xml:space="preserve">See, e.g., </w:t>
      </w:r>
      <w:r w:rsidR="001358F7" w:rsidRPr="001358F7">
        <w:rPr>
          <w:i/>
        </w:rPr>
        <w:t>Forfeiture Policy Statement and Amendment of Section 1.80(b) of the Rules to Incorporate the Forfeiture Guidelines</w:t>
      </w:r>
      <w:r w:rsidR="001358F7" w:rsidRPr="001358F7">
        <w:t xml:space="preserve">, Report and Order, 12 FCC Rcd 17087, </w:t>
      </w:r>
      <w:r w:rsidR="001358F7" w:rsidRPr="001358F7">
        <w:rPr>
          <w:color w:val="212121"/>
        </w:rPr>
        <w:t>17158</w:t>
      </w:r>
      <w:r w:rsidR="001358F7" w:rsidRPr="001358F7">
        <w:t xml:space="preserve"> (1997) </w:t>
      </w:r>
      <w:r w:rsidR="001358F7" w:rsidRPr="001358F7">
        <w:rPr>
          <w:i/>
        </w:rPr>
        <w:t>(“Forfeiture Policy Statement”),</w:t>
      </w:r>
      <w:r w:rsidR="001358F7" w:rsidRPr="001358F7">
        <w:t xml:space="preserve"> </w:t>
      </w:r>
      <w:r w:rsidR="001358F7" w:rsidRPr="001358F7">
        <w:rPr>
          <w:i/>
        </w:rPr>
        <w:t>recon. denied</w:t>
      </w:r>
      <w:r w:rsidR="001358F7" w:rsidRPr="001358F7">
        <w:t>, 15 FCC Rcd 303 (1999); 47 C.F.R. § 1.80(b)(4), note to paragraph (b)(4), Section I.</w:t>
      </w:r>
    </w:p>
  </w:footnote>
  <w:footnote w:id="20">
    <w:p w14:paraId="6F6B197B" w14:textId="77777777" w:rsidR="00B90475" w:rsidRPr="001358F7" w:rsidRDefault="00B90475" w:rsidP="00B90475">
      <w:pPr>
        <w:pStyle w:val="FootnoteText"/>
      </w:pPr>
      <w:r w:rsidRPr="001358F7">
        <w:rPr>
          <w:rStyle w:val="FootnoteReference"/>
        </w:rPr>
        <w:footnoteRef/>
      </w:r>
      <w:r w:rsidRPr="001358F7">
        <w:t xml:space="preserve"> </w:t>
      </w:r>
      <w:r w:rsidRPr="001358F7">
        <w:rPr>
          <w:i/>
        </w:rPr>
        <w:t xml:space="preserve">Supra </w:t>
      </w:r>
      <w:r>
        <w:t>n.16</w:t>
      </w:r>
      <w:r w:rsidRPr="001358F7">
        <w:t>.</w:t>
      </w:r>
    </w:p>
  </w:footnote>
  <w:footnote w:id="21">
    <w:p w14:paraId="15F818AA" w14:textId="77777777" w:rsidR="00F7724B" w:rsidRPr="001358F7" w:rsidRDefault="00F7724B">
      <w:pPr>
        <w:pStyle w:val="FootnoteText"/>
      </w:pPr>
      <w:r w:rsidRPr="001358F7">
        <w:rPr>
          <w:rStyle w:val="FootnoteReference"/>
        </w:rPr>
        <w:footnoteRef/>
      </w:r>
      <w:r w:rsidRPr="001358F7">
        <w:t xml:space="preserve"> </w:t>
      </w:r>
      <w:r w:rsidRPr="001358F7">
        <w:rPr>
          <w:i/>
        </w:rPr>
        <w:t xml:space="preserve">See Forfeiture Policy Statement </w:t>
      </w:r>
      <w:r w:rsidR="001358F7" w:rsidRPr="001358F7">
        <w:t>at</w:t>
      </w:r>
      <w:r w:rsidR="001358F7" w:rsidRPr="001358F7">
        <w:rPr>
          <w:i/>
        </w:rPr>
        <w:t xml:space="preserve"> </w:t>
      </w:r>
      <w:r w:rsidR="001358F7" w:rsidRPr="001358F7">
        <w:t>17113-15.</w:t>
      </w:r>
    </w:p>
  </w:footnote>
  <w:footnote w:id="22">
    <w:p w14:paraId="69D6E143" w14:textId="77777777" w:rsidR="00F7724B" w:rsidRPr="001358F7" w:rsidRDefault="00F7724B">
      <w:pPr>
        <w:pStyle w:val="FootnoteText"/>
      </w:pPr>
      <w:r w:rsidRPr="001358F7">
        <w:rPr>
          <w:rStyle w:val="FootnoteReference"/>
        </w:rPr>
        <w:footnoteRef/>
      </w:r>
      <w:r w:rsidRPr="001358F7">
        <w:t xml:space="preserve"> </w:t>
      </w:r>
      <w:r w:rsidRPr="001358F7">
        <w:rPr>
          <w:i/>
        </w:rPr>
        <w:t>SATV10, LLC</w:t>
      </w:r>
      <w:r w:rsidRPr="001358F7">
        <w:t>, 29 FCC Rcd at 9953.</w:t>
      </w:r>
    </w:p>
  </w:footnote>
  <w:footnote w:id="23">
    <w:p w14:paraId="738CA752" w14:textId="77777777" w:rsidR="00F7724B" w:rsidRPr="001358F7" w:rsidRDefault="00F7724B">
      <w:pPr>
        <w:pStyle w:val="FootnoteText"/>
      </w:pPr>
      <w:r w:rsidRPr="001358F7">
        <w:rPr>
          <w:rStyle w:val="FootnoteReference"/>
        </w:rPr>
        <w:footnoteRef/>
      </w:r>
      <w:r w:rsidRPr="001358F7">
        <w:t xml:space="preserve"> 47 C.F.R. § 73.3526(e)(11)(i).</w:t>
      </w:r>
    </w:p>
  </w:footnote>
  <w:footnote w:id="24">
    <w:p w14:paraId="5179B737" w14:textId="77777777" w:rsidR="00BA3200" w:rsidRPr="001358F7" w:rsidRDefault="00BA3200" w:rsidP="00BA3200">
      <w:pPr>
        <w:pStyle w:val="FootnoteText"/>
      </w:pPr>
      <w:r w:rsidRPr="001358F7">
        <w:rPr>
          <w:rStyle w:val="FootnoteReference"/>
        </w:rPr>
        <w:footnoteRef/>
      </w:r>
      <w:r w:rsidRPr="001358F7">
        <w:t xml:space="preserve"> 47 C.F.R. § 73.3526(e)(11)(iii).  </w:t>
      </w:r>
    </w:p>
  </w:footnote>
  <w:footnote w:id="25">
    <w:p w14:paraId="75FBE8C6" w14:textId="77777777" w:rsidR="00F7724B" w:rsidRPr="001358F7" w:rsidRDefault="00F7724B">
      <w:pPr>
        <w:pStyle w:val="FootnoteText"/>
      </w:pPr>
      <w:r w:rsidRPr="001358F7">
        <w:rPr>
          <w:rStyle w:val="FootnoteReference"/>
        </w:rPr>
        <w:footnoteRef/>
      </w:r>
      <w:r w:rsidRPr="001358F7">
        <w:t xml:space="preserve"> 47 C.F.R. § 73.3526(e)(11)(iii).  </w:t>
      </w:r>
    </w:p>
  </w:footnote>
  <w:footnote w:id="26">
    <w:p w14:paraId="5C1DFB06" w14:textId="46A39459" w:rsidR="00F7724B" w:rsidRPr="001358F7" w:rsidRDefault="00F7724B" w:rsidP="00B3789F">
      <w:pPr>
        <w:pStyle w:val="FootnoteText"/>
      </w:pPr>
      <w:r w:rsidRPr="001358F7">
        <w:rPr>
          <w:rStyle w:val="FootnoteReference"/>
        </w:rPr>
        <w:footnoteRef/>
      </w:r>
      <w:r w:rsidRPr="001358F7">
        <w:t xml:space="preserve"> 47 U.S.C. § 503(b); 47 C.F</w:t>
      </w:r>
      <w:r w:rsidR="006376C8">
        <w:t>.R. §§ 0.61(f)(1), 1.80(a)(1)-</w:t>
      </w:r>
      <w:r w:rsidRPr="001358F7">
        <w:t>(2).</w:t>
      </w:r>
    </w:p>
  </w:footnote>
  <w:footnote w:id="27">
    <w:p w14:paraId="05340234" w14:textId="0D56E4FF" w:rsidR="003B1BA1" w:rsidRDefault="003B1BA1" w:rsidP="001F0248">
      <w:pPr>
        <w:pStyle w:val="FootnoteText"/>
      </w:pPr>
      <w:r>
        <w:rPr>
          <w:rStyle w:val="FootnoteReference"/>
        </w:rPr>
        <w:footnoteRef/>
      </w:r>
      <w:r>
        <w:t xml:space="preserve"> </w:t>
      </w:r>
      <w:r w:rsidRPr="003B1BA1">
        <w:t xml:space="preserve">47 </w:t>
      </w:r>
      <w:r w:rsidR="006376C8">
        <w:t>C.F.R. §§ 73.3526(e)(11)(i), (</w:t>
      </w:r>
      <w:r w:rsidRPr="003B1BA1">
        <w:t>iii).</w:t>
      </w:r>
    </w:p>
  </w:footnote>
  <w:footnote w:id="28">
    <w:p w14:paraId="37454362" w14:textId="77777777" w:rsidR="00F7724B" w:rsidRPr="001358F7" w:rsidRDefault="00F7724B">
      <w:pPr>
        <w:pStyle w:val="FootnoteText"/>
      </w:pPr>
      <w:r w:rsidRPr="001358F7">
        <w:rPr>
          <w:rStyle w:val="FootnoteReference"/>
        </w:rPr>
        <w:footnoteRef/>
      </w:r>
      <w:r w:rsidRPr="001358F7">
        <w:t xml:space="preserve"> 47 C.F.R. § 1.80(h).</w:t>
      </w:r>
    </w:p>
  </w:footnote>
  <w:footnote w:id="29">
    <w:p w14:paraId="7736CCCE" w14:textId="77777777" w:rsidR="00F7724B" w:rsidRPr="001358F7" w:rsidRDefault="00F7724B">
      <w:pPr>
        <w:pStyle w:val="FootnoteText"/>
      </w:pPr>
      <w:r w:rsidRPr="001358F7">
        <w:rPr>
          <w:rStyle w:val="FootnoteReference"/>
        </w:rPr>
        <w:footnoteRef/>
      </w:r>
      <w:r w:rsidRPr="001358F7">
        <w:t xml:space="preserve"> 47 U.S.C. § 504(a).</w:t>
      </w:r>
    </w:p>
  </w:footnote>
  <w:footnote w:id="30">
    <w:p w14:paraId="0C5C029C" w14:textId="6E537D24" w:rsidR="00F7724B" w:rsidRPr="001358F7" w:rsidRDefault="00F7724B">
      <w:pPr>
        <w:pStyle w:val="FootnoteText"/>
      </w:pPr>
      <w:r w:rsidRPr="001358F7">
        <w:rPr>
          <w:rStyle w:val="FootnoteReference"/>
        </w:rPr>
        <w:footnoteRef/>
      </w:r>
      <w:r w:rsidRPr="001358F7">
        <w:t xml:space="preserve"> </w:t>
      </w:r>
      <w:r w:rsidRPr="001358F7">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1" w:history="1">
        <w:r w:rsidRPr="001358F7">
          <w:rPr>
            <w:rStyle w:val="Hyperlink"/>
            <w:rFonts w:eastAsia="MS Mincho" w:cs="Arial"/>
            <w:color w:val="auto"/>
          </w:rPr>
          <w:t>http://www.fcc.gov/Forms/Form159/159.pdf</w:t>
        </w:r>
      </w:hyperlink>
      <w:r w:rsidRPr="001358F7">
        <w:rPr>
          <w:rFonts w:eastAsia="MS Mincho" w:cs="Arial"/>
        </w:rPr>
        <w:t>.</w:t>
      </w:r>
    </w:p>
  </w:footnote>
  <w:footnote w:id="31">
    <w:p w14:paraId="40DCD33E" w14:textId="77777777" w:rsidR="00F7724B" w:rsidRPr="001358F7" w:rsidRDefault="00F7724B">
      <w:pPr>
        <w:pStyle w:val="FootnoteText"/>
      </w:pPr>
      <w:r w:rsidRPr="001358F7">
        <w:rPr>
          <w:rStyle w:val="FootnoteReference"/>
        </w:rPr>
        <w:footnoteRef/>
      </w:r>
      <w:r w:rsidRPr="001358F7">
        <w:t xml:space="preserve"> For questions regarding payment procedures, contact the Financial Operations Group Help Desk by phone at 1-877-480-3201 or e-mail at ARINQUIRIES@fcc.gov.</w:t>
      </w:r>
    </w:p>
  </w:footnote>
  <w:footnote w:id="32">
    <w:p w14:paraId="72A0D0AE" w14:textId="77777777" w:rsidR="00F7724B" w:rsidRDefault="00F7724B">
      <w:pPr>
        <w:pStyle w:val="FootnoteText"/>
      </w:pPr>
      <w:r w:rsidRPr="001358F7">
        <w:rPr>
          <w:rStyle w:val="FootnoteReference"/>
        </w:rPr>
        <w:footnoteRef/>
      </w:r>
      <w:r w:rsidRPr="001358F7">
        <w:t xml:space="preserve"> </w:t>
      </w:r>
      <w:r w:rsidRPr="001358F7">
        <w:rPr>
          <w:i/>
        </w:rPr>
        <w:t>See</w:t>
      </w:r>
      <w:r w:rsidRPr="001358F7">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5BE37" w14:textId="77777777" w:rsidR="00465A30" w:rsidRDefault="00465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67FB" w14:textId="19E26CB6" w:rsidR="00D25FB5" w:rsidRDefault="00D25FB5" w:rsidP="00810B6F">
    <w:pPr>
      <w:pStyle w:val="Header"/>
      <w:rPr>
        <w:b w:val="0"/>
      </w:rPr>
    </w:pPr>
    <w:r>
      <w:tab/>
      <w:t>Federal Communications Commission</w:t>
    </w:r>
    <w:r>
      <w:tab/>
    </w:r>
    <w:r w:rsidR="009D6379">
      <w:t>DA 16-</w:t>
    </w:r>
    <w:r w:rsidR="00C63511">
      <w:t>571</w:t>
    </w:r>
  </w:p>
  <w:p w14:paraId="2764D06B" w14:textId="77777777" w:rsidR="00D25FB5" w:rsidRDefault="00F7724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EE45E87" wp14:editId="2A0B3CF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E013A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19C503E"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18DE2" w14:textId="3FA4C613" w:rsidR="00D25FB5" w:rsidRDefault="00F7724B" w:rsidP="00810B6F">
    <w:pPr>
      <w:pStyle w:val="Header"/>
      <w:rPr>
        <w:b w:val="0"/>
      </w:rPr>
    </w:pPr>
    <w:r>
      <w:rPr>
        <w:noProof/>
      </w:rPr>
      <mc:AlternateContent>
        <mc:Choice Requires="wps">
          <w:drawing>
            <wp:anchor distT="0" distB="0" distL="114300" distR="114300" simplePos="0" relativeHeight="251658240" behindDoc="1" locked="0" layoutInCell="0" allowOverlap="1" wp14:anchorId="0C2F3E28" wp14:editId="0B70374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9FC92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D6379">
      <w:rPr>
        <w:spacing w:val="-2"/>
      </w:rPr>
      <w:t>DA 16-</w:t>
    </w:r>
    <w:r w:rsidR="00C63511">
      <w:rPr>
        <w:spacing w:val="-2"/>
      </w:rPr>
      <w:t>571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5700E9"/>
    <w:multiLevelType w:val="singleLevel"/>
    <w:tmpl w:val="22A45240"/>
    <w:lvl w:ilvl="0">
      <w:start w:val="2"/>
      <w:numFmt w:val="upperRoman"/>
      <w:lvlText w:val=""/>
      <w:lvlJc w:val="left"/>
      <w:pPr>
        <w:ind w:left="720" w:hanging="360"/>
      </w:pPr>
      <w:rPr>
        <w:rFonts w:hint="default"/>
        <w:b/>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90407C64"/>
    <w:lvl w:ilvl="0">
      <w:start w:val="1"/>
      <w:numFmt w:val="decimal"/>
      <w:pStyle w:val="NumberedList"/>
      <w:lvlText w:val="%1."/>
      <w:lvlJc w:val="left"/>
      <w:pPr>
        <w:tabs>
          <w:tab w:val="num" w:pos="990"/>
        </w:tabs>
        <w:ind w:left="-90" w:firstLine="720"/>
      </w:pPr>
      <w:rPr>
        <w:rFonts w:ascii="Times New Roman" w:hAnsi="Times New Roman" w:hint="default"/>
        <w:b w:val="0"/>
        <w:i w:val="0"/>
        <w:sz w:val="22"/>
        <w:u w:val="none"/>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4B"/>
    <w:rsid w:val="00036039"/>
    <w:rsid w:val="00037F90"/>
    <w:rsid w:val="000641E8"/>
    <w:rsid w:val="00073E68"/>
    <w:rsid w:val="000875BF"/>
    <w:rsid w:val="00096D8C"/>
    <w:rsid w:val="000C0B65"/>
    <w:rsid w:val="000E05FE"/>
    <w:rsid w:val="000E3D42"/>
    <w:rsid w:val="000F0645"/>
    <w:rsid w:val="00122BD5"/>
    <w:rsid w:val="001256D8"/>
    <w:rsid w:val="00133F79"/>
    <w:rsid w:val="001358F7"/>
    <w:rsid w:val="00194A66"/>
    <w:rsid w:val="001D6BCF"/>
    <w:rsid w:val="001E01CA"/>
    <w:rsid w:val="001F0248"/>
    <w:rsid w:val="00244622"/>
    <w:rsid w:val="00275CF5"/>
    <w:rsid w:val="0028301F"/>
    <w:rsid w:val="00285017"/>
    <w:rsid w:val="002A2D2E"/>
    <w:rsid w:val="002C00E8"/>
    <w:rsid w:val="00305FEF"/>
    <w:rsid w:val="0033661B"/>
    <w:rsid w:val="00343749"/>
    <w:rsid w:val="003660ED"/>
    <w:rsid w:val="003B0550"/>
    <w:rsid w:val="003B1BA1"/>
    <w:rsid w:val="003B694F"/>
    <w:rsid w:val="003F171C"/>
    <w:rsid w:val="003F3609"/>
    <w:rsid w:val="00412FC5"/>
    <w:rsid w:val="00422276"/>
    <w:rsid w:val="004242F1"/>
    <w:rsid w:val="00445A00"/>
    <w:rsid w:val="00451B0F"/>
    <w:rsid w:val="00465A30"/>
    <w:rsid w:val="004A22CB"/>
    <w:rsid w:val="004C2EE3"/>
    <w:rsid w:val="004E3767"/>
    <w:rsid w:val="004E4A22"/>
    <w:rsid w:val="00511968"/>
    <w:rsid w:val="005461F1"/>
    <w:rsid w:val="0055614C"/>
    <w:rsid w:val="005961B0"/>
    <w:rsid w:val="005E14C2"/>
    <w:rsid w:val="00607BA5"/>
    <w:rsid w:val="0061180A"/>
    <w:rsid w:val="00626EB6"/>
    <w:rsid w:val="006376C8"/>
    <w:rsid w:val="00655D03"/>
    <w:rsid w:val="00674805"/>
    <w:rsid w:val="00683388"/>
    <w:rsid w:val="00683F84"/>
    <w:rsid w:val="006A6A81"/>
    <w:rsid w:val="006D0659"/>
    <w:rsid w:val="006F7393"/>
    <w:rsid w:val="0070224F"/>
    <w:rsid w:val="007115F7"/>
    <w:rsid w:val="007740CE"/>
    <w:rsid w:val="00785689"/>
    <w:rsid w:val="0079754B"/>
    <w:rsid w:val="007A1E6D"/>
    <w:rsid w:val="007A764C"/>
    <w:rsid w:val="007B0EB2"/>
    <w:rsid w:val="007B6708"/>
    <w:rsid w:val="007E79B2"/>
    <w:rsid w:val="00810B6F"/>
    <w:rsid w:val="00822CE0"/>
    <w:rsid w:val="0083226D"/>
    <w:rsid w:val="00841AB1"/>
    <w:rsid w:val="008A214B"/>
    <w:rsid w:val="008C68F1"/>
    <w:rsid w:val="00921803"/>
    <w:rsid w:val="00926503"/>
    <w:rsid w:val="009726D8"/>
    <w:rsid w:val="009C62C2"/>
    <w:rsid w:val="009D6379"/>
    <w:rsid w:val="009F2543"/>
    <w:rsid w:val="009F76DB"/>
    <w:rsid w:val="00A32C3B"/>
    <w:rsid w:val="00A45F4F"/>
    <w:rsid w:val="00A600A9"/>
    <w:rsid w:val="00AA55B7"/>
    <w:rsid w:val="00AA5B9E"/>
    <w:rsid w:val="00AA6233"/>
    <w:rsid w:val="00AB2407"/>
    <w:rsid w:val="00AB53DF"/>
    <w:rsid w:val="00AD3418"/>
    <w:rsid w:val="00B07E5C"/>
    <w:rsid w:val="00B14BB1"/>
    <w:rsid w:val="00B3789F"/>
    <w:rsid w:val="00B811F7"/>
    <w:rsid w:val="00B90475"/>
    <w:rsid w:val="00BA3200"/>
    <w:rsid w:val="00BA5DC6"/>
    <w:rsid w:val="00BA6196"/>
    <w:rsid w:val="00BC6D8C"/>
    <w:rsid w:val="00BC7A64"/>
    <w:rsid w:val="00C34006"/>
    <w:rsid w:val="00C40433"/>
    <w:rsid w:val="00C426B1"/>
    <w:rsid w:val="00C63511"/>
    <w:rsid w:val="00C66160"/>
    <w:rsid w:val="00C721AC"/>
    <w:rsid w:val="00C90D6A"/>
    <w:rsid w:val="00CA247E"/>
    <w:rsid w:val="00CC72B6"/>
    <w:rsid w:val="00CD63D3"/>
    <w:rsid w:val="00D0218D"/>
    <w:rsid w:val="00D25FB5"/>
    <w:rsid w:val="00D434F5"/>
    <w:rsid w:val="00D44223"/>
    <w:rsid w:val="00D44CE9"/>
    <w:rsid w:val="00DA2529"/>
    <w:rsid w:val="00DB130A"/>
    <w:rsid w:val="00DB2EBB"/>
    <w:rsid w:val="00DC10A1"/>
    <w:rsid w:val="00DC655F"/>
    <w:rsid w:val="00DD0B59"/>
    <w:rsid w:val="00DD7EBD"/>
    <w:rsid w:val="00DF277C"/>
    <w:rsid w:val="00DF62B6"/>
    <w:rsid w:val="00E07225"/>
    <w:rsid w:val="00E2221F"/>
    <w:rsid w:val="00E4788F"/>
    <w:rsid w:val="00E5409F"/>
    <w:rsid w:val="00E673B7"/>
    <w:rsid w:val="00EE6488"/>
    <w:rsid w:val="00F021FA"/>
    <w:rsid w:val="00F62E97"/>
    <w:rsid w:val="00F64209"/>
    <w:rsid w:val="00F7724B"/>
    <w:rsid w:val="00F9277B"/>
    <w:rsid w:val="00F93BF5"/>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7F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F7724B"/>
    <w:pPr>
      <w:numPr>
        <w:numId w:val="8"/>
      </w:numPr>
      <w:spacing w:after="220"/>
    </w:p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F7724B"/>
  </w:style>
  <w:style w:type="character" w:customStyle="1" w:styleId="ParaNumChar">
    <w:name w:val="ParaNum Char"/>
    <w:link w:val="ParaNum"/>
    <w:rsid w:val="00F7724B"/>
    <w:rPr>
      <w:snapToGrid w:val="0"/>
      <w:kern w:val="28"/>
      <w:sz w:val="22"/>
    </w:rPr>
  </w:style>
  <w:style w:type="paragraph" w:styleId="BalloonText">
    <w:name w:val="Balloon Text"/>
    <w:basedOn w:val="Normal"/>
    <w:link w:val="BalloonTextChar"/>
    <w:rsid w:val="00E4788F"/>
    <w:rPr>
      <w:rFonts w:ascii="Segoe UI" w:hAnsi="Segoe UI" w:cs="Segoe UI"/>
      <w:sz w:val="18"/>
      <w:szCs w:val="18"/>
    </w:rPr>
  </w:style>
  <w:style w:type="character" w:customStyle="1" w:styleId="BalloonTextChar">
    <w:name w:val="Balloon Text Char"/>
    <w:basedOn w:val="DefaultParagraphFont"/>
    <w:link w:val="BalloonText"/>
    <w:rsid w:val="00E4788F"/>
    <w:rPr>
      <w:rFonts w:ascii="Segoe UI" w:hAnsi="Segoe UI" w:cs="Segoe UI"/>
      <w:snapToGrid w:val="0"/>
      <w:kern w:val="28"/>
      <w:sz w:val="18"/>
      <w:szCs w:val="18"/>
    </w:rPr>
  </w:style>
  <w:style w:type="character" w:styleId="CommentReference">
    <w:name w:val="annotation reference"/>
    <w:basedOn w:val="DefaultParagraphFont"/>
    <w:rsid w:val="00305FEF"/>
    <w:rPr>
      <w:sz w:val="16"/>
      <w:szCs w:val="16"/>
    </w:rPr>
  </w:style>
  <w:style w:type="paragraph" w:styleId="CommentText">
    <w:name w:val="annotation text"/>
    <w:basedOn w:val="Normal"/>
    <w:link w:val="CommentTextChar"/>
    <w:rsid w:val="00305FEF"/>
    <w:rPr>
      <w:sz w:val="20"/>
    </w:rPr>
  </w:style>
  <w:style w:type="character" w:customStyle="1" w:styleId="CommentTextChar">
    <w:name w:val="Comment Text Char"/>
    <w:basedOn w:val="DefaultParagraphFont"/>
    <w:link w:val="CommentText"/>
    <w:rsid w:val="00305FEF"/>
    <w:rPr>
      <w:snapToGrid w:val="0"/>
      <w:kern w:val="28"/>
    </w:rPr>
  </w:style>
  <w:style w:type="paragraph" w:styleId="CommentSubject">
    <w:name w:val="annotation subject"/>
    <w:basedOn w:val="CommentText"/>
    <w:next w:val="CommentText"/>
    <w:link w:val="CommentSubjectChar"/>
    <w:rsid w:val="00305FEF"/>
    <w:rPr>
      <w:b/>
      <w:bCs/>
    </w:rPr>
  </w:style>
  <w:style w:type="character" w:customStyle="1" w:styleId="CommentSubjectChar">
    <w:name w:val="Comment Subject Char"/>
    <w:basedOn w:val="CommentTextChar"/>
    <w:link w:val="CommentSubject"/>
    <w:rsid w:val="00305FEF"/>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F7724B"/>
    <w:pPr>
      <w:numPr>
        <w:numId w:val="8"/>
      </w:numPr>
      <w:spacing w:after="220"/>
    </w:p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F7724B"/>
  </w:style>
  <w:style w:type="character" w:customStyle="1" w:styleId="ParaNumChar">
    <w:name w:val="ParaNum Char"/>
    <w:link w:val="ParaNum"/>
    <w:rsid w:val="00F7724B"/>
    <w:rPr>
      <w:snapToGrid w:val="0"/>
      <w:kern w:val="28"/>
      <w:sz w:val="22"/>
    </w:rPr>
  </w:style>
  <w:style w:type="paragraph" w:styleId="BalloonText">
    <w:name w:val="Balloon Text"/>
    <w:basedOn w:val="Normal"/>
    <w:link w:val="BalloonTextChar"/>
    <w:rsid w:val="00E4788F"/>
    <w:rPr>
      <w:rFonts w:ascii="Segoe UI" w:hAnsi="Segoe UI" w:cs="Segoe UI"/>
      <w:sz w:val="18"/>
      <w:szCs w:val="18"/>
    </w:rPr>
  </w:style>
  <w:style w:type="character" w:customStyle="1" w:styleId="BalloonTextChar">
    <w:name w:val="Balloon Text Char"/>
    <w:basedOn w:val="DefaultParagraphFont"/>
    <w:link w:val="BalloonText"/>
    <w:rsid w:val="00E4788F"/>
    <w:rPr>
      <w:rFonts w:ascii="Segoe UI" w:hAnsi="Segoe UI" w:cs="Segoe UI"/>
      <w:snapToGrid w:val="0"/>
      <w:kern w:val="28"/>
      <w:sz w:val="18"/>
      <w:szCs w:val="18"/>
    </w:rPr>
  </w:style>
  <w:style w:type="character" w:styleId="CommentReference">
    <w:name w:val="annotation reference"/>
    <w:basedOn w:val="DefaultParagraphFont"/>
    <w:rsid w:val="00305FEF"/>
    <w:rPr>
      <w:sz w:val="16"/>
      <w:szCs w:val="16"/>
    </w:rPr>
  </w:style>
  <w:style w:type="paragraph" w:styleId="CommentText">
    <w:name w:val="annotation text"/>
    <w:basedOn w:val="Normal"/>
    <w:link w:val="CommentTextChar"/>
    <w:rsid w:val="00305FEF"/>
    <w:rPr>
      <w:sz w:val="20"/>
    </w:rPr>
  </w:style>
  <w:style w:type="character" w:customStyle="1" w:styleId="CommentTextChar">
    <w:name w:val="Comment Text Char"/>
    <w:basedOn w:val="DefaultParagraphFont"/>
    <w:link w:val="CommentText"/>
    <w:rsid w:val="00305FEF"/>
    <w:rPr>
      <w:snapToGrid w:val="0"/>
      <w:kern w:val="28"/>
    </w:rPr>
  </w:style>
  <w:style w:type="paragraph" w:styleId="CommentSubject">
    <w:name w:val="annotation subject"/>
    <w:basedOn w:val="CommentText"/>
    <w:next w:val="CommentText"/>
    <w:link w:val="CommentSubjectChar"/>
    <w:rsid w:val="00305FEF"/>
    <w:rPr>
      <w:b/>
      <w:bCs/>
    </w:rPr>
  </w:style>
  <w:style w:type="character" w:customStyle="1" w:styleId="CommentSubjectChar">
    <w:name w:val="Comment Subject Char"/>
    <w:basedOn w:val="CommentTextChar"/>
    <w:link w:val="CommentSubject"/>
    <w:rsid w:val="00305FE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1494</Words>
  <Characters>8065</Characters>
  <Application>Microsoft Office Word</Application>
  <DocSecurity>0</DocSecurity>
  <Lines>143</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9598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2016-05-20T14:28:00Z</cp:lastPrinted>
  <dcterms:created xsi:type="dcterms:W3CDTF">2016-05-20T14:41:00Z</dcterms:created>
  <dcterms:modified xsi:type="dcterms:W3CDTF">2016-05-20T14:41:00Z</dcterms:modified>
  <cp:category> </cp:category>
  <cp:contentStatus> </cp:contentStatus>
</cp:coreProperties>
</file>