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66032" w14:textId="77777777" w:rsidR="00A04C3C" w:rsidRDefault="00A04C3C">
      <w:pPr>
        <w:pStyle w:val="Header"/>
        <w:tabs>
          <w:tab w:val="clear" w:pos="4320"/>
          <w:tab w:val="clear" w:pos="8640"/>
        </w:tabs>
        <w:jc w:val="both"/>
        <w:rPr>
          <w:szCs w:val="22"/>
        </w:rPr>
        <w:sectPr w:rsidR="00A04C3C" w:rsidSect="007426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0" w:name="OLE_LINK4"/>
      <w:bookmarkStart w:id="1" w:name="OLE_LINK5"/>
      <w:bookmarkStart w:id="2" w:name="_GoBack"/>
      <w:bookmarkEnd w:id="2"/>
    </w:p>
    <w:p w14:paraId="4CB529B1" w14:textId="33C36140" w:rsidR="001538B3" w:rsidRDefault="00D1260F" w:rsidP="002137F2">
      <w:pPr>
        <w:ind w:left="5760" w:firstLine="720"/>
        <w:rPr>
          <w:b/>
          <w:szCs w:val="22"/>
        </w:rPr>
      </w:pPr>
      <w:r>
        <w:rPr>
          <w:b/>
          <w:szCs w:val="22"/>
        </w:rPr>
        <w:lastRenderedPageBreak/>
        <w:t>DA 16-584</w:t>
      </w:r>
    </w:p>
    <w:p w14:paraId="5D0D48BC" w14:textId="54318FF3" w:rsidR="001538B3" w:rsidRDefault="002137F2" w:rsidP="002137F2">
      <w:pPr>
        <w:ind w:left="5760" w:firstLine="720"/>
        <w:rPr>
          <w:b/>
          <w:szCs w:val="22"/>
        </w:rPr>
      </w:pPr>
      <w:r>
        <w:rPr>
          <w:b/>
          <w:szCs w:val="22"/>
        </w:rPr>
        <w:t>R</w:t>
      </w:r>
      <w:r w:rsidR="001538B3">
        <w:rPr>
          <w:b/>
          <w:szCs w:val="22"/>
        </w:rPr>
        <w:t xml:space="preserve">eleased: </w:t>
      </w:r>
      <w:r w:rsidR="00D1260F">
        <w:rPr>
          <w:b/>
          <w:szCs w:val="22"/>
        </w:rPr>
        <w:t>May 26, 2016</w:t>
      </w:r>
    </w:p>
    <w:p w14:paraId="61AC418A" w14:textId="77777777" w:rsidR="001538B3" w:rsidRDefault="001538B3" w:rsidP="001538B3">
      <w:pPr>
        <w:jc w:val="right"/>
        <w:rPr>
          <w:b/>
          <w:szCs w:val="22"/>
        </w:rPr>
      </w:pPr>
    </w:p>
    <w:p w14:paraId="285B44E5" w14:textId="77777777" w:rsidR="001538B3" w:rsidRDefault="001538B3" w:rsidP="001538B3">
      <w:pPr>
        <w:jc w:val="center"/>
        <w:rPr>
          <w:b/>
          <w:szCs w:val="22"/>
        </w:rPr>
      </w:pPr>
      <w:r>
        <w:rPr>
          <w:b/>
          <w:szCs w:val="22"/>
        </w:rPr>
        <w:t xml:space="preserve">MEDIA BUREAU ANNOUNCES DATE BY WHICH LPTV AND TV TRANSLATOR STATIONS MUST BE “OPERATING” IN ORDER TO PARTICIPATE IN </w:t>
      </w:r>
    </w:p>
    <w:p w14:paraId="506EBF09" w14:textId="77777777" w:rsidR="001538B3" w:rsidRDefault="001538B3" w:rsidP="001538B3">
      <w:pPr>
        <w:jc w:val="center"/>
        <w:rPr>
          <w:b/>
          <w:szCs w:val="22"/>
        </w:rPr>
      </w:pPr>
      <w:r>
        <w:rPr>
          <w:b/>
          <w:szCs w:val="22"/>
        </w:rPr>
        <w:t xml:space="preserve">POST-INCENTIVE AUCTION </w:t>
      </w:r>
      <w:r w:rsidR="003562AE">
        <w:rPr>
          <w:b/>
          <w:szCs w:val="22"/>
        </w:rPr>
        <w:t xml:space="preserve">SPECIAL </w:t>
      </w:r>
      <w:r>
        <w:rPr>
          <w:b/>
          <w:szCs w:val="22"/>
        </w:rPr>
        <w:t xml:space="preserve">DISPLACEMENT WINDOW </w:t>
      </w:r>
    </w:p>
    <w:p w14:paraId="43A39ECD" w14:textId="77777777" w:rsidR="00910120" w:rsidRDefault="00910120" w:rsidP="001538B3">
      <w:pPr>
        <w:jc w:val="center"/>
        <w:rPr>
          <w:b/>
          <w:szCs w:val="22"/>
        </w:rPr>
      </w:pPr>
    </w:p>
    <w:p w14:paraId="770FF2D7" w14:textId="77777777" w:rsidR="00910120" w:rsidRDefault="00910120" w:rsidP="001538B3">
      <w:pPr>
        <w:jc w:val="center"/>
        <w:rPr>
          <w:b/>
          <w:szCs w:val="22"/>
        </w:rPr>
      </w:pPr>
      <w:r>
        <w:rPr>
          <w:b/>
          <w:szCs w:val="22"/>
        </w:rPr>
        <w:t>GN Docket No. 12-268</w:t>
      </w:r>
    </w:p>
    <w:p w14:paraId="39E4102D" w14:textId="77777777" w:rsidR="00910120" w:rsidRDefault="00910120" w:rsidP="001538B3">
      <w:pPr>
        <w:jc w:val="center"/>
        <w:rPr>
          <w:b/>
          <w:szCs w:val="22"/>
        </w:rPr>
      </w:pPr>
      <w:r>
        <w:rPr>
          <w:b/>
          <w:szCs w:val="22"/>
        </w:rPr>
        <w:t>MB Docket No. 03-185</w:t>
      </w:r>
    </w:p>
    <w:p w14:paraId="7D4D61BD" w14:textId="77777777" w:rsidR="001538B3" w:rsidRDefault="001538B3" w:rsidP="001538B3">
      <w:pPr>
        <w:jc w:val="center"/>
        <w:rPr>
          <w:rFonts w:ascii="Times New Roman Bold" w:hAnsi="Times New Roman Bold"/>
          <w:b/>
          <w:szCs w:val="22"/>
        </w:rPr>
      </w:pPr>
    </w:p>
    <w:p w14:paraId="1CAB963C" w14:textId="72F7EE6C" w:rsidR="003C68F3" w:rsidRDefault="003C68F3" w:rsidP="007D0A49">
      <w:pPr>
        <w:pStyle w:val="ParaNum0"/>
        <w:numPr>
          <w:ilvl w:val="0"/>
          <w:numId w:val="0"/>
        </w:numPr>
        <w:tabs>
          <w:tab w:val="left" w:pos="720"/>
        </w:tabs>
        <w:ind w:left="90" w:firstLine="630"/>
        <w:rPr>
          <w:snapToGrid/>
          <w:kern w:val="0"/>
          <w:szCs w:val="22"/>
          <w:lang w:val="en-US"/>
        </w:rPr>
      </w:pPr>
      <w:r>
        <w:rPr>
          <w:snapToGrid/>
          <w:kern w:val="0"/>
          <w:szCs w:val="22"/>
          <w:lang w:val="en-US"/>
        </w:rPr>
        <w:t xml:space="preserve">By this Public Notice, </w:t>
      </w:r>
      <w:r>
        <w:rPr>
          <w:snapToGrid/>
          <w:kern w:val="0"/>
          <w:szCs w:val="22"/>
        </w:rPr>
        <w:t xml:space="preserve">the Media Bureau </w:t>
      </w:r>
      <w:r w:rsidR="008843D7">
        <w:rPr>
          <w:snapToGrid/>
          <w:kern w:val="0"/>
          <w:szCs w:val="22"/>
          <w:lang w:val="en-US"/>
        </w:rPr>
        <w:t>announces</w:t>
      </w:r>
      <w:r w:rsidR="008843D7">
        <w:rPr>
          <w:snapToGrid/>
          <w:kern w:val="0"/>
          <w:szCs w:val="22"/>
        </w:rPr>
        <w:t xml:space="preserve"> </w:t>
      </w:r>
      <w:r>
        <w:rPr>
          <w:snapToGrid/>
          <w:kern w:val="0"/>
          <w:szCs w:val="22"/>
          <w:lang w:val="en-US"/>
        </w:rPr>
        <w:t xml:space="preserve">that, in order to participate in the post-Incentive Auction special displacement window, low power television (LPTV) and TV translator stations must be operating on the date that the </w:t>
      </w:r>
      <w:r w:rsidRPr="009D6BB1">
        <w:rPr>
          <w:i/>
          <w:snapToGrid/>
          <w:kern w:val="0"/>
          <w:szCs w:val="22"/>
          <w:lang w:val="en-US"/>
        </w:rPr>
        <w:t>Channel Reassignment Public Notice</w:t>
      </w:r>
      <w:r>
        <w:rPr>
          <w:snapToGrid/>
          <w:kern w:val="0"/>
          <w:szCs w:val="22"/>
          <w:lang w:val="en-US"/>
        </w:rPr>
        <w:t xml:space="preserve"> </w:t>
      </w:r>
      <w:r w:rsidR="002C0496">
        <w:rPr>
          <w:snapToGrid/>
          <w:kern w:val="0"/>
          <w:szCs w:val="22"/>
          <w:lang w:val="en-US"/>
        </w:rPr>
        <w:t xml:space="preserve">is released </w:t>
      </w:r>
      <w:r>
        <w:rPr>
          <w:snapToGrid/>
          <w:kern w:val="0"/>
          <w:szCs w:val="22"/>
          <w:lang w:val="en-US"/>
        </w:rPr>
        <w:t>following the co</w:t>
      </w:r>
      <w:r w:rsidR="00910120">
        <w:rPr>
          <w:snapToGrid/>
          <w:kern w:val="0"/>
          <w:szCs w:val="22"/>
          <w:lang w:val="en-US"/>
        </w:rPr>
        <w:t>mpletion</w:t>
      </w:r>
      <w:r>
        <w:rPr>
          <w:snapToGrid/>
          <w:kern w:val="0"/>
          <w:szCs w:val="22"/>
          <w:lang w:val="en-US"/>
        </w:rPr>
        <w:t xml:space="preserve"> of the </w:t>
      </w:r>
      <w:r w:rsidR="00910120">
        <w:rPr>
          <w:snapToGrid/>
          <w:kern w:val="0"/>
          <w:szCs w:val="22"/>
          <w:lang w:val="en-US"/>
        </w:rPr>
        <w:t>reverse auction</w:t>
      </w:r>
      <w:r>
        <w:rPr>
          <w:snapToGrid/>
          <w:kern w:val="0"/>
          <w:szCs w:val="22"/>
          <w:lang w:val="en-US"/>
        </w:rPr>
        <w:t>.</w:t>
      </w:r>
      <w:r>
        <w:rPr>
          <w:rStyle w:val="FootnoteReference"/>
          <w:snapToGrid/>
          <w:kern w:val="0"/>
          <w:szCs w:val="22"/>
          <w:lang w:val="en-US"/>
        </w:rPr>
        <w:footnoteReference w:id="1"/>
      </w:r>
    </w:p>
    <w:p w14:paraId="5EAD4D25" w14:textId="01C96A2B" w:rsidR="0042470E" w:rsidRDefault="0086222B" w:rsidP="00B40909">
      <w:pPr>
        <w:autoSpaceDE w:val="0"/>
        <w:autoSpaceDN w:val="0"/>
        <w:adjustRightInd w:val="0"/>
        <w:ind w:firstLine="720"/>
      </w:pPr>
      <w:r w:rsidRPr="00CA0C20">
        <w:rPr>
          <w:szCs w:val="22"/>
        </w:rPr>
        <w:t xml:space="preserve">In the </w:t>
      </w:r>
      <w:r w:rsidRPr="00CA0C20">
        <w:rPr>
          <w:i/>
          <w:szCs w:val="22"/>
        </w:rPr>
        <w:t>Incentive Auction R</w:t>
      </w:r>
      <w:r w:rsidR="00CA0C20" w:rsidRPr="00CA0C20">
        <w:rPr>
          <w:i/>
          <w:szCs w:val="22"/>
        </w:rPr>
        <w:t>&amp;O</w:t>
      </w:r>
      <w:r w:rsidRPr="00CA0C20">
        <w:rPr>
          <w:szCs w:val="22"/>
        </w:rPr>
        <w:t>,</w:t>
      </w:r>
      <w:r w:rsidR="002C0496">
        <w:rPr>
          <w:szCs w:val="22"/>
        </w:rPr>
        <w:t xml:space="preserve"> </w:t>
      </w:r>
      <w:r w:rsidRPr="00CA0C20">
        <w:rPr>
          <w:szCs w:val="22"/>
        </w:rPr>
        <w:t xml:space="preserve">the Commission </w:t>
      </w:r>
      <w:r w:rsidR="0076117A">
        <w:rPr>
          <w:szCs w:val="22"/>
        </w:rPr>
        <w:t xml:space="preserve">delegated authority to the Media Bureau to announce, after release of the </w:t>
      </w:r>
      <w:r w:rsidR="0076117A" w:rsidRPr="00A41C20">
        <w:rPr>
          <w:i/>
          <w:szCs w:val="22"/>
        </w:rPr>
        <w:t>Channel Reassignment</w:t>
      </w:r>
      <w:r w:rsidR="0076117A">
        <w:rPr>
          <w:szCs w:val="22"/>
        </w:rPr>
        <w:t xml:space="preserve"> </w:t>
      </w:r>
      <w:r w:rsidR="000D2766" w:rsidRPr="00A41C20">
        <w:rPr>
          <w:i/>
          <w:szCs w:val="22"/>
        </w:rPr>
        <w:t>Public Notice</w:t>
      </w:r>
      <w:r w:rsidR="0076117A">
        <w:rPr>
          <w:szCs w:val="22"/>
        </w:rPr>
        <w:t xml:space="preserve"> and after eligible full power and Class A television stations have an opportunity to file construction permit applications for their new facilities,</w:t>
      </w:r>
      <w:r w:rsidR="008843D7">
        <w:rPr>
          <w:szCs w:val="22"/>
        </w:rPr>
        <w:t xml:space="preserve"> including an alternative channel or expanded facility,</w:t>
      </w:r>
      <w:r w:rsidR="0076117A">
        <w:rPr>
          <w:szCs w:val="22"/>
        </w:rPr>
        <w:t xml:space="preserve"> a limited window for</w:t>
      </w:r>
      <w:r w:rsidR="00341F90">
        <w:rPr>
          <w:szCs w:val="22"/>
        </w:rPr>
        <w:t xml:space="preserve"> operating LPTV and TV translator stations to submit displacement applications.</w:t>
      </w:r>
      <w:r w:rsidR="00CA0C20">
        <w:rPr>
          <w:rStyle w:val="FootnoteReference"/>
        </w:rPr>
        <w:footnoteReference w:id="2"/>
      </w:r>
      <w:r w:rsidR="00CA0C20" w:rsidRPr="00CA0C20">
        <w:t xml:space="preserve"> </w:t>
      </w:r>
      <w:r w:rsidR="006D69BC">
        <w:t xml:space="preserve"> </w:t>
      </w:r>
      <w:r w:rsidR="007D15F1">
        <w:t>T</w:t>
      </w:r>
      <w:r w:rsidR="0042470E">
        <w:t xml:space="preserve">he </w:t>
      </w:r>
      <w:r w:rsidR="0042470E" w:rsidRPr="00921DEE">
        <w:t>Commission</w:t>
      </w:r>
      <w:r w:rsidR="000124DB">
        <w:t>’</w:t>
      </w:r>
      <w:r w:rsidR="000D2766">
        <w:t xml:space="preserve">s rules limit eligibility </w:t>
      </w:r>
      <w:r w:rsidR="0042470E">
        <w:t xml:space="preserve">to file in the displacement window </w:t>
      </w:r>
      <w:r w:rsidR="000D2766">
        <w:t>to</w:t>
      </w:r>
      <w:r w:rsidR="0042470E">
        <w:t xml:space="preserve"> “</w:t>
      </w:r>
      <w:r w:rsidR="0042470E" w:rsidRPr="00921DEE">
        <w:rPr>
          <w:rFonts w:eastAsia="TimesNewRoman"/>
          <w:i/>
        </w:rPr>
        <w:t>operating</w:t>
      </w:r>
      <w:r w:rsidR="0042470E" w:rsidRPr="00921DEE">
        <w:rPr>
          <w:rFonts w:eastAsia="TimesNewRoman"/>
        </w:rPr>
        <w:t xml:space="preserve"> low power TV and TV translator stations </w:t>
      </w:r>
      <w:r w:rsidR="0042470E" w:rsidRPr="0041275D">
        <w:rPr>
          <w:rFonts w:eastAsia="TimesNewRoman"/>
        </w:rPr>
        <w:t>that are displaced</w:t>
      </w:r>
      <w:r w:rsidR="00FF4504">
        <w:rPr>
          <w:rFonts w:eastAsia="TimesNewRoman"/>
        </w:rPr>
        <w:t xml:space="preserve"> . . . as a result of </w:t>
      </w:r>
      <w:r w:rsidR="0042470E" w:rsidRPr="00921DEE">
        <w:rPr>
          <w:rFonts w:eastAsia="TimesNewRoman"/>
        </w:rPr>
        <w:t xml:space="preserve">the </w:t>
      </w:r>
      <w:r w:rsidR="0042470E" w:rsidRPr="00921DEE">
        <w:rPr>
          <w:iCs/>
        </w:rPr>
        <w:t>broadcast television spectrum incentive auction</w:t>
      </w:r>
      <w:r w:rsidR="0042470E">
        <w:rPr>
          <w:iCs/>
        </w:rPr>
        <w:t>.</w:t>
      </w:r>
      <w:r w:rsidR="00FF4504">
        <w:rPr>
          <w:iCs/>
        </w:rPr>
        <w:t>”</w:t>
      </w:r>
      <w:r w:rsidR="0042470E">
        <w:rPr>
          <w:rStyle w:val="FootnoteReference"/>
          <w:rFonts w:eastAsia="TimesNewRoman"/>
          <w:color w:val="010101"/>
        </w:rPr>
        <w:footnoteReference w:id="3"/>
      </w:r>
      <w:r w:rsidR="0042470E" w:rsidRPr="00921DEE">
        <w:rPr>
          <w:rFonts w:eastAsia="TimesNewRoman"/>
          <w:color w:val="010101"/>
        </w:rPr>
        <w:t xml:space="preserve">  </w:t>
      </w:r>
      <w:r w:rsidR="00CA0C20" w:rsidRPr="00CA0C20">
        <w:t xml:space="preserve">The Commission </w:t>
      </w:r>
      <w:r w:rsidR="009D6BB1">
        <w:t xml:space="preserve">delegated authority to the Media Bureau to announce the terms of the limited displacement window consistent with the approach outlined in the </w:t>
      </w:r>
      <w:r w:rsidR="009D6BB1" w:rsidRPr="009D6BB1">
        <w:rPr>
          <w:i/>
        </w:rPr>
        <w:t>Incentive Auction R&amp;O</w:t>
      </w:r>
      <w:r w:rsidR="00CA0C20" w:rsidRPr="00CA0C20">
        <w:t>.</w:t>
      </w:r>
      <w:r w:rsidR="00936CA7">
        <w:rPr>
          <w:rStyle w:val="FootnoteReference"/>
        </w:rPr>
        <w:footnoteReference w:id="4"/>
      </w:r>
      <w:r w:rsidR="00CA0C20" w:rsidRPr="00CA0C20">
        <w:t xml:space="preserve">  </w:t>
      </w:r>
    </w:p>
    <w:p w14:paraId="5A4FF43F" w14:textId="330013DD" w:rsidR="000A79DC" w:rsidRDefault="00CA0C20" w:rsidP="00C42740">
      <w:pPr>
        <w:autoSpaceDE w:val="0"/>
        <w:autoSpaceDN w:val="0"/>
        <w:adjustRightInd w:val="0"/>
        <w:rPr>
          <w:szCs w:val="22"/>
        </w:rPr>
      </w:pPr>
      <w:r w:rsidRPr="003C68F3">
        <w:rPr>
          <w:szCs w:val="22"/>
        </w:rPr>
        <w:lastRenderedPageBreak/>
        <w:tab/>
      </w:r>
      <w:r w:rsidR="00B744DA">
        <w:rPr>
          <w:szCs w:val="22"/>
        </w:rPr>
        <w:t xml:space="preserve">For </w:t>
      </w:r>
      <w:r w:rsidR="007231BC">
        <w:rPr>
          <w:szCs w:val="22"/>
        </w:rPr>
        <w:t>these purposes</w:t>
      </w:r>
      <w:r w:rsidR="00B744DA">
        <w:rPr>
          <w:szCs w:val="22"/>
        </w:rPr>
        <w:t>, w</w:t>
      </w:r>
      <w:r w:rsidR="00632656">
        <w:rPr>
          <w:szCs w:val="22"/>
        </w:rPr>
        <w:t xml:space="preserve">e interpret </w:t>
      </w:r>
      <w:r w:rsidR="00B744DA">
        <w:rPr>
          <w:szCs w:val="22"/>
        </w:rPr>
        <w:t xml:space="preserve">an “operating” </w:t>
      </w:r>
      <w:r w:rsidR="007D15F1">
        <w:t xml:space="preserve">LPTV or TV translator </w:t>
      </w:r>
      <w:r w:rsidR="000124DB">
        <w:t xml:space="preserve">station </w:t>
      </w:r>
      <w:r w:rsidR="007231BC">
        <w:t xml:space="preserve">that is displaced as a result of the incentive auction </w:t>
      </w:r>
      <w:r w:rsidR="00B744DA">
        <w:t xml:space="preserve">to mean </w:t>
      </w:r>
      <w:r w:rsidR="00632656">
        <w:t xml:space="preserve">one that is </w:t>
      </w:r>
      <w:r w:rsidR="000124DB" w:rsidRPr="00921DEE">
        <w:t xml:space="preserve">operating </w:t>
      </w:r>
      <w:r w:rsidR="007231BC">
        <w:t xml:space="preserve">on </w:t>
      </w:r>
      <w:r w:rsidR="000124DB">
        <w:t xml:space="preserve">the date of </w:t>
      </w:r>
      <w:r w:rsidR="000124DB" w:rsidRPr="00921DEE">
        <w:t xml:space="preserve">release of the </w:t>
      </w:r>
      <w:r w:rsidR="000124DB" w:rsidRPr="005B4173">
        <w:rPr>
          <w:i/>
          <w:szCs w:val="22"/>
        </w:rPr>
        <w:t>Channel Reassignment</w:t>
      </w:r>
      <w:r w:rsidR="000124DB">
        <w:rPr>
          <w:szCs w:val="22"/>
        </w:rPr>
        <w:t xml:space="preserve"> </w:t>
      </w:r>
      <w:r w:rsidR="000124DB" w:rsidRPr="005B4173">
        <w:rPr>
          <w:i/>
          <w:szCs w:val="22"/>
        </w:rPr>
        <w:t>Public Notice</w:t>
      </w:r>
      <w:r w:rsidR="000124DB" w:rsidRPr="00921DEE">
        <w:t>.</w:t>
      </w:r>
      <w:r w:rsidR="000124DB">
        <w:rPr>
          <w:rStyle w:val="FootnoteReference"/>
        </w:rPr>
        <w:footnoteReference w:id="5"/>
      </w:r>
      <w:r w:rsidR="00A65697">
        <w:t xml:space="preserve">  </w:t>
      </w:r>
      <w:r w:rsidR="000124DB">
        <w:t xml:space="preserve">Moreover, </w:t>
      </w:r>
      <w:r w:rsidR="000124DB">
        <w:rPr>
          <w:szCs w:val="22"/>
        </w:rPr>
        <w:t>w</w:t>
      </w:r>
      <w:r w:rsidR="003C68F3" w:rsidRPr="003C68F3">
        <w:rPr>
          <w:szCs w:val="22"/>
        </w:rPr>
        <w:t xml:space="preserve">e </w:t>
      </w:r>
      <w:r w:rsidR="008D520E">
        <w:rPr>
          <w:szCs w:val="22"/>
        </w:rPr>
        <w:t xml:space="preserve">clarify that </w:t>
      </w:r>
      <w:r w:rsidR="007231BC" w:rsidRPr="009B07A5">
        <w:rPr>
          <w:szCs w:val="22"/>
        </w:rPr>
        <w:t xml:space="preserve">for these purposes </w:t>
      </w:r>
      <w:r w:rsidR="008D520E">
        <w:rPr>
          <w:szCs w:val="22"/>
        </w:rPr>
        <w:t xml:space="preserve">a station </w:t>
      </w:r>
      <w:r w:rsidR="00FF4504">
        <w:rPr>
          <w:szCs w:val="22"/>
        </w:rPr>
        <w:t>is</w:t>
      </w:r>
      <w:r w:rsidR="008D520E">
        <w:rPr>
          <w:szCs w:val="22"/>
        </w:rPr>
        <w:t xml:space="preserve"> </w:t>
      </w:r>
      <w:r w:rsidR="0042470E">
        <w:rPr>
          <w:szCs w:val="22"/>
        </w:rPr>
        <w:t>“</w:t>
      </w:r>
      <w:r w:rsidR="008D520E">
        <w:rPr>
          <w:szCs w:val="22"/>
        </w:rPr>
        <w:t>operating</w:t>
      </w:r>
      <w:r w:rsidR="0042470E">
        <w:rPr>
          <w:szCs w:val="22"/>
        </w:rPr>
        <w:t>”</w:t>
      </w:r>
      <w:r w:rsidR="00446C5B">
        <w:rPr>
          <w:i/>
          <w:szCs w:val="22"/>
        </w:rPr>
        <w:t xml:space="preserve"> </w:t>
      </w:r>
      <w:r w:rsidR="00FF4504">
        <w:rPr>
          <w:szCs w:val="22"/>
        </w:rPr>
        <w:t xml:space="preserve">if it has </w:t>
      </w:r>
      <w:r w:rsidR="00B224DF">
        <w:rPr>
          <w:szCs w:val="22"/>
        </w:rPr>
        <w:t>license</w:t>
      </w:r>
      <w:r w:rsidR="00FF4504">
        <w:rPr>
          <w:szCs w:val="22"/>
        </w:rPr>
        <w:t>d</w:t>
      </w:r>
      <w:r w:rsidR="00B224DF">
        <w:rPr>
          <w:szCs w:val="22"/>
        </w:rPr>
        <w:t xml:space="preserve"> </w:t>
      </w:r>
      <w:r w:rsidR="00FF4504">
        <w:rPr>
          <w:szCs w:val="22"/>
        </w:rPr>
        <w:t>its</w:t>
      </w:r>
      <w:r w:rsidR="00B224DF">
        <w:rPr>
          <w:szCs w:val="22"/>
        </w:rPr>
        <w:t xml:space="preserve"> authorized construction permit facilities</w:t>
      </w:r>
      <w:r w:rsidR="00862A8D">
        <w:rPr>
          <w:szCs w:val="22"/>
        </w:rPr>
        <w:t xml:space="preserve"> or ha</w:t>
      </w:r>
      <w:r w:rsidR="00FF4504">
        <w:rPr>
          <w:szCs w:val="22"/>
        </w:rPr>
        <w:t>s</w:t>
      </w:r>
      <w:r w:rsidR="00862A8D">
        <w:rPr>
          <w:szCs w:val="22"/>
        </w:rPr>
        <w:t xml:space="preserve"> an application for a license to cover on file </w:t>
      </w:r>
      <w:r w:rsidR="0042470E">
        <w:rPr>
          <w:szCs w:val="22"/>
        </w:rPr>
        <w:t>with the Commission</w:t>
      </w:r>
      <w:r w:rsidR="00A65697">
        <w:rPr>
          <w:szCs w:val="22"/>
        </w:rPr>
        <w:t xml:space="preserve"> on that date</w:t>
      </w:r>
      <w:r w:rsidR="00862A8D">
        <w:rPr>
          <w:szCs w:val="22"/>
        </w:rPr>
        <w:t>.</w:t>
      </w:r>
      <w:r w:rsidR="00446C5B">
        <w:rPr>
          <w:rStyle w:val="FootnoteReference"/>
          <w:szCs w:val="22"/>
        </w:rPr>
        <w:footnoteReference w:id="6"/>
      </w:r>
      <w:r w:rsidR="00A65697">
        <w:rPr>
          <w:szCs w:val="22"/>
        </w:rPr>
        <w:t xml:space="preserve">  </w:t>
      </w:r>
      <w:r w:rsidR="00A65697">
        <w:t xml:space="preserve">LPTV stations will not be required to actually cease operations on their current channels until well after the </w:t>
      </w:r>
      <w:r w:rsidR="00A65697" w:rsidRPr="00A65E99">
        <w:rPr>
          <w:i/>
        </w:rPr>
        <w:t>Channel Reassignment P</w:t>
      </w:r>
      <w:r w:rsidR="00A65697">
        <w:rPr>
          <w:i/>
        </w:rPr>
        <w:t xml:space="preserve">ublic </w:t>
      </w:r>
      <w:r w:rsidR="00A65697" w:rsidRPr="00A65E99">
        <w:rPr>
          <w:i/>
        </w:rPr>
        <w:t>N</w:t>
      </w:r>
      <w:r w:rsidR="00A65697">
        <w:rPr>
          <w:i/>
        </w:rPr>
        <w:t xml:space="preserve">otice </w:t>
      </w:r>
      <w:r w:rsidR="00A65697">
        <w:t>is released.</w:t>
      </w:r>
      <w:r w:rsidR="00A65697">
        <w:rPr>
          <w:rStyle w:val="FootnoteReference"/>
        </w:rPr>
        <w:footnoteReference w:id="7"/>
      </w:r>
      <w:r w:rsidR="00A65697">
        <w:t xml:space="preserve">  But the new </w:t>
      </w:r>
      <w:r w:rsidR="00CF689D">
        <w:t xml:space="preserve">full power and Class A </w:t>
      </w:r>
      <w:r w:rsidR="00A65697">
        <w:t xml:space="preserve">channel assignments announced in the </w:t>
      </w:r>
      <w:r w:rsidR="00A65697" w:rsidRPr="00291981">
        <w:rPr>
          <w:i/>
        </w:rPr>
        <w:t>Channel Reassignment P</w:t>
      </w:r>
      <w:r w:rsidR="00A65697">
        <w:rPr>
          <w:i/>
        </w:rPr>
        <w:t xml:space="preserve">ublic </w:t>
      </w:r>
      <w:r w:rsidR="00A65697" w:rsidRPr="00291981">
        <w:rPr>
          <w:i/>
        </w:rPr>
        <w:t>N</w:t>
      </w:r>
      <w:r w:rsidR="00A65697">
        <w:rPr>
          <w:i/>
        </w:rPr>
        <w:t>otice</w:t>
      </w:r>
      <w:r w:rsidR="00A65697">
        <w:t xml:space="preserve"> and the new 600 MHz band plan announced contemporaneously will </w:t>
      </w:r>
      <w:r w:rsidR="004C1C84">
        <w:t>enable</w:t>
      </w:r>
      <w:r w:rsidR="00A65697">
        <w:t xml:space="preserve"> LPTV stations to determine </w:t>
      </w:r>
      <w:r w:rsidR="004C1C84">
        <w:t xml:space="preserve">whether </w:t>
      </w:r>
      <w:r w:rsidR="00A65697">
        <w:t xml:space="preserve">they will </w:t>
      </w:r>
      <w:r w:rsidR="004C1C84">
        <w:t xml:space="preserve">eventually </w:t>
      </w:r>
      <w:r w:rsidR="00A65697">
        <w:t>be required to move from their current channel to accommodate a new primary licensee</w:t>
      </w:r>
      <w:r w:rsidR="004C1C84">
        <w:t xml:space="preserve"> and thus whether they would wish to consider filing for a displacement channel during the special displacement window.</w:t>
      </w:r>
      <w:r w:rsidR="004C318B">
        <w:t xml:space="preserve">  </w:t>
      </w:r>
      <w:r w:rsidR="00EC0C4B">
        <w:t xml:space="preserve">Determining </w:t>
      </w:r>
      <w:r w:rsidR="002930E6">
        <w:t xml:space="preserve">the universe of displaced operating LPTV stations as of the release of the </w:t>
      </w:r>
      <w:r w:rsidR="002930E6" w:rsidRPr="007E7E43">
        <w:rPr>
          <w:i/>
        </w:rPr>
        <w:t>Channel Reassignment Public Notice</w:t>
      </w:r>
      <w:r w:rsidR="002930E6">
        <w:t xml:space="preserve"> </w:t>
      </w:r>
      <w:r w:rsidR="004C318B">
        <w:t xml:space="preserve">will </w:t>
      </w:r>
      <w:r w:rsidR="00EC0C4B">
        <w:t>also assist</w:t>
      </w:r>
      <w:r w:rsidR="004C318B">
        <w:t xml:space="preserve"> the Media Bureau </w:t>
      </w:r>
      <w:r w:rsidR="00EC0C4B">
        <w:t xml:space="preserve">in </w:t>
      </w:r>
      <w:r w:rsidR="00A65697" w:rsidRPr="00291981">
        <w:rPr>
          <w:szCs w:val="22"/>
        </w:rPr>
        <w:t>identifying channels that can be proposed by displaced stations based on repacking and optimization software</w:t>
      </w:r>
      <w:r w:rsidR="00EC0C4B">
        <w:rPr>
          <w:szCs w:val="22"/>
        </w:rPr>
        <w:t xml:space="preserve"> and issuing a public notice listing potential channel assignments in advance of the displacement window.</w:t>
      </w:r>
      <w:r w:rsidR="00291981">
        <w:rPr>
          <w:rStyle w:val="FootnoteReference"/>
          <w:szCs w:val="22"/>
        </w:rPr>
        <w:footnoteReference w:id="8"/>
      </w:r>
      <w:r w:rsidR="004C318B">
        <w:rPr>
          <w:szCs w:val="22"/>
        </w:rPr>
        <w:t xml:space="preserve">  </w:t>
      </w:r>
    </w:p>
    <w:p w14:paraId="3C5EF04C" w14:textId="77777777" w:rsidR="000A79DC" w:rsidRDefault="000A79DC" w:rsidP="00C42740">
      <w:pPr>
        <w:autoSpaceDE w:val="0"/>
        <w:autoSpaceDN w:val="0"/>
        <w:adjustRightInd w:val="0"/>
        <w:rPr>
          <w:szCs w:val="22"/>
        </w:rPr>
      </w:pPr>
    </w:p>
    <w:p w14:paraId="2BE9CBD1" w14:textId="570666DF" w:rsidR="00A53EDB" w:rsidRDefault="004C318B" w:rsidP="00522860">
      <w:pPr>
        <w:ind w:firstLine="720"/>
      </w:pPr>
      <w:r>
        <w:rPr>
          <w:szCs w:val="22"/>
        </w:rPr>
        <w:t xml:space="preserve">By announcing </w:t>
      </w:r>
      <w:r w:rsidR="00EC0C4B">
        <w:rPr>
          <w:szCs w:val="22"/>
        </w:rPr>
        <w:t>the</w:t>
      </w:r>
      <w:r>
        <w:rPr>
          <w:szCs w:val="22"/>
        </w:rPr>
        <w:t xml:space="preserve"> deadline </w:t>
      </w:r>
      <w:r w:rsidR="00EC0C4B">
        <w:rPr>
          <w:szCs w:val="22"/>
        </w:rPr>
        <w:t xml:space="preserve">for identifying operating LPTV stations </w:t>
      </w:r>
      <w:r>
        <w:rPr>
          <w:szCs w:val="22"/>
        </w:rPr>
        <w:t xml:space="preserve">now, well in advance of the release of the </w:t>
      </w:r>
      <w:r>
        <w:rPr>
          <w:i/>
          <w:szCs w:val="22"/>
        </w:rPr>
        <w:t xml:space="preserve">Channel Reassignment Public </w:t>
      </w:r>
      <w:r w:rsidRPr="004C318B">
        <w:rPr>
          <w:i/>
          <w:szCs w:val="22"/>
        </w:rPr>
        <w:t>Notice</w:t>
      </w:r>
      <w:r>
        <w:rPr>
          <w:szCs w:val="22"/>
        </w:rPr>
        <w:t xml:space="preserve">, we seek to provide LPTV and TV translator station </w:t>
      </w:r>
      <w:r>
        <w:t>permittees with “</w:t>
      </w:r>
      <w:r w:rsidRPr="00CA0C20">
        <w:t>sufficient warning of this crucial deadline to allow them to complete construction and license permitted facilities.”</w:t>
      </w:r>
      <w:r>
        <w:rPr>
          <w:rStyle w:val="FootnoteReference"/>
        </w:rPr>
        <w:footnoteReference w:id="9"/>
      </w:r>
      <w:r w:rsidR="000A79DC">
        <w:t xml:space="preserve"> Permittees of digital LPTV and TV translators that are not operating on the date of release of the </w:t>
      </w:r>
      <w:r w:rsidR="000A79DC">
        <w:rPr>
          <w:i/>
        </w:rPr>
        <w:t xml:space="preserve">Channel Reassignment Public Notice </w:t>
      </w:r>
      <w:r w:rsidR="000A79DC">
        <w:t xml:space="preserve">will have to wait until the completion of the special displacement window for operating LPTV and TV translator stations before being able to file a displacement application and propose a channel from the smaller universe of unused television </w:t>
      </w:r>
      <w:r w:rsidR="000A79DC">
        <w:lastRenderedPageBreak/>
        <w:t>channels.</w:t>
      </w:r>
      <w:r w:rsidR="000A79DC">
        <w:rPr>
          <w:rStyle w:val="FootnoteReference"/>
        </w:rPr>
        <w:footnoteReference w:id="10"/>
      </w:r>
      <w:r w:rsidR="000A79DC" w:rsidRPr="00CA0C20">
        <w:t xml:space="preserve"> </w:t>
      </w:r>
      <w:r w:rsidR="000A79DC">
        <w:t xml:space="preserve"> </w:t>
      </w:r>
      <w:r w:rsidR="00A53EDB">
        <w:t xml:space="preserve">We </w:t>
      </w:r>
      <w:r w:rsidR="000A79DC">
        <w:t xml:space="preserve">also </w:t>
      </w:r>
      <w:r w:rsidR="00A53EDB">
        <w:t>remind LPTV and TV translator permittees that</w:t>
      </w:r>
      <w:r>
        <w:t xml:space="preserve"> the Commission has </w:t>
      </w:r>
      <w:r w:rsidR="00CF36A5">
        <w:t xml:space="preserve">extended the construction deadline for new digital LPTV and TV translator stations to the new digital transition date for the LPTV and TV translator service, which is 51 months </w:t>
      </w:r>
      <w:r w:rsidR="007F063F">
        <w:t xml:space="preserve">after </w:t>
      </w:r>
      <w:r w:rsidR="00CF36A5">
        <w:t xml:space="preserve">the release of the </w:t>
      </w:r>
      <w:r w:rsidR="00CF36A5" w:rsidRPr="00CF36A5">
        <w:rPr>
          <w:i/>
        </w:rPr>
        <w:t>Channel Reassignment Public Notice</w:t>
      </w:r>
      <w:r w:rsidR="00CF36A5">
        <w:t>.</w:t>
      </w:r>
      <w:r w:rsidR="00CF36A5">
        <w:rPr>
          <w:rStyle w:val="FootnoteReference"/>
          <w:szCs w:val="22"/>
        </w:rPr>
        <w:footnoteReference w:id="11"/>
      </w:r>
      <w:r w:rsidR="00CF36A5">
        <w:t xml:space="preserve"> </w:t>
      </w:r>
      <w:r w:rsidR="00367B25">
        <w:t xml:space="preserve"> </w:t>
      </w:r>
      <w:r w:rsidR="00B72AB5">
        <w:t>T</w:t>
      </w:r>
      <w:r w:rsidR="00CF36A5">
        <w:t xml:space="preserve">hus, </w:t>
      </w:r>
      <w:r w:rsidR="00A53EDB">
        <w:t>any</w:t>
      </w:r>
      <w:r w:rsidR="00CF36A5">
        <w:t xml:space="preserve"> construction efforts they may make between now and release of the </w:t>
      </w:r>
      <w:r w:rsidR="00CF36A5" w:rsidRPr="00CF36A5">
        <w:rPr>
          <w:i/>
        </w:rPr>
        <w:t>Channel Reassignment Public Notice</w:t>
      </w:r>
      <w:r w:rsidR="00CF36A5">
        <w:t xml:space="preserve"> are completely voluntary.  </w:t>
      </w:r>
    </w:p>
    <w:p w14:paraId="67FC2AAA" w14:textId="77777777" w:rsidR="000A79DC" w:rsidRPr="003C68F3" w:rsidRDefault="000A79DC" w:rsidP="00291981"/>
    <w:p w14:paraId="1BCAD21B" w14:textId="24B8DBC9" w:rsidR="001538B3" w:rsidRPr="00E01D8E" w:rsidRDefault="00390685" w:rsidP="001538B3">
      <w:pPr>
        <w:pStyle w:val="ParaNum0"/>
        <w:numPr>
          <w:ilvl w:val="0"/>
          <w:numId w:val="0"/>
        </w:numPr>
        <w:tabs>
          <w:tab w:val="left" w:pos="720"/>
        </w:tabs>
        <w:rPr>
          <w:szCs w:val="22"/>
          <w:lang w:val="en-US"/>
        </w:rPr>
      </w:pPr>
      <w:r>
        <w:rPr>
          <w:snapToGrid/>
          <w:kern w:val="0"/>
          <w:szCs w:val="22"/>
          <w:lang w:val="en-US"/>
        </w:rPr>
        <w:tab/>
      </w:r>
      <w:r w:rsidR="001538B3" w:rsidRPr="00CA3498">
        <w:rPr>
          <w:szCs w:val="22"/>
        </w:rPr>
        <w:t>This action is taken by the Chief, Media Bureau pursuant to authority delegated by 47 C.F.R. § 0.283 of the Commission’s rules.</w:t>
      </w:r>
    </w:p>
    <w:p w14:paraId="4EEB1A84" w14:textId="77777777" w:rsidR="001538B3" w:rsidRDefault="001538B3" w:rsidP="00522860">
      <w:pPr>
        <w:pStyle w:val="ParaNum0"/>
        <w:numPr>
          <w:ilvl w:val="0"/>
          <w:numId w:val="0"/>
        </w:numPr>
        <w:tabs>
          <w:tab w:val="left" w:pos="720"/>
        </w:tabs>
        <w:spacing w:after="0"/>
      </w:pPr>
      <w:r>
        <w:rPr>
          <w:snapToGrid/>
          <w:kern w:val="0"/>
          <w:szCs w:val="22"/>
        </w:rPr>
        <w:tab/>
        <w:t>For additional information or questions</w:t>
      </w:r>
      <w:r>
        <w:t>, please contact Hossein Hashemzadeh (technical) or Shaun Maher (legal) of the Video Division, Media Bureau at (202) 418-1600.</w:t>
      </w:r>
    </w:p>
    <w:p w14:paraId="1C8DCAD0" w14:textId="77777777" w:rsidR="00EF3D46" w:rsidRDefault="00EF3D46" w:rsidP="00522860">
      <w:pPr>
        <w:pStyle w:val="ParaNum0"/>
        <w:numPr>
          <w:ilvl w:val="0"/>
          <w:numId w:val="0"/>
        </w:numPr>
        <w:tabs>
          <w:tab w:val="left" w:pos="720"/>
        </w:tabs>
        <w:spacing w:after="0"/>
      </w:pPr>
    </w:p>
    <w:p w14:paraId="2C652973" w14:textId="77777777" w:rsidR="00A04C3C" w:rsidRDefault="001538B3" w:rsidP="001538B3">
      <w:pPr>
        <w:jc w:val="center"/>
        <w:rPr>
          <w:b/>
          <w:szCs w:val="22"/>
        </w:rPr>
      </w:pPr>
      <w:r>
        <w:rPr>
          <w:b/>
          <w:szCs w:val="22"/>
        </w:rPr>
        <w:t>-- FCC --</w:t>
      </w:r>
      <w:bookmarkEnd w:id="0"/>
      <w:bookmarkEnd w:id="1"/>
    </w:p>
    <w:sectPr w:rsidR="00A04C3C" w:rsidSect="00742606">
      <w:footerReference w:type="default" r:id="rId14"/>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5F8B1" w14:textId="77777777" w:rsidR="00CB7629" w:rsidRDefault="00CB7629">
      <w:r>
        <w:separator/>
      </w:r>
    </w:p>
  </w:endnote>
  <w:endnote w:type="continuationSeparator" w:id="0">
    <w:p w14:paraId="16447CE8" w14:textId="77777777" w:rsidR="00CB7629" w:rsidRDefault="00CB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F40F" w14:textId="77777777" w:rsidR="00A04C3C" w:rsidRDefault="00A04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EDBA83" w14:textId="77777777" w:rsidR="00A04C3C" w:rsidRDefault="00A04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8018" w14:textId="77777777" w:rsidR="00A04C3C" w:rsidRDefault="00A04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7F4">
      <w:rPr>
        <w:rStyle w:val="PageNumber"/>
        <w:noProof/>
      </w:rPr>
      <w:t>2</w:t>
    </w:r>
    <w:r>
      <w:rPr>
        <w:rStyle w:val="PageNumber"/>
      </w:rPr>
      <w:fldChar w:fldCharType="end"/>
    </w:r>
  </w:p>
  <w:p w14:paraId="75AD0669" w14:textId="77777777" w:rsidR="00A04C3C" w:rsidRDefault="00A04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62A7" w14:textId="77777777" w:rsidR="00DC6AC5" w:rsidRDefault="00DC6A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78CF" w14:textId="77777777" w:rsidR="00D107F4" w:rsidRDefault="00D107F4" w:rsidP="00742606">
    <w:pPr>
      <w:pStyle w:val="Footer"/>
      <w:jc w:val="center"/>
    </w:pPr>
    <w:r>
      <w:fldChar w:fldCharType="begin"/>
    </w:r>
    <w:r>
      <w:instrText xml:space="preserve"> PAGE   \* MERGEFORMAT </w:instrText>
    </w:r>
    <w:r>
      <w:fldChar w:fldCharType="separate"/>
    </w:r>
    <w:r w:rsidR="00623B9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7F56" w14:textId="77777777" w:rsidR="00CB7629" w:rsidRDefault="00CB7629">
      <w:r>
        <w:separator/>
      </w:r>
    </w:p>
  </w:footnote>
  <w:footnote w:type="continuationSeparator" w:id="0">
    <w:p w14:paraId="533B8A1C" w14:textId="77777777" w:rsidR="00CB7629" w:rsidRDefault="00CB7629">
      <w:r>
        <w:continuationSeparator/>
      </w:r>
    </w:p>
  </w:footnote>
  <w:footnote w:id="1">
    <w:p w14:paraId="779A8AEC" w14:textId="4B3D4C79" w:rsidR="003C68F3" w:rsidRDefault="003C68F3" w:rsidP="00522860">
      <w:pPr>
        <w:pStyle w:val="FootnoteText"/>
        <w:spacing w:after="0"/>
        <w:rPr>
          <w:sz w:val="20"/>
          <w:lang w:val="en-US"/>
        </w:rPr>
      </w:pPr>
      <w:r w:rsidRPr="00D22DE5">
        <w:rPr>
          <w:rStyle w:val="FootnoteReference"/>
          <w:sz w:val="20"/>
        </w:rPr>
        <w:footnoteRef/>
      </w:r>
      <w:r w:rsidR="00D22DE5">
        <w:rPr>
          <w:sz w:val="20"/>
          <w:lang w:val="en-US"/>
        </w:rPr>
        <w:t xml:space="preserve"> In the </w:t>
      </w:r>
      <w:r w:rsidR="00D22DE5">
        <w:rPr>
          <w:i/>
          <w:sz w:val="20"/>
          <w:lang w:val="en-US"/>
        </w:rPr>
        <w:t>Incentive Auction R&amp;O</w:t>
      </w:r>
      <w:r w:rsidR="00D22DE5">
        <w:rPr>
          <w:sz w:val="20"/>
          <w:lang w:val="en-US"/>
        </w:rPr>
        <w:t xml:space="preserve">, the Commission stated that, following the </w:t>
      </w:r>
      <w:r w:rsidR="0076117A">
        <w:rPr>
          <w:sz w:val="20"/>
          <w:lang w:val="en-US"/>
        </w:rPr>
        <w:t>completion of the reverse auction, the Media and Wireless Bureaus</w:t>
      </w:r>
      <w:r w:rsidR="00D22DE5">
        <w:rPr>
          <w:sz w:val="20"/>
          <w:lang w:val="en-US"/>
        </w:rPr>
        <w:t xml:space="preserve"> will release a “</w:t>
      </w:r>
      <w:r w:rsidR="00D22DE5" w:rsidRPr="00A51259">
        <w:rPr>
          <w:i/>
          <w:sz w:val="20"/>
          <w:lang w:val="en-US"/>
        </w:rPr>
        <w:t>Channel Reassignment Public Notice</w:t>
      </w:r>
      <w:r w:rsidR="00D22DE5">
        <w:rPr>
          <w:sz w:val="20"/>
          <w:lang w:val="en-US"/>
        </w:rPr>
        <w:t xml:space="preserve">” </w:t>
      </w:r>
      <w:r w:rsidR="0076117A">
        <w:rPr>
          <w:sz w:val="20"/>
          <w:lang w:val="en-US"/>
        </w:rPr>
        <w:t xml:space="preserve">specifying the new channel assignments and technical parameters of the full power and Class A television stations that are assigned new channels in the repacking process or </w:t>
      </w:r>
      <w:r w:rsidR="007F063F">
        <w:rPr>
          <w:sz w:val="20"/>
          <w:lang w:val="en-US"/>
        </w:rPr>
        <w:t>as the result of</w:t>
      </w:r>
      <w:r w:rsidR="004C318B">
        <w:rPr>
          <w:sz w:val="20"/>
          <w:lang w:val="en-US"/>
        </w:rPr>
        <w:t xml:space="preserve"> a</w:t>
      </w:r>
      <w:r w:rsidR="0076117A">
        <w:rPr>
          <w:sz w:val="20"/>
          <w:lang w:val="en-US"/>
        </w:rPr>
        <w:t xml:space="preserve"> winning bid in the reverse auction.</w:t>
      </w:r>
      <w:r w:rsidR="00D22DE5">
        <w:rPr>
          <w:sz w:val="20"/>
          <w:lang w:val="en-US"/>
        </w:rPr>
        <w:t xml:space="preserve">  </w:t>
      </w:r>
      <w:r w:rsidR="00D22DE5">
        <w:rPr>
          <w:i/>
          <w:sz w:val="20"/>
          <w:lang w:val="en-US"/>
        </w:rPr>
        <w:t xml:space="preserve">See </w:t>
      </w:r>
      <w:r w:rsidR="00D22DE5" w:rsidRPr="00D22DE5">
        <w:rPr>
          <w:i/>
          <w:sz w:val="20"/>
        </w:rPr>
        <w:t>In the Matter of Expanding the Economic and Innovation Opportunities of</w:t>
      </w:r>
      <w:r w:rsidR="00D22DE5" w:rsidRPr="00D22DE5">
        <w:rPr>
          <w:sz w:val="20"/>
        </w:rPr>
        <w:t xml:space="preserve"> </w:t>
      </w:r>
      <w:r w:rsidR="00D22DE5" w:rsidRPr="00D22DE5">
        <w:rPr>
          <w:i/>
          <w:sz w:val="20"/>
        </w:rPr>
        <w:t>Spectrum Through Incentive Auctions</w:t>
      </w:r>
      <w:r w:rsidR="00D22DE5" w:rsidRPr="00D22DE5">
        <w:rPr>
          <w:sz w:val="20"/>
        </w:rPr>
        <w:t>,  GN Docket No. 12-268, Report and Order, 29 FCC Rcd 6567</w:t>
      </w:r>
      <w:r w:rsidR="00D22DE5">
        <w:rPr>
          <w:sz w:val="20"/>
          <w:lang w:val="en-US"/>
        </w:rPr>
        <w:t>, 6783-4, para. 529</w:t>
      </w:r>
      <w:r w:rsidR="00D22DE5" w:rsidRPr="00D22DE5">
        <w:rPr>
          <w:sz w:val="20"/>
        </w:rPr>
        <w:t xml:space="preserve"> (2014) (</w:t>
      </w:r>
      <w:r w:rsidR="00D22DE5" w:rsidRPr="00D22DE5">
        <w:rPr>
          <w:i/>
          <w:sz w:val="20"/>
        </w:rPr>
        <w:t>Incentive Auction</w:t>
      </w:r>
      <w:r w:rsidR="00D22DE5" w:rsidRPr="00D22DE5">
        <w:rPr>
          <w:sz w:val="20"/>
        </w:rPr>
        <w:t xml:space="preserve"> </w:t>
      </w:r>
      <w:r w:rsidR="00D22DE5" w:rsidRPr="00D22DE5">
        <w:rPr>
          <w:i/>
          <w:sz w:val="20"/>
        </w:rPr>
        <w:t>R&amp;O</w:t>
      </w:r>
      <w:r w:rsidR="00D22DE5" w:rsidRPr="00D22DE5">
        <w:rPr>
          <w:sz w:val="20"/>
        </w:rPr>
        <w:t>),</w:t>
      </w:r>
      <w:r w:rsidR="00D22DE5" w:rsidRPr="00D22DE5">
        <w:rPr>
          <w:i/>
          <w:sz w:val="20"/>
        </w:rPr>
        <w:t xml:space="preserve"> aff’d, Nat’l Assoc. of Broadcasters, et al. v. FCC</w:t>
      </w:r>
      <w:r w:rsidR="00D22DE5" w:rsidRPr="00D22DE5">
        <w:rPr>
          <w:sz w:val="20"/>
        </w:rPr>
        <w:t xml:space="preserve">, </w:t>
      </w:r>
      <w:r w:rsidR="00D22DE5" w:rsidRPr="00D22DE5">
        <w:rPr>
          <w:snapToGrid w:val="0"/>
          <w:sz w:val="20"/>
        </w:rPr>
        <w:t>789 F.3d 165</w:t>
      </w:r>
      <w:r w:rsidR="00D22DE5" w:rsidRPr="00D22DE5">
        <w:rPr>
          <w:sz w:val="20"/>
        </w:rPr>
        <w:t xml:space="preserve"> (D.C. Cir. 2015)</w:t>
      </w:r>
      <w:r w:rsidR="00D22DE5">
        <w:rPr>
          <w:sz w:val="20"/>
          <w:lang w:val="en-US"/>
        </w:rPr>
        <w:t xml:space="preserve">; </w:t>
      </w:r>
      <w:r w:rsidR="00D22DE5">
        <w:rPr>
          <w:i/>
          <w:sz w:val="20"/>
          <w:lang w:val="en-US"/>
        </w:rPr>
        <w:t xml:space="preserve">see also </w:t>
      </w:r>
      <w:r w:rsidR="00D22DE5" w:rsidRPr="00D22DE5">
        <w:rPr>
          <w:sz w:val="20"/>
          <w:lang w:val="en-US"/>
        </w:rPr>
        <w:t>47 C.F.R. §§ 27.4, 73.3700(b)(4)(iii).</w:t>
      </w:r>
    </w:p>
    <w:p w14:paraId="06AA5BF1" w14:textId="77777777" w:rsidR="00EF3D46" w:rsidRPr="00D22DE5" w:rsidRDefault="00EF3D46" w:rsidP="00522860">
      <w:pPr>
        <w:pStyle w:val="FootnoteText"/>
        <w:spacing w:after="0"/>
        <w:rPr>
          <w:sz w:val="20"/>
          <w:lang w:val="en-US"/>
        </w:rPr>
      </w:pPr>
    </w:p>
  </w:footnote>
  <w:footnote w:id="2">
    <w:p w14:paraId="0F38B3F7" w14:textId="14069C29" w:rsidR="00367B25" w:rsidRPr="004A78AF" w:rsidRDefault="00CA0C20" w:rsidP="00B40909">
      <w:pPr>
        <w:autoSpaceDE w:val="0"/>
        <w:autoSpaceDN w:val="0"/>
        <w:adjustRightInd w:val="0"/>
        <w:spacing w:after="240"/>
        <w:rPr>
          <w:sz w:val="20"/>
        </w:rPr>
      </w:pPr>
      <w:r w:rsidRPr="004A78AF">
        <w:rPr>
          <w:rStyle w:val="FootnoteReference"/>
          <w:sz w:val="20"/>
        </w:rPr>
        <w:footnoteRef/>
      </w:r>
      <w:r w:rsidRPr="004A78AF">
        <w:rPr>
          <w:sz w:val="20"/>
        </w:rPr>
        <w:t xml:space="preserve"> </w:t>
      </w:r>
      <w:r w:rsidR="00D22DE5" w:rsidRPr="004A78AF">
        <w:rPr>
          <w:i/>
          <w:sz w:val="20"/>
        </w:rPr>
        <w:t xml:space="preserve">See </w:t>
      </w:r>
      <w:r w:rsidRPr="004A78AF">
        <w:rPr>
          <w:i/>
          <w:sz w:val="20"/>
        </w:rPr>
        <w:t>I</w:t>
      </w:r>
      <w:r w:rsidR="00D22DE5" w:rsidRPr="004A78AF">
        <w:rPr>
          <w:i/>
          <w:sz w:val="20"/>
        </w:rPr>
        <w:t>ncentive Auction R&amp;O</w:t>
      </w:r>
      <w:r w:rsidR="00D22DE5" w:rsidRPr="004A78AF">
        <w:rPr>
          <w:sz w:val="20"/>
        </w:rPr>
        <w:t xml:space="preserve">, 29 FCC Rcd at </w:t>
      </w:r>
      <w:r w:rsidRPr="004A78AF">
        <w:rPr>
          <w:sz w:val="20"/>
        </w:rPr>
        <w:t>6635-36, para. 659.</w:t>
      </w:r>
      <w:r w:rsidR="00341F90" w:rsidRPr="004A78AF">
        <w:rPr>
          <w:sz w:val="20"/>
        </w:rPr>
        <w:t xml:space="preserve"> </w:t>
      </w:r>
      <w:r w:rsidR="007E7E43">
        <w:rPr>
          <w:sz w:val="20"/>
        </w:rPr>
        <w:t xml:space="preserve">In addition, </w:t>
      </w:r>
      <w:r w:rsidR="007E7E43" w:rsidRPr="007E7E43">
        <w:rPr>
          <w:sz w:val="20"/>
        </w:rPr>
        <w:t>the Commission determined that if a Class A station obtains a license after February 22, 2012, but is displaced by the auction repacking process, it will be eligible to file for a new channel in one of the first two filing opportunities for alternate channels.</w:t>
      </w:r>
      <w:r w:rsidR="007E7E43">
        <w:rPr>
          <w:sz w:val="20"/>
        </w:rPr>
        <w:t xml:space="preserve">  </w:t>
      </w:r>
      <w:r w:rsidR="007E7E43">
        <w:rPr>
          <w:i/>
          <w:sz w:val="20"/>
        </w:rPr>
        <w:t xml:space="preserve">See </w:t>
      </w:r>
      <w:r w:rsidR="007E7E43" w:rsidRPr="007E7E43">
        <w:rPr>
          <w:i/>
          <w:iCs/>
          <w:sz w:val="20"/>
          <w:shd w:val="clear" w:color="auto" w:fill="FFFFFF"/>
        </w:rPr>
        <w:t>Incentive Auction R&amp;O</w:t>
      </w:r>
      <w:r w:rsidR="007E7E43" w:rsidRPr="007E7E43">
        <w:rPr>
          <w:sz w:val="20"/>
          <w:shd w:val="clear" w:color="auto" w:fill="FFFFFF"/>
        </w:rPr>
        <w:t>, 29 FCC Rcd at 6671, para. 234</w:t>
      </w:r>
      <w:r w:rsidR="007E7E43">
        <w:rPr>
          <w:sz w:val="20"/>
          <w:shd w:val="clear" w:color="auto" w:fill="FFFFFF"/>
        </w:rPr>
        <w:t>;</w:t>
      </w:r>
      <w:r w:rsidR="00A00E14">
        <w:rPr>
          <w:sz w:val="20"/>
          <w:shd w:val="clear" w:color="auto" w:fill="FFFFFF"/>
        </w:rPr>
        <w:t xml:space="preserve"> Sec</w:t>
      </w:r>
      <w:r w:rsidR="007E7E43" w:rsidRPr="007E7E43">
        <w:rPr>
          <w:sz w:val="20"/>
          <w:shd w:val="clear" w:color="auto" w:fill="FFFFFF"/>
        </w:rPr>
        <w:t>ond Order on Reconsideration, 30 FCC Rcd 6746, 6775, para. 63 (2015)</w:t>
      </w:r>
      <w:r w:rsidR="007E7E43">
        <w:rPr>
          <w:sz w:val="20"/>
          <w:shd w:val="clear" w:color="auto" w:fill="FFFFFF"/>
        </w:rPr>
        <w:t>.</w:t>
      </w:r>
      <w:r w:rsidR="00A00E14">
        <w:rPr>
          <w:sz w:val="20"/>
          <w:shd w:val="clear" w:color="auto" w:fill="FFFFFF"/>
        </w:rPr>
        <w:t xml:space="preserve">  </w:t>
      </w:r>
      <w:r w:rsidR="00A00E14" w:rsidRPr="00A00E14">
        <w:rPr>
          <w:sz w:val="20"/>
          <w:shd w:val="clear" w:color="auto" w:fill="FFFFFF"/>
        </w:rPr>
        <w:t xml:space="preserve">On further reconsideration the Commission directed the Media Bureau to allow displaced Class A stations to file during the first filing opportunity.  </w:t>
      </w:r>
      <w:r w:rsidR="00A00E14">
        <w:rPr>
          <w:i/>
          <w:sz w:val="20"/>
          <w:shd w:val="clear" w:color="auto" w:fill="FFFFFF"/>
        </w:rPr>
        <w:t xml:space="preserve">See </w:t>
      </w:r>
      <w:r w:rsidR="00A00E14">
        <w:rPr>
          <w:sz w:val="20"/>
          <w:shd w:val="clear" w:color="auto" w:fill="FFFFFF"/>
        </w:rPr>
        <w:t>Order on</w:t>
      </w:r>
      <w:r w:rsidR="00A00E14" w:rsidRPr="00A00E14">
        <w:rPr>
          <w:sz w:val="20"/>
          <w:shd w:val="clear" w:color="auto" w:fill="FFFFFF"/>
        </w:rPr>
        <w:t xml:space="preserve"> Reconsideration, 31 FCC Rcd</w:t>
      </w:r>
      <w:r w:rsidR="00A00E14">
        <w:rPr>
          <w:sz w:val="20"/>
          <w:shd w:val="clear" w:color="auto" w:fill="FFFFFF"/>
        </w:rPr>
        <w:t xml:space="preserve"> 1367, 1382, para. 22 (2016).</w:t>
      </w:r>
      <w:r w:rsidR="00A00E14" w:rsidRPr="00A00E14">
        <w:rPr>
          <w:sz w:val="20"/>
          <w:shd w:val="clear" w:color="auto" w:fill="FFFFFF"/>
        </w:rPr>
        <w:t xml:space="preserve"> </w:t>
      </w:r>
    </w:p>
  </w:footnote>
  <w:footnote w:id="3">
    <w:p w14:paraId="24A46E6C" w14:textId="6E08A897" w:rsidR="0042470E" w:rsidRDefault="0042470E" w:rsidP="00522860">
      <w:pPr>
        <w:pStyle w:val="FootnoteText"/>
        <w:spacing w:after="0"/>
        <w:rPr>
          <w:sz w:val="20"/>
          <w:lang w:val="en-US"/>
        </w:rPr>
      </w:pPr>
      <w:r w:rsidRPr="004A78AF">
        <w:rPr>
          <w:rStyle w:val="FootnoteReference"/>
          <w:sz w:val="20"/>
        </w:rPr>
        <w:footnoteRef/>
      </w:r>
      <w:r w:rsidRPr="004A78AF">
        <w:rPr>
          <w:sz w:val="20"/>
        </w:rPr>
        <w:t xml:space="preserve"> </w:t>
      </w:r>
      <w:r w:rsidRPr="004A78AF">
        <w:rPr>
          <w:rFonts w:eastAsia="TimesNewRoman"/>
          <w:color w:val="010101"/>
          <w:sz w:val="20"/>
        </w:rPr>
        <w:t>47 C.F.R. § 73.3700(g)(1) (emphasis added)</w:t>
      </w:r>
      <w:r w:rsidR="007D15F1">
        <w:rPr>
          <w:rFonts w:eastAsia="TimesNewRoman"/>
          <w:color w:val="010101"/>
          <w:sz w:val="20"/>
          <w:lang w:val="en-US"/>
        </w:rPr>
        <w:t xml:space="preserve">; </w:t>
      </w:r>
      <w:r w:rsidR="007D15F1" w:rsidRPr="004A78AF">
        <w:rPr>
          <w:i/>
          <w:sz w:val="20"/>
        </w:rPr>
        <w:t>I</w:t>
      </w:r>
      <w:r w:rsidR="007D15F1" w:rsidRPr="004A78AF">
        <w:rPr>
          <w:i/>
          <w:sz w:val="20"/>
          <w:lang w:val="en-US"/>
        </w:rPr>
        <w:t xml:space="preserve">ncentive </w:t>
      </w:r>
      <w:r w:rsidR="007D15F1" w:rsidRPr="004A78AF">
        <w:rPr>
          <w:i/>
          <w:sz w:val="20"/>
        </w:rPr>
        <w:t>A</w:t>
      </w:r>
      <w:r w:rsidR="007D15F1" w:rsidRPr="004A78AF">
        <w:rPr>
          <w:i/>
          <w:sz w:val="20"/>
          <w:lang w:val="en-US"/>
        </w:rPr>
        <w:t>uction</w:t>
      </w:r>
      <w:r w:rsidR="007D15F1" w:rsidRPr="004A78AF">
        <w:rPr>
          <w:i/>
          <w:sz w:val="20"/>
        </w:rPr>
        <w:t xml:space="preserve"> R&amp;O</w:t>
      </w:r>
      <w:r w:rsidR="007D15F1" w:rsidRPr="004A78AF">
        <w:rPr>
          <w:sz w:val="20"/>
          <w:lang w:val="en-US"/>
        </w:rPr>
        <w:t xml:space="preserve">, 29 FCC Rcd at 6635-36, </w:t>
      </w:r>
      <w:r w:rsidR="007D15F1">
        <w:rPr>
          <w:sz w:val="20"/>
          <w:lang w:val="en-US"/>
        </w:rPr>
        <w:t xml:space="preserve">para. </w:t>
      </w:r>
      <w:r w:rsidR="007D15F1" w:rsidRPr="004A78AF">
        <w:rPr>
          <w:sz w:val="20"/>
        </w:rPr>
        <w:t>659</w:t>
      </w:r>
      <w:r w:rsidR="00FF4504">
        <w:rPr>
          <w:rFonts w:eastAsia="TimesNewRoman"/>
          <w:color w:val="010101"/>
          <w:sz w:val="20"/>
          <w:lang w:val="en-US"/>
        </w:rPr>
        <w:t xml:space="preserve">.  </w:t>
      </w:r>
      <w:r w:rsidR="008843D7">
        <w:rPr>
          <w:sz w:val="20"/>
        </w:rPr>
        <w:t>More specifically, t</w:t>
      </w:r>
      <w:r w:rsidR="008843D7" w:rsidRPr="004A78AF">
        <w:rPr>
          <w:sz w:val="20"/>
        </w:rPr>
        <w:t xml:space="preserve">he window is limited to </w:t>
      </w:r>
      <w:r w:rsidR="008843D7">
        <w:rPr>
          <w:sz w:val="20"/>
          <w:lang w:val="en-US"/>
        </w:rPr>
        <w:t>t</w:t>
      </w:r>
      <w:r w:rsidR="008843D7" w:rsidRPr="004A78AF">
        <w:rPr>
          <w:sz w:val="20"/>
        </w:rPr>
        <w:t xml:space="preserve">hose operating stations </w:t>
      </w:r>
      <w:r w:rsidR="008843D7" w:rsidRPr="004A78AF">
        <w:rPr>
          <w:rFonts w:eastAsia="TimesNewRoman"/>
          <w:sz w:val="20"/>
        </w:rPr>
        <w:t xml:space="preserve">that (1) are displaced by a full power or Class A television station as a result of the incentive auction or the repacking process, (2) will cause interference to or receive interference from frequencies repurposed for new, flexible use by a 600 MHz Band wireless licensee, or (3) are licensed on frequencies that will serve as part of the 600 MHz Band guard bands.  </w:t>
      </w:r>
      <w:r w:rsidR="00FF4504" w:rsidRPr="00291981">
        <w:rPr>
          <w:rFonts w:eastAsia="TimesNewRoman"/>
          <w:i/>
          <w:color w:val="010101"/>
          <w:sz w:val="20"/>
          <w:lang w:val="en-US"/>
        </w:rPr>
        <w:t>See</w:t>
      </w:r>
      <w:r w:rsidR="007D15F1">
        <w:rPr>
          <w:rFonts w:eastAsia="TimesNewRoman"/>
          <w:i/>
          <w:color w:val="010101"/>
          <w:sz w:val="20"/>
          <w:lang w:val="en-US"/>
        </w:rPr>
        <w:t xml:space="preserve"> id</w:t>
      </w:r>
      <w:r w:rsidRPr="004A78AF">
        <w:rPr>
          <w:sz w:val="20"/>
          <w:lang w:val="en-US"/>
        </w:rPr>
        <w:t>.</w:t>
      </w:r>
    </w:p>
    <w:p w14:paraId="20BA7E7A" w14:textId="77777777" w:rsidR="00EF3D46" w:rsidRPr="004A78AF" w:rsidRDefault="00EF3D46" w:rsidP="00522860">
      <w:pPr>
        <w:pStyle w:val="FootnoteText"/>
        <w:spacing w:after="0"/>
        <w:rPr>
          <w:sz w:val="20"/>
          <w:lang w:val="en-US"/>
        </w:rPr>
      </w:pPr>
    </w:p>
  </w:footnote>
  <w:footnote w:id="4">
    <w:p w14:paraId="2D92C997" w14:textId="02C95B8A" w:rsidR="00EF3D46" w:rsidRDefault="00936CA7" w:rsidP="00522860">
      <w:pPr>
        <w:pStyle w:val="FootnoteText"/>
        <w:spacing w:after="0"/>
        <w:rPr>
          <w:sz w:val="20"/>
          <w:lang w:val="en-US"/>
        </w:rPr>
      </w:pPr>
      <w:r w:rsidRPr="00936CA7">
        <w:rPr>
          <w:rStyle w:val="FootnoteReference"/>
          <w:sz w:val="20"/>
        </w:rPr>
        <w:footnoteRef/>
      </w:r>
      <w:r w:rsidRPr="00936CA7">
        <w:rPr>
          <w:sz w:val="20"/>
        </w:rPr>
        <w:t xml:space="preserve"> </w:t>
      </w:r>
      <w:r w:rsidRPr="00A45015">
        <w:rPr>
          <w:i/>
          <w:sz w:val="20"/>
          <w:lang w:val="en-US"/>
        </w:rPr>
        <w:t>I</w:t>
      </w:r>
      <w:r w:rsidR="00A45015" w:rsidRPr="00132DAE">
        <w:rPr>
          <w:i/>
          <w:sz w:val="20"/>
          <w:lang w:val="en-US"/>
        </w:rPr>
        <w:t>d</w:t>
      </w:r>
      <w:r w:rsidR="00A45015">
        <w:rPr>
          <w:i/>
          <w:sz w:val="20"/>
          <w:lang w:val="en-US"/>
        </w:rPr>
        <w:t>.</w:t>
      </w:r>
    </w:p>
    <w:p w14:paraId="56F156AC" w14:textId="77777777" w:rsidR="00EF3D46" w:rsidRPr="00936CA7" w:rsidRDefault="00EF3D46" w:rsidP="00522860">
      <w:pPr>
        <w:pStyle w:val="FootnoteText"/>
        <w:spacing w:after="0"/>
        <w:rPr>
          <w:sz w:val="20"/>
          <w:lang w:val="en-US"/>
        </w:rPr>
      </w:pPr>
    </w:p>
  </w:footnote>
  <w:footnote w:id="5">
    <w:p w14:paraId="4170723B" w14:textId="5D389ABF" w:rsidR="00A65697" w:rsidRPr="00522860" w:rsidRDefault="000124DB" w:rsidP="00531732">
      <w:pPr>
        <w:autoSpaceDE w:val="0"/>
        <w:autoSpaceDN w:val="0"/>
        <w:adjustRightInd w:val="0"/>
        <w:rPr>
          <w:iCs/>
          <w:sz w:val="20"/>
        </w:rPr>
      </w:pPr>
      <w:r w:rsidRPr="00522860">
        <w:rPr>
          <w:rStyle w:val="FootnoteReference"/>
          <w:sz w:val="20"/>
        </w:rPr>
        <w:footnoteRef/>
      </w:r>
      <w:r w:rsidRPr="00522860">
        <w:rPr>
          <w:sz w:val="20"/>
        </w:rPr>
        <w:t xml:space="preserve"> </w:t>
      </w:r>
      <w:r w:rsidR="007D15F1" w:rsidRPr="004A78AF">
        <w:rPr>
          <w:rFonts w:eastAsia="TimesNewRoman"/>
          <w:color w:val="010101"/>
          <w:sz w:val="20"/>
        </w:rPr>
        <w:t xml:space="preserve">47 C.F.R. </w:t>
      </w:r>
      <w:r w:rsidR="007D15F1">
        <w:rPr>
          <w:rFonts w:eastAsia="TimesNewRoman"/>
          <w:color w:val="010101"/>
          <w:sz w:val="20"/>
        </w:rPr>
        <w:t xml:space="preserve">§ 73.3700(g)(1); </w:t>
      </w:r>
      <w:r w:rsidR="007D15F1" w:rsidRPr="004A78AF">
        <w:rPr>
          <w:i/>
          <w:sz w:val="20"/>
        </w:rPr>
        <w:t>Incentive Auction R&amp;O</w:t>
      </w:r>
      <w:r w:rsidR="007D15F1" w:rsidRPr="004A78AF">
        <w:rPr>
          <w:sz w:val="20"/>
        </w:rPr>
        <w:t xml:space="preserve">, 29 FCC Rcd at 6635-36, </w:t>
      </w:r>
      <w:r w:rsidR="007D15F1">
        <w:rPr>
          <w:sz w:val="20"/>
        </w:rPr>
        <w:t xml:space="preserve">para. </w:t>
      </w:r>
      <w:r w:rsidR="007D15F1" w:rsidRPr="004A78AF">
        <w:rPr>
          <w:sz w:val="20"/>
        </w:rPr>
        <w:t>659</w:t>
      </w:r>
      <w:r w:rsidR="007D15F1">
        <w:rPr>
          <w:sz w:val="20"/>
        </w:rPr>
        <w:t>;</w:t>
      </w:r>
      <w:r w:rsidR="00FF4504" w:rsidRPr="00522860">
        <w:rPr>
          <w:sz w:val="20"/>
        </w:rPr>
        <w:t xml:space="preserve"> </w:t>
      </w:r>
      <w:r w:rsidR="007D15F1">
        <w:rPr>
          <w:i/>
          <w:sz w:val="20"/>
        </w:rPr>
        <w:t>i</w:t>
      </w:r>
      <w:r w:rsidR="00A45015" w:rsidRPr="00A45015">
        <w:rPr>
          <w:i/>
          <w:sz w:val="20"/>
        </w:rPr>
        <w:t>d</w:t>
      </w:r>
      <w:r w:rsidR="00A45015">
        <w:rPr>
          <w:sz w:val="20"/>
        </w:rPr>
        <w:t xml:space="preserve">. </w:t>
      </w:r>
      <w:r w:rsidR="00291981" w:rsidRPr="00522860">
        <w:rPr>
          <w:sz w:val="20"/>
        </w:rPr>
        <w:t xml:space="preserve"> at 6835, </w:t>
      </w:r>
      <w:r w:rsidR="00EF3D46" w:rsidRPr="00522860">
        <w:rPr>
          <w:sz w:val="20"/>
        </w:rPr>
        <w:t xml:space="preserve">n. </w:t>
      </w:r>
      <w:r w:rsidR="002B7D39" w:rsidRPr="00522860">
        <w:rPr>
          <w:sz w:val="20"/>
        </w:rPr>
        <w:t>1833</w:t>
      </w:r>
      <w:r w:rsidR="00EF3D46" w:rsidRPr="00522860">
        <w:rPr>
          <w:sz w:val="20"/>
        </w:rPr>
        <w:t xml:space="preserve"> </w:t>
      </w:r>
      <w:r w:rsidR="002B7D39" w:rsidRPr="00522860">
        <w:rPr>
          <w:sz w:val="20"/>
        </w:rPr>
        <w:t>(</w:t>
      </w:r>
      <w:r w:rsidR="00531732" w:rsidRPr="00522860">
        <w:rPr>
          <w:sz w:val="20"/>
        </w:rPr>
        <w:t>explaining</w:t>
      </w:r>
      <w:r w:rsidR="002B7D39" w:rsidRPr="00522860">
        <w:rPr>
          <w:sz w:val="20"/>
        </w:rPr>
        <w:t xml:space="preserve"> that the requirement that displacement applications be submitted only after the primary station obtains a construction permit or license will not apply to LPTV and TV translator stations displaced </w:t>
      </w:r>
      <w:r w:rsidR="002B7D39" w:rsidRPr="00522860">
        <w:rPr>
          <w:rFonts w:eastAsia="TimesNewRoman"/>
          <w:sz w:val="20"/>
        </w:rPr>
        <w:t xml:space="preserve">as a result of the </w:t>
      </w:r>
      <w:r w:rsidR="002B7D39" w:rsidRPr="00522860">
        <w:rPr>
          <w:iCs/>
          <w:sz w:val="20"/>
        </w:rPr>
        <w:t xml:space="preserve">broadcast television spectrum incentive auction).  </w:t>
      </w:r>
    </w:p>
    <w:p w14:paraId="30EC1FEE" w14:textId="5DD08767" w:rsidR="000124DB" w:rsidRPr="00522860" w:rsidRDefault="000124DB" w:rsidP="00291981">
      <w:pPr>
        <w:autoSpaceDE w:val="0"/>
        <w:autoSpaceDN w:val="0"/>
        <w:adjustRightInd w:val="0"/>
        <w:rPr>
          <w:sz w:val="20"/>
        </w:rPr>
      </w:pPr>
    </w:p>
  </w:footnote>
  <w:footnote w:id="6">
    <w:p w14:paraId="719F7DD5" w14:textId="705B0CD8" w:rsidR="00446C5B" w:rsidRDefault="00446C5B" w:rsidP="00522860">
      <w:pPr>
        <w:pStyle w:val="FootnoteText"/>
        <w:spacing w:after="0"/>
        <w:rPr>
          <w:sz w:val="20"/>
          <w:lang w:val="en-US"/>
        </w:rPr>
      </w:pPr>
      <w:r w:rsidRPr="00522860">
        <w:rPr>
          <w:rStyle w:val="FootnoteReference"/>
          <w:sz w:val="20"/>
        </w:rPr>
        <w:footnoteRef/>
      </w:r>
      <w:r w:rsidRPr="00522860">
        <w:rPr>
          <w:sz w:val="20"/>
        </w:rPr>
        <w:t xml:space="preserve"> </w:t>
      </w:r>
      <w:r w:rsidR="00EF3D46" w:rsidRPr="00522860">
        <w:rPr>
          <w:i/>
          <w:sz w:val="20"/>
          <w:lang w:val="en-US"/>
        </w:rPr>
        <w:t>Id.</w:t>
      </w:r>
      <w:r w:rsidR="00EF3D46" w:rsidRPr="00522860">
        <w:rPr>
          <w:sz w:val="20"/>
          <w:lang w:val="en-US"/>
        </w:rPr>
        <w:t xml:space="preserve"> at 6652-53, para. 186 (</w:t>
      </w:r>
      <w:r w:rsidR="00B62621" w:rsidRPr="00522860">
        <w:rPr>
          <w:sz w:val="20"/>
          <w:lang w:val="en-US"/>
        </w:rPr>
        <w:t>explaining</w:t>
      </w:r>
      <w:r w:rsidR="00564800" w:rsidRPr="00522860">
        <w:rPr>
          <w:sz w:val="20"/>
          <w:lang w:val="en-US"/>
        </w:rPr>
        <w:t xml:space="preserve"> that</w:t>
      </w:r>
      <w:r w:rsidR="00564800" w:rsidRPr="00522860">
        <w:rPr>
          <w:sz w:val="20"/>
        </w:rPr>
        <w:t xml:space="preserve"> it is reasonable to assume that </w:t>
      </w:r>
      <w:r w:rsidR="00564800" w:rsidRPr="00522860">
        <w:rPr>
          <w:sz w:val="20"/>
          <w:lang w:val="en-US"/>
        </w:rPr>
        <w:t>a</w:t>
      </w:r>
      <w:r w:rsidR="00564800" w:rsidRPr="00522860">
        <w:rPr>
          <w:sz w:val="20"/>
        </w:rPr>
        <w:t xml:space="preserve"> facility </w:t>
      </w:r>
      <w:r w:rsidR="00564800" w:rsidRPr="00522860">
        <w:rPr>
          <w:sz w:val="20"/>
          <w:lang w:val="en-US"/>
        </w:rPr>
        <w:t>i</w:t>
      </w:r>
      <w:r w:rsidR="00564800" w:rsidRPr="00522860">
        <w:rPr>
          <w:sz w:val="20"/>
        </w:rPr>
        <w:t xml:space="preserve">s in operation if an application for a license to cover </w:t>
      </w:r>
      <w:r w:rsidR="00564800" w:rsidRPr="00522860">
        <w:rPr>
          <w:sz w:val="20"/>
          <w:lang w:val="en-US"/>
        </w:rPr>
        <w:t xml:space="preserve">is </w:t>
      </w:r>
      <w:r w:rsidR="00564800" w:rsidRPr="00522860">
        <w:rPr>
          <w:sz w:val="20"/>
        </w:rPr>
        <w:t>on file</w:t>
      </w:r>
      <w:r w:rsidR="00EF3D46" w:rsidRPr="00522860">
        <w:rPr>
          <w:sz w:val="20"/>
          <w:lang w:val="en-US"/>
        </w:rPr>
        <w:t>)</w:t>
      </w:r>
      <w:r w:rsidR="00B62621" w:rsidRPr="00522860">
        <w:rPr>
          <w:sz w:val="20"/>
          <w:lang w:val="en-US"/>
        </w:rPr>
        <w:t>.</w:t>
      </w:r>
      <w:r w:rsidR="00531732" w:rsidRPr="00522860">
        <w:rPr>
          <w:sz w:val="20"/>
          <w:lang w:val="en-US"/>
        </w:rPr>
        <w:t xml:space="preserve"> </w:t>
      </w:r>
      <w:r w:rsidRPr="00522860">
        <w:rPr>
          <w:sz w:val="20"/>
          <w:lang w:val="en-US"/>
        </w:rPr>
        <w:t xml:space="preserve">We note that we cannot predict with certainty the date of the conclusion of the now active auction or the release of the </w:t>
      </w:r>
      <w:r w:rsidRPr="00522860">
        <w:rPr>
          <w:i/>
          <w:sz w:val="20"/>
          <w:lang w:val="en-US"/>
        </w:rPr>
        <w:t>Channel Reassignment Public Notice.</w:t>
      </w:r>
      <w:r w:rsidR="002C0496" w:rsidRPr="00522860">
        <w:rPr>
          <w:sz w:val="20"/>
          <w:lang w:val="en-US"/>
        </w:rPr>
        <w:t xml:space="preserve">  S</w:t>
      </w:r>
      <w:r w:rsidR="002C0496" w:rsidRPr="00522860">
        <w:rPr>
          <w:i/>
          <w:sz w:val="20"/>
          <w:lang w:val="en-US"/>
        </w:rPr>
        <w:t>ee Initial Clearing Target of 126 Megahertz Set For The Broadcast Television Spectrum Incentive Auction; Bidding In the Clock Phase of the Reverse Auction (Auction 1001) Will Start on May 31, 2016</w:t>
      </w:r>
      <w:r w:rsidR="002C0496" w:rsidRPr="00522860">
        <w:rPr>
          <w:sz w:val="20"/>
          <w:lang w:val="en-US"/>
        </w:rPr>
        <w:t>, Public Notice, DA 16-453 (rel. April 29, 2016</w:t>
      </w:r>
      <w:r w:rsidR="00EF3D46" w:rsidRPr="00522860">
        <w:rPr>
          <w:sz w:val="20"/>
          <w:lang w:val="en-US"/>
        </w:rPr>
        <w:t xml:space="preserve">).  </w:t>
      </w:r>
      <w:r w:rsidRPr="00522860">
        <w:rPr>
          <w:sz w:val="20"/>
          <w:lang w:val="en-US"/>
        </w:rPr>
        <w:t>However, given the current status of the ongoing Incentive Auction, we anticipate</w:t>
      </w:r>
      <w:r w:rsidR="002C0496" w:rsidRPr="00522860">
        <w:rPr>
          <w:sz w:val="20"/>
          <w:lang w:val="en-US"/>
        </w:rPr>
        <w:t xml:space="preserve"> release of this clarification provides</w:t>
      </w:r>
      <w:r w:rsidRPr="00522860">
        <w:rPr>
          <w:sz w:val="20"/>
          <w:lang w:val="en-US"/>
        </w:rPr>
        <w:t xml:space="preserve"> sufficient </w:t>
      </w:r>
      <w:r w:rsidR="002C0496" w:rsidRPr="00522860">
        <w:rPr>
          <w:sz w:val="20"/>
          <w:lang w:val="en-US"/>
        </w:rPr>
        <w:t xml:space="preserve">time </w:t>
      </w:r>
      <w:r w:rsidRPr="00522860">
        <w:rPr>
          <w:sz w:val="20"/>
          <w:lang w:val="en-US"/>
        </w:rPr>
        <w:t>for permittees that have already commenced, but not yet completed construction, or that have made equipment investments but not yet commenced construction, to complete their construction and license their authorized facilities in order to qualify for the limited displacement window for operating stations.</w:t>
      </w:r>
    </w:p>
    <w:p w14:paraId="0396F9C0" w14:textId="77777777" w:rsidR="00EF3D46" w:rsidRPr="00522860" w:rsidRDefault="00EF3D46" w:rsidP="00522860">
      <w:pPr>
        <w:pStyle w:val="FootnoteText"/>
        <w:spacing w:after="0"/>
        <w:rPr>
          <w:sz w:val="20"/>
          <w:lang w:val="en-US"/>
        </w:rPr>
      </w:pPr>
    </w:p>
  </w:footnote>
  <w:footnote w:id="7">
    <w:p w14:paraId="598DD42D" w14:textId="77777777" w:rsidR="00A65697" w:rsidRDefault="00A65697" w:rsidP="00522860">
      <w:pPr>
        <w:pStyle w:val="FootnoteText"/>
        <w:spacing w:after="0"/>
        <w:rPr>
          <w:sz w:val="20"/>
        </w:rPr>
      </w:pPr>
      <w:r w:rsidRPr="00522860">
        <w:rPr>
          <w:rStyle w:val="FootnoteReference"/>
          <w:sz w:val="20"/>
        </w:rPr>
        <w:footnoteRef/>
      </w:r>
      <w:r w:rsidRPr="00522860">
        <w:rPr>
          <w:sz w:val="20"/>
        </w:rPr>
        <w:t xml:space="preserve"> </w:t>
      </w:r>
      <w:r w:rsidRPr="00522860">
        <w:rPr>
          <w:color w:val="000000" w:themeColor="text1"/>
          <w:sz w:val="20"/>
        </w:rPr>
        <w:t>Displaced LPTV stations in the spectrum transferred to wireless use (other than those in the spectrum assigned to guard bands) will not be required to relocate until the new wireless licensee is ready to commence operations, which in many cases may be more than 39 months.  47 C.F.R. § 73.3700(g)(4)(iii).  Displaced LPTV stations</w:t>
      </w:r>
      <w:r w:rsidRPr="00522860">
        <w:rPr>
          <w:snapToGrid w:val="0"/>
          <w:color w:val="000000" w:themeColor="text1"/>
          <w:sz w:val="20"/>
        </w:rPr>
        <w:t xml:space="preserve"> </w:t>
      </w:r>
      <w:r w:rsidRPr="00522860">
        <w:rPr>
          <w:color w:val="000000" w:themeColor="text1"/>
          <w:sz w:val="20"/>
        </w:rPr>
        <w:t>in the spectrum assigned to guard bands</w:t>
      </w:r>
      <w:r w:rsidRPr="00522860">
        <w:rPr>
          <w:snapToGrid w:val="0"/>
          <w:color w:val="000000" w:themeColor="text1"/>
          <w:sz w:val="20"/>
        </w:rPr>
        <w:t xml:space="preserve">, including the duplex gap, must relocate no later than the end of the 39-month transition period.  </w:t>
      </w:r>
      <w:r w:rsidRPr="00522860">
        <w:rPr>
          <w:color w:val="000000" w:themeColor="text1"/>
          <w:sz w:val="20"/>
        </w:rPr>
        <w:t xml:space="preserve">47 C.F.R. § 73.3700(g)(4)(v).  </w:t>
      </w:r>
      <w:r w:rsidRPr="00522860">
        <w:rPr>
          <w:snapToGrid w:val="0"/>
          <w:color w:val="000000" w:themeColor="text1"/>
          <w:sz w:val="20"/>
        </w:rPr>
        <w:t>I</w:t>
      </w:r>
      <w:r w:rsidRPr="00522860">
        <w:rPr>
          <w:color w:val="000000" w:themeColor="text1"/>
          <w:sz w:val="20"/>
        </w:rPr>
        <w:t xml:space="preserve">n the spectrum continuing to be allocated and assigned to broadcast television, LPTV stations may continue to operate until displaced by a full power or Class A television station that is reassigned a new channel in the repacking process.  </w:t>
      </w:r>
      <w:r w:rsidRPr="00522860">
        <w:rPr>
          <w:i/>
          <w:sz w:val="20"/>
        </w:rPr>
        <w:t>See Incentive Auction R&amp;O</w:t>
      </w:r>
      <w:r w:rsidRPr="00522860">
        <w:rPr>
          <w:sz w:val="20"/>
        </w:rPr>
        <w:t>, 29 FCC Rcd at 6840 n.1866.</w:t>
      </w:r>
    </w:p>
    <w:p w14:paraId="51F7F87D" w14:textId="77777777" w:rsidR="00EF3D46" w:rsidRPr="00522860" w:rsidRDefault="00EF3D46" w:rsidP="00522860">
      <w:pPr>
        <w:pStyle w:val="FootnoteText"/>
        <w:spacing w:after="0"/>
        <w:rPr>
          <w:sz w:val="20"/>
        </w:rPr>
      </w:pPr>
    </w:p>
  </w:footnote>
  <w:footnote w:id="8">
    <w:p w14:paraId="44282DF4" w14:textId="7756EADD" w:rsidR="00291981" w:rsidRDefault="00291981" w:rsidP="00522860">
      <w:pPr>
        <w:pStyle w:val="FootnoteText"/>
        <w:spacing w:after="0"/>
        <w:rPr>
          <w:sz w:val="20"/>
          <w:lang w:val="en-US"/>
        </w:rPr>
      </w:pPr>
      <w:r w:rsidRPr="00522860">
        <w:rPr>
          <w:rStyle w:val="FootnoteReference"/>
          <w:sz w:val="20"/>
        </w:rPr>
        <w:footnoteRef/>
      </w:r>
      <w:r w:rsidRPr="00522860">
        <w:rPr>
          <w:sz w:val="20"/>
        </w:rPr>
        <w:t xml:space="preserve"> </w:t>
      </w:r>
      <w:r w:rsidRPr="00522860">
        <w:rPr>
          <w:i/>
          <w:sz w:val="20"/>
          <w:lang w:val="en-US"/>
        </w:rPr>
        <w:t>See Amendment of Parts 73 and 74 of the Commission’s Rules to Establish Rules for Digital Low Power Television and Television Translator Stations</w:t>
      </w:r>
      <w:r w:rsidRPr="00522860">
        <w:rPr>
          <w:sz w:val="20"/>
          <w:lang w:val="en-US"/>
        </w:rPr>
        <w:t>, MB Docket No. 03-185, Third Report and Order and Fourth Notice of Proposed Rulemaking, 30 FCC Rcd 14927, 14946, para. 41 (2015) (</w:t>
      </w:r>
      <w:r w:rsidRPr="00522860">
        <w:rPr>
          <w:i/>
          <w:sz w:val="20"/>
          <w:lang w:val="en-US"/>
        </w:rPr>
        <w:t>LPTV DTV Third Report and Order)</w:t>
      </w:r>
      <w:r w:rsidRPr="00522860">
        <w:rPr>
          <w:sz w:val="20"/>
          <w:lang w:val="en-US"/>
        </w:rPr>
        <w:t>.</w:t>
      </w:r>
    </w:p>
    <w:p w14:paraId="3104C707" w14:textId="77777777" w:rsidR="00EF3D46" w:rsidRPr="00522860" w:rsidRDefault="00EF3D46" w:rsidP="00522860">
      <w:pPr>
        <w:pStyle w:val="FootnoteText"/>
        <w:spacing w:after="0"/>
        <w:rPr>
          <w:i/>
          <w:sz w:val="20"/>
          <w:lang w:val="en-US"/>
        </w:rPr>
      </w:pPr>
    </w:p>
  </w:footnote>
  <w:footnote w:id="9">
    <w:p w14:paraId="1F541570" w14:textId="77777777" w:rsidR="00EF3D46" w:rsidRDefault="004C318B" w:rsidP="00522860">
      <w:pPr>
        <w:pStyle w:val="FootnoteText"/>
        <w:spacing w:after="0"/>
        <w:rPr>
          <w:sz w:val="20"/>
          <w:lang w:val="en-US"/>
        </w:rPr>
      </w:pPr>
      <w:r w:rsidRPr="00522860">
        <w:rPr>
          <w:rStyle w:val="FootnoteReference"/>
          <w:sz w:val="20"/>
        </w:rPr>
        <w:footnoteRef/>
      </w:r>
      <w:r w:rsidRPr="00522860">
        <w:rPr>
          <w:sz w:val="20"/>
        </w:rPr>
        <w:t xml:space="preserve"> </w:t>
      </w:r>
      <w:r w:rsidRPr="00522860">
        <w:rPr>
          <w:sz w:val="20"/>
          <w:lang w:val="en-US"/>
        </w:rPr>
        <w:t xml:space="preserve">Letter from Joan Stewart, Wiley Rein, LLP to Marlene H. Dortch, Secretary, FCC, MB Docket 03-185 at 1- 2 (filed Dec. 3, 2015). (Gray </w:t>
      </w:r>
      <w:r w:rsidRPr="00522860">
        <w:rPr>
          <w:i/>
          <w:sz w:val="20"/>
          <w:lang w:val="en-US"/>
        </w:rPr>
        <w:t>Ex Parte</w:t>
      </w:r>
      <w:r w:rsidRPr="00522860">
        <w:rPr>
          <w:sz w:val="20"/>
          <w:lang w:val="en-US"/>
        </w:rPr>
        <w:t>).</w:t>
      </w:r>
    </w:p>
    <w:p w14:paraId="5D5A1FB8" w14:textId="77C71E82" w:rsidR="004C318B" w:rsidRPr="00522860" w:rsidRDefault="004C318B" w:rsidP="00522860">
      <w:pPr>
        <w:pStyle w:val="FootnoteText"/>
        <w:spacing w:after="0"/>
        <w:rPr>
          <w:i/>
          <w:sz w:val="20"/>
          <w:lang w:val="en-US"/>
        </w:rPr>
      </w:pPr>
      <w:r w:rsidRPr="00522860">
        <w:rPr>
          <w:sz w:val="20"/>
          <w:lang w:val="en-US"/>
        </w:rPr>
        <w:t xml:space="preserve">  </w:t>
      </w:r>
    </w:p>
  </w:footnote>
  <w:footnote w:id="10">
    <w:p w14:paraId="351226B8" w14:textId="5C927DDE" w:rsidR="000A79DC" w:rsidRPr="00522860" w:rsidRDefault="000A79DC" w:rsidP="000A79DC">
      <w:pPr>
        <w:pStyle w:val="FootnoteText"/>
        <w:rPr>
          <w:sz w:val="20"/>
          <w:lang w:val="en-US"/>
        </w:rPr>
      </w:pPr>
      <w:r w:rsidRPr="00522860">
        <w:rPr>
          <w:rStyle w:val="FootnoteReference"/>
          <w:sz w:val="20"/>
        </w:rPr>
        <w:footnoteRef/>
      </w:r>
      <w:r w:rsidRPr="00522860">
        <w:rPr>
          <w:sz w:val="20"/>
        </w:rPr>
        <w:t xml:space="preserve"> </w:t>
      </w:r>
      <w:r w:rsidR="00291981" w:rsidRPr="00522860">
        <w:rPr>
          <w:i/>
          <w:sz w:val="20"/>
          <w:lang w:val="en-US"/>
        </w:rPr>
        <w:t xml:space="preserve">See </w:t>
      </w:r>
      <w:r w:rsidR="00EF3D46" w:rsidRPr="00522860">
        <w:rPr>
          <w:i/>
          <w:sz w:val="20"/>
          <w:lang w:val="en-US"/>
        </w:rPr>
        <w:t>LPTV DTV Third Report and Order</w:t>
      </w:r>
      <w:r w:rsidRPr="00522860">
        <w:rPr>
          <w:sz w:val="20"/>
          <w:lang w:val="en-US"/>
        </w:rPr>
        <w:t xml:space="preserve">, 30 FCC Rcd </w:t>
      </w:r>
      <w:r w:rsidR="00291981" w:rsidRPr="00522860">
        <w:rPr>
          <w:sz w:val="20"/>
          <w:lang w:val="en-US"/>
        </w:rPr>
        <w:t>at</w:t>
      </w:r>
      <w:r w:rsidRPr="00522860">
        <w:rPr>
          <w:sz w:val="20"/>
          <w:lang w:val="en-US"/>
        </w:rPr>
        <w:t xml:space="preserve"> 14936 n.50.</w:t>
      </w:r>
    </w:p>
  </w:footnote>
  <w:footnote w:id="11">
    <w:p w14:paraId="75290D92" w14:textId="6E64B844" w:rsidR="00CF36A5" w:rsidRPr="004A78AF" w:rsidRDefault="00CF36A5">
      <w:pPr>
        <w:pStyle w:val="FootnoteText"/>
        <w:rPr>
          <w:sz w:val="20"/>
          <w:lang w:val="en-US"/>
        </w:rPr>
      </w:pPr>
      <w:r w:rsidRPr="004A78AF">
        <w:rPr>
          <w:rStyle w:val="FootnoteReference"/>
          <w:sz w:val="20"/>
        </w:rPr>
        <w:footnoteRef/>
      </w:r>
      <w:r w:rsidRPr="004A78AF">
        <w:rPr>
          <w:sz w:val="20"/>
        </w:rPr>
        <w:t xml:space="preserve"> </w:t>
      </w:r>
      <w:r w:rsidR="00291981">
        <w:rPr>
          <w:i/>
          <w:sz w:val="20"/>
          <w:lang w:val="en-US"/>
        </w:rPr>
        <w:t>Id.</w:t>
      </w:r>
      <w:r w:rsidRPr="004A78AF">
        <w:rPr>
          <w:sz w:val="20"/>
          <w:lang w:val="en-US"/>
        </w:rPr>
        <w:t xml:space="preserve"> at 14932-33, para. 9 and 14935,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C1E8" w14:textId="77777777" w:rsidR="00DC6AC5" w:rsidRDefault="00DC6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3869" w14:textId="77777777" w:rsidR="00DC6AC5" w:rsidRDefault="00DC6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2F40" w14:textId="77777777" w:rsidR="00A04C3C" w:rsidRDefault="005E22E2" w:rsidP="00742606">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5168" behindDoc="0" locked="0" layoutInCell="0" allowOverlap="1" wp14:anchorId="75979FF0" wp14:editId="54DFA46F">
              <wp:simplePos x="0" y="0"/>
              <wp:positionH relativeFrom="column">
                <wp:posOffset>-55457</wp:posOffset>
              </wp:positionH>
              <wp:positionV relativeFrom="paragraph">
                <wp:posOffset>739140</wp:posOffset>
              </wp:positionV>
              <wp:extent cx="2770505"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53A7" w14:textId="77777777" w:rsidR="00A04C3C" w:rsidRDefault="00A04C3C">
                          <w:pPr>
                            <w:rPr>
                              <w:rFonts w:ascii="Arial" w:hAnsi="Arial"/>
                              <w:b/>
                            </w:rPr>
                          </w:pPr>
                          <w:r>
                            <w:rPr>
                              <w:rFonts w:ascii="Arial" w:hAnsi="Arial"/>
                              <w:b/>
                            </w:rPr>
                            <w:t>Federal Communications Commission</w:t>
                          </w:r>
                        </w:p>
                        <w:p w14:paraId="6DFEDFB8" w14:textId="77777777" w:rsidR="00A04C3C" w:rsidRDefault="00A04C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5D97C92" w14:textId="77777777" w:rsidR="00A04C3C" w:rsidRDefault="00A04C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979FF0" id="_x0000_t202" coordsize="21600,21600" o:spt="202" path="m,l,21600r21600,l21600,xe">
              <v:stroke joinstyle="miter"/>
              <v:path gradientshapeok="t" o:connecttype="rect"/>
            </v:shapetype>
            <v:shape id="Text Box 1" o:spid="_x0000_s1026" type="#_x0000_t202" style="position:absolute;margin-left:-4.35pt;margin-top:58.2pt;width:218.15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" o:allowincell="f" stroked="f">
              <v:textbox>
                <w:txbxContent>
                  <w:p w14:paraId="077D53A7" w14:textId="77777777" w:rsidR="00A04C3C" w:rsidRDefault="00A04C3C">
                    <w:pPr>
                      <w:rPr>
                        <w:rFonts w:ascii="Arial" w:hAnsi="Arial"/>
                        <w:b/>
                      </w:rPr>
                    </w:pPr>
                    <w:r>
                      <w:rPr>
                        <w:rFonts w:ascii="Arial" w:hAnsi="Arial"/>
                        <w:b/>
                      </w:rPr>
                      <w:t>Federal Communications Commission</w:t>
                    </w:r>
                  </w:p>
                  <w:p w14:paraId="6DFEDFB8" w14:textId="77777777" w:rsidR="00A04C3C" w:rsidRDefault="00A04C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5D97C92" w14:textId="77777777" w:rsidR="00A04C3C" w:rsidRDefault="00A04C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7216" behindDoc="0" locked="0" layoutInCell="0" allowOverlap="1" wp14:anchorId="22B4260B" wp14:editId="7424472A">
          <wp:simplePos x="0" y="0"/>
          <wp:positionH relativeFrom="column">
            <wp:posOffset>-663575</wp:posOffset>
          </wp:positionH>
          <wp:positionV relativeFrom="paragraph">
            <wp:posOffset>116417</wp:posOffset>
          </wp:positionV>
          <wp:extent cx="530225" cy="530225"/>
          <wp:effectExtent l="0" t="0" r="3175" b="3175"/>
          <wp:wrapTopAndBottom/>
          <wp:docPr id="13"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3C">
      <w:rPr>
        <w:rFonts w:ascii="News Gothic MT" w:hAnsi="News Gothic MT"/>
        <w:b/>
        <w:kern w:val="28"/>
        <w:sz w:val="96"/>
      </w:rPr>
      <w:t>PUBLIC NOTICE</w:t>
    </w:r>
  </w:p>
  <w:p w14:paraId="49EC95FF" w14:textId="77777777" w:rsidR="00A04C3C" w:rsidRDefault="0074260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2ECB07ED" wp14:editId="3DFBD7B4">
              <wp:simplePos x="0" y="0"/>
              <wp:positionH relativeFrom="column">
                <wp:posOffset>3776980</wp:posOffset>
              </wp:positionH>
              <wp:positionV relativeFrom="paragraph">
                <wp:posOffset>62865</wp:posOffset>
              </wp:positionV>
              <wp:extent cx="2209165" cy="506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47558" w14:textId="77777777" w:rsidR="00A04C3C" w:rsidRDefault="00A04C3C">
                          <w:pPr>
                            <w:spacing w:before="40"/>
                            <w:jc w:val="right"/>
                            <w:rPr>
                              <w:rFonts w:ascii="Arial" w:hAnsi="Arial"/>
                              <w:b/>
                              <w:sz w:val="16"/>
                            </w:rPr>
                          </w:pPr>
                          <w:r>
                            <w:rPr>
                              <w:rFonts w:ascii="Arial" w:hAnsi="Arial"/>
                              <w:b/>
                              <w:sz w:val="16"/>
                            </w:rPr>
                            <w:t>News Media Information 202 / 418-0500</w:t>
                          </w:r>
                        </w:p>
                        <w:p w14:paraId="19766ECA" w14:textId="77777777" w:rsidR="00A04C3C" w:rsidRDefault="00A04C3C">
                          <w:pPr>
                            <w:jc w:val="right"/>
                            <w:rPr>
                              <w:rFonts w:ascii="Arial" w:hAnsi="Arial"/>
                              <w:b/>
                              <w:sz w:val="16"/>
                            </w:rPr>
                          </w:pPr>
                          <w:r>
                            <w:rPr>
                              <w:rFonts w:ascii="Arial" w:hAnsi="Arial"/>
                              <w:b/>
                              <w:sz w:val="16"/>
                            </w:rPr>
                            <w:tab/>
                            <w:t>Internet: http://www.fcc.gov</w:t>
                          </w:r>
                        </w:p>
                        <w:p w14:paraId="6F84E93D" w14:textId="77777777" w:rsidR="00A04C3C" w:rsidRDefault="00A04C3C" w:rsidP="00D107F4">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CB07ED" id="Text Box 4" o:spid="_x0000_s1027" type="#_x0000_t202" style="position:absolute;left:0;text-align:left;margin-left:297.4pt;margin-top:4.95pt;width:173.95pt;height: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i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" o:allowincell="f" stroked="f">
              <v:textbox inset=",0,,0">
                <w:txbxContent>
                  <w:p w14:paraId="2AE47558" w14:textId="77777777" w:rsidR="00A04C3C" w:rsidRDefault="00A04C3C">
                    <w:pPr>
                      <w:spacing w:before="40"/>
                      <w:jc w:val="right"/>
                      <w:rPr>
                        <w:rFonts w:ascii="Arial" w:hAnsi="Arial"/>
                        <w:b/>
                        <w:sz w:val="16"/>
                      </w:rPr>
                    </w:pPr>
                    <w:r>
                      <w:rPr>
                        <w:rFonts w:ascii="Arial" w:hAnsi="Arial"/>
                        <w:b/>
                        <w:sz w:val="16"/>
                      </w:rPr>
                      <w:t>News Media Information 202 / 418-0500</w:t>
                    </w:r>
                  </w:p>
                  <w:p w14:paraId="19766ECA" w14:textId="77777777" w:rsidR="00A04C3C" w:rsidRDefault="00A04C3C">
                    <w:pPr>
                      <w:jc w:val="right"/>
                      <w:rPr>
                        <w:rFonts w:ascii="Arial" w:hAnsi="Arial"/>
                        <w:b/>
                        <w:sz w:val="16"/>
                      </w:rPr>
                    </w:pPr>
                    <w:r>
                      <w:rPr>
                        <w:rFonts w:ascii="Arial" w:hAnsi="Arial"/>
                        <w:b/>
                        <w:sz w:val="16"/>
                      </w:rPr>
                      <w:tab/>
                      <w:t>Internet: http://www.fcc.gov</w:t>
                    </w:r>
                  </w:p>
                  <w:p w14:paraId="6F84E93D" w14:textId="77777777" w:rsidR="00A04C3C" w:rsidRDefault="00A04C3C" w:rsidP="00D107F4">
                    <w:pPr>
                      <w:jc w:val="right"/>
                    </w:pPr>
                    <w:r>
                      <w:rPr>
                        <w:rFonts w:ascii="Arial" w:hAnsi="Arial"/>
                        <w:b/>
                        <w:sz w:val="16"/>
                      </w:rPr>
                      <w:t>TTY: 1-888-835-5322</w:t>
                    </w:r>
                  </w:p>
                </w:txbxContent>
              </v:textbox>
            </v:shape>
          </w:pict>
        </mc:Fallback>
      </mc:AlternateContent>
    </w:r>
    <w:r>
      <w:rPr>
        <w:rFonts w:ascii="Arial" w:hAnsi="Arial"/>
        <w:b/>
        <w:noProof/>
      </w:rPr>
      <mc:AlternateContent>
        <mc:Choice Requires="wps">
          <w:drawing>
            <wp:anchor distT="0" distB="0" distL="114300" distR="114300" simplePos="0" relativeHeight="251659264" behindDoc="0" locked="0" layoutInCell="0" allowOverlap="1" wp14:anchorId="018EEE9C" wp14:editId="63647E75">
              <wp:simplePos x="0" y="0"/>
              <wp:positionH relativeFrom="column">
                <wp:posOffset>0</wp:posOffset>
              </wp:positionH>
              <wp:positionV relativeFrom="paragraph">
                <wp:posOffset>697865</wp:posOffset>
              </wp:positionV>
              <wp:extent cx="592645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6C03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6.6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rN8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" o:allowincell="f"/>
          </w:pict>
        </mc:Fallback>
      </mc:AlternateContent>
    </w:r>
  </w:p>
  <w:p w14:paraId="1443391F" w14:textId="77777777" w:rsidR="00A04C3C" w:rsidRDefault="00A04C3C" w:rsidP="005E22E2">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601A501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C5B5BC3"/>
    <w:multiLevelType w:val="hybridMultilevel"/>
    <w:tmpl w:val="2CEA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D180CED0"/>
    <w:lvl w:ilvl="0">
      <w:start w:val="1"/>
      <w:numFmt w:val="decimal"/>
      <w:pStyle w:val="ParaNum0"/>
      <w:lvlText w:val="%1."/>
      <w:lvlJc w:val="left"/>
      <w:pPr>
        <w:tabs>
          <w:tab w:val="num" w:pos="1170"/>
        </w:tabs>
        <w:ind w:left="90" w:firstLine="720"/>
      </w:pPr>
    </w:lvl>
  </w:abstractNum>
  <w:abstractNum w:abstractNumId="9">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num w:numId="1">
    <w:abstractNumId w:val="5"/>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4F"/>
    <w:rsid w:val="000124DB"/>
    <w:rsid w:val="00044380"/>
    <w:rsid w:val="000450E1"/>
    <w:rsid w:val="000562F4"/>
    <w:rsid w:val="000A79DC"/>
    <w:rsid w:val="000B2A25"/>
    <w:rsid w:val="000D2766"/>
    <w:rsid w:val="000F4B21"/>
    <w:rsid w:val="00105D2A"/>
    <w:rsid w:val="00112B2E"/>
    <w:rsid w:val="0012482C"/>
    <w:rsid w:val="00124D0A"/>
    <w:rsid w:val="00132DAE"/>
    <w:rsid w:val="001538B3"/>
    <w:rsid w:val="001B01A4"/>
    <w:rsid w:val="001B2597"/>
    <w:rsid w:val="001D4E8C"/>
    <w:rsid w:val="00202F9F"/>
    <w:rsid w:val="00204A1E"/>
    <w:rsid w:val="002137F2"/>
    <w:rsid w:val="0025049A"/>
    <w:rsid w:val="00283528"/>
    <w:rsid w:val="00291981"/>
    <w:rsid w:val="002930E6"/>
    <w:rsid w:val="002B7D39"/>
    <w:rsid w:val="002C0496"/>
    <w:rsid w:val="003208E6"/>
    <w:rsid w:val="003263DF"/>
    <w:rsid w:val="00334C06"/>
    <w:rsid w:val="00341AB4"/>
    <w:rsid w:val="00341F90"/>
    <w:rsid w:val="003562AE"/>
    <w:rsid w:val="00367B25"/>
    <w:rsid w:val="00390685"/>
    <w:rsid w:val="003A7C2D"/>
    <w:rsid w:val="003C68F3"/>
    <w:rsid w:val="0042470E"/>
    <w:rsid w:val="00446C5B"/>
    <w:rsid w:val="004A78AF"/>
    <w:rsid w:val="004C1C84"/>
    <w:rsid w:val="004C318B"/>
    <w:rsid w:val="004E4D4F"/>
    <w:rsid w:val="005006DB"/>
    <w:rsid w:val="00522860"/>
    <w:rsid w:val="00531732"/>
    <w:rsid w:val="00564800"/>
    <w:rsid w:val="00584BF9"/>
    <w:rsid w:val="00591157"/>
    <w:rsid w:val="005B0F98"/>
    <w:rsid w:val="005C6F58"/>
    <w:rsid w:val="005E22E2"/>
    <w:rsid w:val="00623B92"/>
    <w:rsid w:val="00631217"/>
    <w:rsid w:val="00632656"/>
    <w:rsid w:val="00642733"/>
    <w:rsid w:val="00680253"/>
    <w:rsid w:val="006D69BC"/>
    <w:rsid w:val="007231BC"/>
    <w:rsid w:val="0073695B"/>
    <w:rsid w:val="00742606"/>
    <w:rsid w:val="0076117A"/>
    <w:rsid w:val="0077426F"/>
    <w:rsid w:val="00793BF3"/>
    <w:rsid w:val="007A597D"/>
    <w:rsid w:val="007B2621"/>
    <w:rsid w:val="007D0A49"/>
    <w:rsid w:val="007D15F1"/>
    <w:rsid w:val="007E7E43"/>
    <w:rsid w:val="007F063F"/>
    <w:rsid w:val="00836695"/>
    <w:rsid w:val="0086222B"/>
    <w:rsid w:val="00862A8D"/>
    <w:rsid w:val="008843D7"/>
    <w:rsid w:val="008C6DEF"/>
    <w:rsid w:val="008D520E"/>
    <w:rsid w:val="00910120"/>
    <w:rsid w:val="00936CA7"/>
    <w:rsid w:val="009D38B6"/>
    <w:rsid w:val="009D6BB1"/>
    <w:rsid w:val="00A00E14"/>
    <w:rsid w:val="00A04C3C"/>
    <w:rsid w:val="00A41C20"/>
    <w:rsid w:val="00A45015"/>
    <w:rsid w:val="00A51259"/>
    <w:rsid w:val="00A53EDB"/>
    <w:rsid w:val="00A65697"/>
    <w:rsid w:val="00AA7724"/>
    <w:rsid w:val="00B224DF"/>
    <w:rsid w:val="00B30B91"/>
    <w:rsid w:val="00B40909"/>
    <w:rsid w:val="00B62621"/>
    <w:rsid w:val="00B72AB5"/>
    <w:rsid w:val="00B744DA"/>
    <w:rsid w:val="00BE19EA"/>
    <w:rsid w:val="00BF4B66"/>
    <w:rsid w:val="00C16D3A"/>
    <w:rsid w:val="00C40DDB"/>
    <w:rsid w:val="00C42740"/>
    <w:rsid w:val="00C9695D"/>
    <w:rsid w:val="00CA0C20"/>
    <w:rsid w:val="00CA5EF3"/>
    <w:rsid w:val="00CB7629"/>
    <w:rsid w:val="00CF36A5"/>
    <w:rsid w:val="00CF689D"/>
    <w:rsid w:val="00D107F4"/>
    <w:rsid w:val="00D1260F"/>
    <w:rsid w:val="00D22DE5"/>
    <w:rsid w:val="00D7081C"/>
    <w:rsid w:val="00DA331B"/>
    <w:rsid w:val="00DB6D17"/>
    <w:rsid w:val="00DC6AC5"/>
    <w:rsid w:val="00E20C39"/>
    <w:rsid w:val="00E362F4"/>
    <w:rsid w:val="00EA654D"/>
    <w:rsid w:val="00EB0913"/>
    <w:rsid w:val="00EC0C4B"/>
    <w:rsid w:val="00EF3D46"/>
    <w:rsid w:val="00F02B03"/>
    <w:rsid w:val="00FB38B3"/>
    <w:rsid w:val="00FF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317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Footnote Reference1"/>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basedOn w:val="Normal"/>
    <w:link w:val="FootnoteTextChar3"/>
    <w:uiPriority w:val="99"/>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link w:val="ParaNumChar"/>
    <w:qFormat/>
    <w:pPr>
      <w:widowControl w:val="0"/>
      <w:numPr>
        <w:numId w:val="13"/>
      </w:numPr>
      <w:tabs>
        <w:tab w:val="num" w:pos="1440"/>
      </w:tabs>
      <w:spacing w:after="120"/>
    </w:pPr>
    <w:rPr>
      <w:snapToGrid w:val="0"/>
      <w:kern w:val="28"/>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rPr>
      <w:sz w:val="22"/>
    </w:rPr>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
    <w:locked/>
    <w:rPr>
      <w:rFonts w:cs="Times New Roman"/>
      <w:sz w:val="24"/>
    </w:rPr>
  </w:style>
  <w:style w:type="character" w:customStyle="1" w:styleId="FooterChar">
    <w:name w:val="Footer Char"/>
    <w:link w:val="Footer"/>
    <w:uiPriority w:val="99"/>
    <w:rsid w:val="00D107F4"/>
    <w:rPr>
      <w:sz w:val="22"/>
    </w:rPr>
  </w:style>
  <w:style w:type="character" w:customStyle="1" w:styleId="FootnoteTextCharChar2">
    <w:name w:val="Footnote Text Char Char2"/>
    <w:aliases w:val="Footnote Text Char1 Char Char1,Footnote Text Char Char1 Char Char1,Footnote Text Char2 Char1 Char Char Char,Footnote Text Char Char1 Char Char Char1 Char,Footnote Text Char1 Char Char Char1 Char Char Char"/>
    <w:locked/>
    <w:rsid w:val="00CA0C20"/>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uiPriority w:val="99"/>
    <w:semiHidden/>
    <w:locked/>
    <w:rsid w:val="00A6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Footnote Reference1"/>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basedOn w:val="Normal"/>
    <w:link w:val="FootnoteTextChar3"/>
    <w:uiPriority w:val="99"/>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link w:val="ParaNumChar"/>
    <w:qFormat/>
    <w:pPr>
      <w:widowControl w:val="0"/>
      <w:numPr>
        <w:numId w:val="13"/>
      </w:numPr>
      <w:tabs>
        <w:tab w:val="num" w:pos="1440"/>
      </w:tabs>
      <w:spacing w:after="120"/>
    </w:pPr>
    <w:rPr>
      <w:snapToGrid w:val="0"/>
      <w:kern w:val="28"/>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rPr>
      <w:sz w:val="22"/>
    </w:rPr>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
    <w:locked/>
    <w:rPr>
      <w:rFonts w:cs="Times New Roman"/>
      <w:sz w:val="24"/>
    </w:rPr>
  </w:style>
  <w:style w:type="character" w:customStyle="1" w:styleId="FooterChar">
    <w:name w:val="Footer Char"/>
    <w:link w:val="Footer"/>
    <w:uiPriority w:val="99"/>
    <w:rsid w:val="00D107F4"/>
    <w:rPr>
      <w:sz w:val="22"/>
    </w:rPr>
  </w:style>
  <w:style w:type="character" w:customStyle="1" w:styleId="FootnoteTextCharChar2">
    <w:name w:val="Footnote Text Char Char2"/>
    <w:aliases w:val="Footnote Text Char1 Char Char1,Footnote Text Char Char1 Char Char1,Footnote Text Char2 Char1 Char Char Char,Footnote Text Char Char1 Char Char Char1 Char,Footnote Text Char1 Char Char Char1 Char Char Char"/>
    <w:locked/>
    <w:rsid w:val="00CA0C20"/>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uiPriority w:val="99"/>
    <w:semiHidden/>
    <w:locked/>
    <w:rsid w:val="00A6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00216">
      <w:bodyDiv w:val="1"/>
      <w:marLeft w:val="0"/>
      <w:marRight w:val="0"/>
      <w:marTop w:val="0"/>
      <w:marBottom w:val="0"/>
      <w:divBdr>
        <w:top w:val="none" w:sz="0" w:space="0" w:color="auto"/>
        <w:left w:val="none" w:sz="0" w:space="0" w:color="auto"/>
        <w:bottom w:val="none" w:sz="0" w:space="0" w:color="auto"/>
        <w:right w:val="none" w:sz="0" w:space="0" w:color="auto"/>
      </w:divBdr>
    </w:div>
    <w:div w:id="6894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3666</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4338</CharactersWithSpaces>
  <SharedDoc>false</SharedDoc>
  <HyperlinkBase> </HyperlinkBase>
  <HLinks>
    <vt:vector size="18" baseType="variant">
      <vt:variant>
        <vt:i4>8192031</vt:i4>
      </vt:variant>
      <vt:variant>
        <vt:i4>0</vt:i4>
      </vt:variant>
      <vt:variant>
        <vt:i4>0</vt:i4>
      </vt:variant>
      <vt:variant>
        <vt:i4>5</vt:i4>
      </vt:variant>
      <vt:variant>
        <vt:lpwstr>mailto:Shaun.Maher@fcc.gov</vt:lpwstr>
      </vt:variant>
      <vt:variant>
        <vt:lpwstr/>
      </vt:variant>
      <vt:variant>
        <vt:i4>8192031</vt:i4>
      </vt:variant>
      <vt:variant>
        <vt:i4>3</vt:i4>
      </vt:variant>
      <vt:variant>
        <vt:i4>0</vt:i4>
      </vt:variant>
      <vt:variant>
        <vt:i4>5</vt:i4>
      </vt:variant>
      <vt:variant>
        <vt:lpwstr>mailto:Shaun.Maher@fcc.gov</vt:lpwstr>
      </vt:variant>
      <vt:variant>
        <vt:lpwstr/>
      </vt:variant>
      <vt:variant>
        <vt:i4>2228268</vt:i4>
      </vt:variant>
      <vt:variant>
        <vt:i4>0</vt:i4>
      </vt:variant>
      <vt:variant>
        <vt:i4>0</vt:i4>
      </vt:variant>
      <vt:variant>
        <vt:i4>5</vt:i4>
      </vt:variant>
      <vt:variant>
        <vt:lpwstr>https://enterpriseefiling.fcc.gov/dataentry/login.html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2014-09-22T15:55:00Z</cp:lastPrinted>
  <dcterms:created xsi:type="dcterms:W3CDTF">2016-05-26T15:19:00Z</dcterms:created>
  <dcterms:modified xsi:type="dcterms:W3CDTF">2016-05-26T15:19:00Z</dcterms:modified>
  <cp:category> </cp:category>
  <cp:contentStatus> </cp:contentStatus>
</cp:coreProperties>
</file>