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715EB4" w:rsidRPr="00D7236C" w:rsidRDefault="00715EB4" w:rsidP="00715EB4">
            <w:pPr>
              <w:tabs>
                <w:tab w:val="center" w:pos="4680"/>
              </w:tabs>
              <w:rPr>
                <w:spacing w:val="-2"/>
              </w:rPr>
            </w:pPr>
            <w:r w:rsidRPr="00D7236C">
              <w:rPr>
                <w:spacing w:val="-2"/>
              </w:rPr>
              <w:t>2014 Quadrennial Regulatory Review – Review of the Commission’s Broadcast Ownership Rules and Other Rules Adopted Pursuant to Section 202 of the Telecommunications Act of 1996</w:t>
            </w:r>
          </w:p>
          <w:p w:rsidR="00715EB4" w:rsidRDefault="00715EB4" w:rsidP="007115F7">
            <w:pPr>
              <w:tabs>
                <w:tab w:val="center" w:pos="4680"/>
              </w:tabs>
              <w:suppressAutoHyphens/>
              <w:rPr>
                <w:spacing w:val="-2"/>
              </w:rPr>
            </w:pPr>
          </w:p>
          <w:p w:rsidR="004C2EE3" w:rsidRDefault="004D0EC8" w:rsidP="007115F7">
            <w:pPr>
              <w:tabs>
                <w:tab w:val="center" w:pos="4680"/>
              </w:tabs>
              <w:suppressAutoHyphens/>
              <w:rPr>
                <w:spacing w:val="-2"/>
              </w:rPr>
            </w:pPr>
            <w:r>
              <w:rPr>
                <w:spacing w:val="-2"/>
              </w:rPr>
              <w:t>2010 Quadrennial Regulatory Review –</w:t>
            </w:r>
            <w:r w:rsidR="006F2329">
              <w:rPr>
                <w:spacing w:val="-2"/>
              </w:rPr>
              <w:t xml:space="preserve"> </w:t>
            </w:r>
            <w:r>
              <w:rPr>
                <w:spacing w:val="-2"/>
              </w:rPr>
              <w:t>Review of</w:t>
            </w:r>
          </w:p>
          <w:p w:rsidR="004D0EC8" w:rsidRDefault="004D0EC8" w:rsidP="004D0EC8">
            <w:pPr>
              <w:tabs>
                <w:tab w:val="center" w:pos="4680"/>
              </w:tabs>
              <w:suppressAutoHyphens/>
              <w:rPr>
                <w:spacing w:val="-2"/>
              </w:rPr>
            </w:pPr>
            <w:r>
              <w:rPr>
                <w:spacing w:val="-2"/>
              </w:rPr>
              <w:t>the Commission’s Broadcast Ownership Rules and</w:t>
            </w:r>
          </w:p>
          <w:p w:rsidR="004D0EC8" w:rsidRDefault="004D0EC8" w:rsidP="004D0EC8">
            <w:pPr>
              <w:tabs>
                <w:tab w:val="center" w:pos="4680"/>
              </w:tabs>
              <w:suppressAutoHyphens/>
              <w:rPr>
                <w:spacing w:val="-2"/>
              </w:rPr>
            </w:pPr>
            <w:r>
              <w:rPr>
                <w:spacing w:val="-2"/>
              </w:rPr>
              <w:t>Other Rules Adopted Pursuant to Section 202 of</w:t>
            </w:r>
          </w:p>
          <w:p w:rsidR="004D0EC8" w:rsidRDefault="004D0EC8" w:rsidP="004D0EC8">
            <w:pPr>
              <w:tabs>
                <w:tab w:val="center" w:pos="4680"/>
              </w:tabs>
              <w:suppressAutoHyphens/>
              <w:rPr>
                <w:spacing w:val="-2"/>
              </w:rPr>
            </w:pPr>
            <w:r>
              <w:rPr>
                <w:spacing w:val="-2"/>
              </w:rPr>
              <w:t>the Telecommunications Act of 1996</w:t>
            </w:r>
          </w:p>
          <w:p w:rsidR="004D0EC8" w:rsidRDefault="004D0EC8" w:rsidP="004D0EC8">
            <w:pPr>
              <w:tabs>
                <w:tab w:val="center" w:pos="4680"/>
              </w:tabs>
              <w:suppressAutoHyphens/>
              <w:rPr>
                <w:spacing w:val="-2"/>
              </w:rPr>
            </w:pPr>
          </w:p>
          <w:p w:rsidR="004D0EC8" w:rsidRDefault="004D0EC8" w:rsidP="004D0EC8">
            <w:pPr>
              <w:tabs>
                <w:tab w:val="center" w:pos="4680"/>
              </w:tabs>
              <w:suppressAutoHyphens/>
              <w:rPr>
                <w:spacing w:val="-2"/>
              </w:rPr>
            </w:pPr>
            <w:r>
              <w:rPr>
                <w:spacing w:val="-2"/>
              </w:rPr>
              <w:t xml:space="preserve">Promoting Diversification of Ownership </w:t>
            </w:r>
          </w:p>
          <w:p w:rsidR="004D0EC8" w:rsidRDefault="004D0EC8" w:rsidP="004D0EC8">
            <w:pPr>
              <w:tabs>
                <w:tab w:val="center" w:pos="4680"/>
              </w:tabs>
              <w:suppressAutoHyphens/>
              <w:rPr>
                <w:spacing w:val="-2"/>
              </w:rPr>
            </w:pPr>
            <w:r>
              <w:rPr>
                <w:spacing w:val="-2"/>
              </w:rPr>
              <w:t>In the Broadcasting Services</w:t>
            </w:r>
          </w:p>
          <w:p w:rsidR="004D0EC8" w:rsidRPr="007115F7" w:rsidRDefault="004D0EC8" w:rsidP="004D0EC8">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715EB4" w:rsidRDefault="00715EB4">
            <w:pPr>
              <w:tabs>
                <w:tab w:val="center" w:pos="4680"/>
              </w:tabs>
              <w:suppressAutoHyphens/>
              <w:rPr>
                <w:b/>
                <w:spacing w:val="-2"/>
              </w:rPr>
            </w:pPr>
            <w:r>
              <w:rPr>
                <w:b/>
                <w:spacing w:val="-2"/>
              </w:rPr>
              <w:t>)</w:t>
            </w:r>
          </w:p>
          <w:p w:rsidR="00715EB4" w:rsidRDefault="00715EB4">
            <w:pPr>
              <w:tabs>
                <w:tab w:val="center" w:pos="4680"/>
              </w:tabs>
              <w:suppressAutoHyphens/>
              <w:rPr>
                <w:b/>
                <w:spacing w:val="-2"/>
              </w:rPr>
            </w:pPr>
            <w:r>
              <w:rPr>
                <w:b/>
                <w:spacing w:val="-2"/>
              </w:rPr>
              <w:t>)</w:t>
            </w:r>
          </w:p>
          <w:p w:rsidR="00715EB4" w:rsidRDefault="00715EB4">
            <w:pPr>
              <w:tabs>
                <w:tab w:val="center" w:pos="4680"/>
              </w:tabs>
              <w:suppressAutoHyphens/>
              <w:rPr>
                <w:b/>
                <w:spacing w:val="-2"/>
              </w:rPr>
            </w:pPr>
            <w:r>
              <w:rPr>
                <w:b/>
                <w:spacing w:val="-2"/>
              </w:rPr>
              <w:t>)</w:t>
            </w:r>
          </w:p>
          <w:p w:rsidR="00715EB4" w:rsidRDefault="00715EB4">
            <w:pPr>
              <w:tabs>
                <w:tab w:val="center" w:pos="4680"/>
              </w:tabs>
              <w:suppressAutoHyphens/>
              <w:rPr>
                <w:b/>
                <w:spacing w:val="-2"/>
              </w:rPr>
            </w:pPr>
            <w:r>
              <w:rPr>
                <w:b/>
                <w:spacing w:val="-2"/>
              </w:rPr>
              <w:t>)</w:t>
            </w:r>
          </w:p>
          <w:p w:rsidR="00715EB4" w:rsidRDefault="00715EB4">
            <w:pPr>
              <w:tabs>
                <w:tab w:val="center" w:pos="4680"/>
              </w:tabs>
              <w:suppressAutoHyphens/>
              <w:rPr>
                <w:b/>
                <w:spacing w:val="-2"/>
              </w:rPr>
            </w:pPr>
            <w:r>
              <w:rPr>
                <w:b/>
                <w:spacing w:val="-2"/>
              </w:rPr>
              <w:t>)</w:t>
            </w:r>
          </w:p>
          <w:p w:rsidR="00715EB4" w:rsidRDefault="00715EB4">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715EB4" w:rsidRDefault="00715EB4" w:rsidP="004D0EC8">
            <w:pPr>
              <w:tabs>
                <w:tab w:val="center" w:pos="4680"/>
              </w:tabs>
              <w:suppressAutoHyphens/>
              <w:rPr>
                <w:spacing w:val="-2"/>
              </w:rPr>
            </w:pPr>
            <w:r>
              <w:rPr>
                <w:spacing w:val="-2"/>
              </w:rPr>
              <w:t>MB Docket No. 14-50</w:t>
            </w:r>
          </w:p>
          <w:p w:rsidR="00715EB4" w:rsidRDefault="00715EB4" w:rsidP="004D0EC8">
            <w:pPr>
              <w:tabs>
                <w:tab w:val="center" w:pos="4680"/>
              </w:tabs>
              <w:suppressAutoHyphens/>
              <w:rPr>
                <w:spacing w:val="-2"/>
              </w:rPr>
            </w:pPr>
          </w:p>
          <w:p w:rsidR="00715EB4" w:rsidRDefault="00715EB4" w:rsidP="004D0EC8">
            <w:pPr>
              <w:tabs>
                <w:tab w:val="center" w:pos="4680"/>
              </w:tabs>
              <w:suppressAutoHyphens/>
              <w:rPr>
                <w:spacing w:val="-2"/>
              </w:rPr>
            </w:pPr>
          </w:p>
          <w:p w:rsidR="00715EB4" w:rsidRDefault="00715EB4" w:rsidP="004D0EC8">
            <w:pPr>
              <w:tabs>
                <w:tab w:val="center" w:pos="4680"/>
              </w:tabs>
              <w:suppressAutoHyphens/>
              <w:rPr>
                <w:spacing w:val="-2"/>
              </w:rPr>
            </w:pPr>
          </w:p>
          <w:p w:rsidR="00715EB4" w:rsidRDefault="00715EB4" w:rsidP="004D0EC8">
            <w:pPr>
              <w:tabs>
                <w:tab w:val="center" w:pos="4680"/>
              </w:tabs>
              <w:suppressAutoHyphens/>
              <w:rPr>
                <w:spacing w:val="-2"/>
              </w:rPr>
            </w:pPr>
          </w:p>
          <w:p w:rsidR="004C2EE3" w:rsidRDefault="004D0EC8" w:rsidP="004D0EC8">
            <w:pPr>
              <w:tabs>
                <w:tab w:val="center" w:pos="4680"/>
              </w:tabs>
              <w:suppressAutoHyphens/>
              <w:rPr>
                <w:spacing w:val="-2"/>
              </w:rPr>
            </w:pPr>
            <w:r>
              <w:rPr>
                <w:spacing w:val="-2"/>
              </w:rPr>
              <w:t>MB Docket No. 09-182</w:t>
            </w:r>
          </w:p>
          <w:p w:rsidR="004D0EC8" w:rsidRDefault="004D0EC8" w:rsidP="004D0EC8">
            <w:pPr>
              <w:tabs>
                <w:tab w:val="center" w:pos="4680"/>
              </w:tabs>
              <w:suppressAutoHyphens/>
              <w:rPr>
                <w:spacing w:val="-2"/>
              </w:rPr>
            </w:pPr>
          </w:p>
          <w:p w:rsidR="004D0EC8" w:rsidRDefault="004D0EC8" w:rsidP="004D0EC8">
            <w:pPr>
              <w:tabs>
                <w:tab w:val="center" w:pos="4680"/>
              </w:tabs>
              <w:suppressAutoHyphens/>
              <w:rPr>
                <w:spacing w:val="-2"/>
              </w:rPr>
            </w:pPr>
          </w:p>
          <w:p w:rsidR="004D0EC8" w:rsidRDefault="004D0EC8" w:rsidP="004D0EC8">
            <w:pPr>
              <w:tabs>
                <w:tab w:val="center" w:pos="4680"/>
              </w:tabs>
              <w:suppressAutoHyphens/>
              <w:rPr>
                <w:spacing w:val="-2"/>
              </w:rPr>
            </w:pPr>
          </w:p>
          <w:p w:rsidR="004D0EC8" w:rsidRDefault="004D0EC8" w:rsidP="004D0EC8">
            <w:pPr>
              <w:tabs>
                <w:tab w:val="center" w:pos="4680"/>
              </w:tabs>
              <w:suppressAutoHyphens/>
              <w:rPr>
                <w:spacing w:val="-2"/>
              </w:rPr>
            </w:pPr>
          </w:p>
          <w:p w:rsidR="004D0EC8" w:rsidRDefault="004D0EC8" w:rsidP="004D0EC8">
            <w:pPr>
              <w:tabs>
                <w:tab w:val="center" w:pos="4680"/>
              </w:tabs>
              <w:suppressAutoHyphens/>
              <w:rPr>
                <w:spacing w:val="-2"/>
              </w:rPr>
            </w:pPr>
            <w:r>
              <w:rPr>
                <w:spacing w:val="-2"/>
              </w:rPr>
              <w:t>MB Docket No. 07-294</w:t>
            </w:r>
          </w:p>
        </w:tc>
      </w:tr>
    </w:tbl>
    <w:p w:rsidR="004C2EE3" w:rsidRDefault="004C2EE3" w:rsidP="0070224F"/>
    <w:p w:rsidR="00841AB1" w:rsidRDefault="004D0EC8" w:rsidP="00F021FA">
      <w:pPr>
        <w:pStyle w:val="StyleBoldCentered"/>
      </w:pPr>
      <w:r>
        <w:t>ORDER</w:t>
      </w:r>
    </w:p>
    <w:p w:rsidR="004D0EC8" w:rsidRDefault="004D0EC8" w:rsidP="00F021FA">
      <w:pPr>
        <w:pStyle w:val="StyleBoldCentered"/>
      </w:pPr>
    </w:p>
    <w:p w:rsidR="004D0EC8" w:rsidRDefault="004D0EC8" w:rsidP="00133F79">
      <w:pPr>
        <w:tabs>
          <w:tab w:val="left" w:pos="720"/>
          <w:tab w:val="right" w:pos="9360"/>
        </w:tabs>
        <w:suppressAutoHyphens/>
        <w:spacing w:line="227" w:lineRule="auto"/>
        <w:rPr>
          <w:b/>
          <w:spacing w:val="-2"/>
        </w:rPr>
      </w:pPr>
      <w:r>
        <w:rPr>
          <w:b/>
          <w:spacing w:val="-2"/>
        </w:rPr>
        <w:t xml:space="preserve">Extended </w:t>
      </w:r>
      <w:r w:rsidR="00362BAA">
        <w:rPr>
          <w:b/>
          <w:spacing w:val="-2"/>
        </w:rPr>
        <w:t xml:space="preserve">Comment </w:t>
      </w:r>
      <w:r w:rsidR="00FC3F3E">
        <w:rPr>
          <w:b/>
          <w:spacing w:val="-2"/>
        </w:rPr>
        <w:t xml:space="preserve">Date:  </w:t>
      </w:r>
      <w:r w:rsidR="00BE50C7">
        <w:rPr>
          <w:b/>
          <w:spacing w:val="-2"/>
        </w:rPr>
        <w:t>June 2</w:t>
      </w:r>
      <w:r w:rsidR="00FC3F3E">
        <w:rPr>
          <w:b/>
          <w:spacing w:val="-2"/>
        </w:rPr>
        <w:t>, 201</w:t>
      </w:r>
      <w:r w:rsidR="00BE50C7">
        <w:rPr>
          <w:b/>
          <w:spacing w:val="-2"/>
        </w:rPr>
        <w:t>6</w:t>
      </w:r>
    </w:p>
    <w:p w:rsidR="004D0EC8" w:rsidRDefault="0049507E" w:rsidP="00133F79">
      <w:pPr>
        <w:tabs>
          <w:tab w:val="left" w:pos="720"/>
          <w:tab w:val="right" w:pos="9360"/>
        </w:tabs>
        <w:suppressAutoHyphens/>
        <w:spacing w:line="227" w:lineRule="auto"/>
        <w:rPr>
          <w:b/>
          <w:spacing w:val="-2"/>
        </w:rPr>
      </w:pPr>
      <w:r>
        <w:rPr>
          <w:b/>
          <w:spacing w:val="-2"/>
        </w:rPr>
        <w:t xml:space="preserve">Extended Reply Comment Date:  </w:t>
      </w:r>
      <w:r w:rsidR="00BE50C7">
        <w:rPr>
          <w:b/>
          <w:spacing w:val="-2"/>
        </w:rPr>
        <w:t>June 9,</w:t>
      </w:r>
      <w:r w:rsidR="00FC3F3E">
        <w:rPr>
          <w:b/>
          <w:spacing w:val="-2"/>
        </w:rPr>
        <w:t xml:space="preserve"> 201</w:t>
      </w:r>
      <w:r w:rsidR="00BE50C7">
        <w:rPr>
          <w:b/>
          <w:spacing w:val="-2"/>
        </w:rPr>
        <w:t>6</w:t>
      </w:r>
    </w:p>
    <w:p w:rsidR="0049507E" w:rsidRDefault="0049507E" w:rsidP="00133F79">
      <w:pPr>
        <w:tabs>
          <w:tab w:val="left" w:pos="720"/>
          <w:tab w:val="right" w:pos="9360"/>
        </w:tabs>
        <w:suppressAutoHyphens/>
        <w:spacing w:line="227" w:lineRule="auto"/>
        <w:rPr>
          <w:b/>
          <w:spacing w:val="-2"/>
        </w:rPr>
      </w:pPr>
    </w:p>
    <w:p w:rsidR="004C2EE3" w:rsidRDefault="004C2EE3" w:rsidP="00133F79">
      <w:pPr>
        <w:tabs>
          <w:tab w:val="left" w:pos="720"/>
          <w:tab w:val="right" w:pos="9360"/>
        </w:tabs>
        <w:suppressAutoHyphens/>
        <w:spacing w:line="227" w:lineRule="auto"/>
        <w:rPr>
          <w:spacing w:val="-2"/>
        </w:rPr>
      </w:pPr>
      <w:r>
        <w:rPr>
          <w:b/>
          <w:spacing w:val="-2"/>
        </w:rPr>
        <w:t>Adopted:</w:t>
      </w:r>
      <w:r w:rsidR="006F1934">
        <w:rPr>
          <w:b/>
          <w:spacing w:val="-2"/>
        </w:rPr>
        <w:t xml:space="preserve">  </w:t>
      </w:r>
      <w:r w:rsidR="00BE50C7">
        <w:rPr>
          <w:b/>
          <w:spacing w:val="-2"/>
        </w:rPr>
        <w:t>May 2</w:t>
      </w:r>
      <w:r w:rsidR="009072BC">
        <w:rPr>
          <w:b/>
          <w:spacing w:val="-2"/>
        </w:rPr>
        <w:t>6</w:t>
      </w:r>
      <w:r w:rsidR="006F1934">
        <w:rPr>
          <w:b/>
          <w:spacing w:val="-2"/>
        </w:rPr>
        <w:t>, 201</w:t>
      </w:r>
      <w:r w:rsidR="00BE50C7">
        <w:rPr>
          <w:b/>
          <w:spacing w:val="-2"/>
        </w:rPr>
        <w:t>6</w:t>
      </w:r>
      <w:r w:rsidR="006F1934">
        <w:rPr>
          <w:b/>
          <w:spacing w:val="-2"/>
        </w:rPr>
        <w:t>4</w:t>
      </w:r>
      <w:r>
        <w:rPr>
          <w:b/>
          <w:spacing w:val="-2"/>
        </w:rPr>
        <w:tab/>
      </w:r>
      <w:r w:rsidR="00822CE0">
        <w:rPr>
          <w:b/>
          <w:spacing w:val="-2"/>
        </w:rPr>
        <w:t>Released</w:t>
      </w:r>
      <w:r>
        <w:rPr>
          <w:b/>
          <w:spacing w:val="-2"/>
        </w:rPr>
        <w:t>:</w:t>
      </w:r>
      <w:r w:rsidR="00822CE0">
        <w:rPr>
          <w:b/>
          <w:spacing w:val="-2"/>
        </w:rPr>
        <w:t xml:space="preserve"> </w:t>
      </w:r>
      <w:r w:rsidR="00BE50C7">
        <w:rPr>
          <w:b/>
          <w:spacing w:val="-2"/>
        </w:rPr>
        <w:t>May</w:t>
      </w:r>
      <w:r w:rsidR="006F1934">
        <w:rPr>
          <w:b/>
          <w:spacing w:val="-2"/>
        </w:rPr>
        <w:t xml:space="preserve"> 2</w:t>
      </w:r>
      <w:r w:rsidR="009072BC">
        <w:rPr>
          <w:b/>
          <w:spacing w:val="-2"/>
        </w:rPr>
        <w:t>6</w:t>
      </w:r>
      <w:r w:rsidR="006F1934">
        <w:rPr>
          <w:b/>
          <w:spacing w:val="-2"/>
        </w:rPr>
        <w:t>, 201</w:t>
      </w:r>
      <w:r w:rsidR="00BE50C7">
        <w:rPr>
          <w:b/>
          <w:spacing w:val="-2"/>
        </w:rPr>
        <w:t>6</w:t>
      </w:r>
    </w:p>
    <w:p w:rsidR="00822CE0" w:rsidRDefault="00822CE0"/>
    <w:p w:rsidR="002C00E8" w:rsidRDefault="004C2EE3" w:rsidP="00362BAA">
      <w:pPr>
        <w:rPr>
          <w:spacing w:val="-2"/>
        </w:rPr>
      </w:pPr>
      <w:r>
        <w:t xml:space="preserve">By </w:t>
      </w:r>
      <w:r w:rsidR="004E4A22">
        <w:t>the</w:t>
      </w:r>
      <w:r w:rsidR="004D0EC8">
        <w:t xml:space="preserve"> Chief, Media Bureau</w:t>
      </w:r>
      <w:r>
        <w:rPr>
          <w:spacing w:val="-2"/>
        </w:rPr>
        <w:t>:</w:t>
      </w:r>
    </w:p>
    <w:p w:rsidR="00362BAA" w:rsidRDefault="00362BAA" w:rsidP="00362BAA"/>
    <w:p w:rsidR="004B664D" w:rsidRDefault="004D0EC8" w:rsidP="004D0EC8">
      <w:pPr>
        <w:pStyle w:val="ParaNum"/>
      </w:pPr>
      <w:r>
        <w:t xml:space="preserve">On </w:t>
      </w:r>
      <w:r w:rsidR="00BE50C7">
        <w:t xml:space="preserve">May 12, 2016, </w:t>
      </w:r>
      <w:r>
        <w:t xml:space="preserve">the </w:t>
      </w:r>
      <w:r w:rsidR="00BE50C7">
        <w:t xml:space="preserve">Media Bureau and the Office of Strategic Planning and Policy </w:t>
      </w:r>
      <w:r w:rsidR="005D784D">
        <w:t xml:space="preserve">Analysis </w:t>
      </w:r>
      <w:r w:rsidR="00BE50C7">
        <w:t xml:space="preserve">opened a comment window for the recently released </w:t>
      </w:r>
      <w:r w:rsidR="00BE50C7" w:rsidRPr="00BE50C7">
        <w:rPr>
          <w:i/>
        </w:rPr>
        <w:t>Hispanic TV Study</w:t>
      </w:r>
      <w:r w:rsidR="00BE50C7">
        <w:t>.</w:t>
      </w:r>
      <w:r w:rsidR="004B664D">
        <w:rPr>
          <w:rStyle w:val="FootnoteReference"/>
        </w:rPr>
        <w:footnoteReference w:id="2"/>
      </w:r>
      <w:r w:rsidR="004B664D">
        <w:t xml:space="preserve">  The </w:t>
      </w:r>
      <w:r w:rsidR="001F141B">
        <w:t>deadlines for</w:t>
      </w:r>
      <w:r w:rsidR="004B664D">
        <w:t xml:space="preserve"> filing comments and reply comments </w:t>
      </w:r>
      <w:r w:rsidR="001F141B">
        <w:t xml:space="preserve">were </w:t>
      </w:r>
      <w:r w:rsidR="008023A9">
        <w:t xml:space="preserve">set at </w:t>
      </w:r>
      <w:r w:rsidR="001F141B">
        <w:t>May 26, 2016, and June 3, 2016, respectively.</w:t>
      </w:r>
    </w:p>
    <w:p w:rsidR="00C3558C" w:rsidRPr="00881396" w:rsidRDefault="00C3558C" w:rsidP="00881396">
      <w:pPr>
        <w:pStyle w:val="ParaNum"/>
        <w:widowControl/>
        <w:rPr>
          <w:rStyle w:val="FootnoteReference"/>
          <w:sz w:val="22"/>
          <w:vertAlign w:val="baseline"/>
        </w:rPr>
      </w:pPr>
      <w:r>
        <w:t>On May 24, 2016, t</w:t>
      </w:r>
      <w:r w:rsidR="006E5472">
        <w:t xml:space="preserve">he National Hispanic Media Coalition (NHMC) filed a </w:t>
      </w:r>
      <w:r w:rsidR="00740CF6">
        <w:t xml:space="preserve">motion </w:t>
      </w:r>
      <w:r w:rsidR="006E5472">
        <w:t xml:space="preserve">seeking a 30-day extension </w:t>
      </w:r>
      <w:r w:rsidR="000C7B7D">
        <w:t xml:space="preserve">of time </w:t>
      </w:r>
      <w:r w:rsidR="006E5472">
        <w:t xml:space="preserve">for the filing of comments and reply comments regarding the </w:t>
      </w:r>
      <w:r w:rsidR="006E5472" w:rsidRPr="00665A6E">
        <w:rPr>
          <w:i/>
        </w:rPr>
        <w:t>Hispanic TV Study</w:t>
      </w:r>
      <w:r w:rsidR="006E5472">
        <w:t>.</w:t>
      </w:r>
      <w:r w:rsidR="006E5472">
        <w:rPr>
          <w:rStyle w:val="FootnoteReference"/>
          <w:szCs w:val="22"/>
        </w:rPr>
        <w:footnoteReference w:id="3"/>
      </w:r>
      <w:r w:rsidR="006E5472">
        <w:t xml:space="preserve">  NHMC states that due to the highly technical and complex methodology of the study, it is “less realistic” for interested stakeholders and members of the public to be able to prepare thoughtful and useful comments in 14 days.</w:t>
      </w:r>
      <w:r w:rsidR="00F171A4">
        <w:rPr>
          <w:rStyle w:val="FootnoteReference"/>
          <w:szCs w:val="22"/>
        </w:rPr>
        <w:footnoteReference w:id="4"/>
      </w:r>
      <w:r w:rsidR="006E5472">
        <w:t xml:space="preserve">  NHMC contends that it is unreasonable to expect the public to be able to fully digest and opine on the study in the short period of time granted for comments and reply comments.</w:t>
      </w:r>
      <w:r w:rsidR="00F171A4">
        <w:rPr>
          <w:rStyle w:val="FootnoteReference"/>
          <w:szCs w:val="22"/>
        </w:rPr>
        <w:footnoteReference w:id="5"/>
      </w:r>
      <w:r>
        <w:rPr>
          <w:rStyle w:val="FootnoteReference"/>
          <w:szCs w:val="22"/>
        </w:rPr>
        <w:t xml:space="preserve">  </w:t>
      </w:r>
      <w:r>
        <w:t xml:space="preserve">NHMC further notes that parties interested in media diversity who may </w:t>
      </w:r>
      <w:r w:rsidR="008023A9">
        <w:t>wish</w:t>
      </w:r>
      <w:r>
        <w:t xml:space="preserve"> to comment on this study have been capacity-constrained in recent weeks due to deadlines in other Commission proceedings.</w:t>
      </w:r>
      <w:r>
        <w:rPr>
          <w:rStyle w:val="FootnoteReference"/>
          <w:szCs w:val="22"/>
        </w:rPr>
        <w:footnoteReference w:id="6"/>
      </w:r>
      <w:r>
        <w:rPr>
          <w:rStyle w:val="FootnoteReference"/>
          <w:szCs w:val="22"/>
        </w:rPr>
        <w:t xml:space="preserve">   </w:t>
      </w:r>
    </w:p>
    <w:p w:rsidR="006E05E2" w:rsidRDefault="006E05E2" w:rsidP="006E05E2">
      <w:pPr>
        <w:pStyle w:val="ParaNum"/>
      </w:pPr>
      <w:r>
        <w:lastRenderedPageBreak/>
        <w:t xml:space="preserve">We recognize that the </w:t>
      </w:r>
      <w:r w:rsidRPr="00F679B7">
        <w:rPr>
          <w:i/>
        </w:rPr>
        <w:t>Hispanic TV Study</w:t>
      </w:r>
      <w:r w:rsidRPr="00C3558C">
        <w:rPr>
          <w:i/>
        </w:rPr>
        <w:t xml:space="preserve"> </w:t>
      </w:r>
      <w:r>
        <w:t>presents an important opportunity for interested parties to comment on a range of issues pertaining to ownership and diversity</w:t>
      </w:r>
      <w:r w:rsidR="004724E2" w:rsidRPr="004724E2">
        <w:t xml:space="preserve">, </w:t>
      </w:r>
      <w:r w:rsidR="004724E2" w:rsidRPr="00881396">
        <w:t xml:space="preserve">but </w:t>
      </w:r>
      <w:r w:rsidR="004724E2" w:rsidRPr="004724E2">
        <w:t>we do not believe that the full extension of time requested by NHMC is necessary</w:t>
      </w:r>
      <w:r w:rsidR="004724E2" w:rsidRPr="00881396">
        <w:t xml:space="preserve"> to facilitate meaningful comment on the study</w:t>
      </w:r>
      <w:r w:rsidR="004724E2" w:rsidRPr="004724E2">
        <w:t xml:space="preserve">.  </w:t>
      </w:r>
      <w:r w:rsidR="004724E2">
        <w:t>T</w:t>
      </w:r>
      <w:r w:rsidR="002F2009" w:rsidRPr="004724E2">
        <w:t>he Commission does not routinely grant extensions of</w:t>
      </w:r>
      <w:r w:rsidR="002F2009">
        <w:t xml:space="preserve"> time, </w:t>
      </w:r>
      <w:r w:rsidR="004724E2">
        <w:t xml:space="preserve">however, </w:t>
      </w:r>
      <w:r w:rsidR="002F2009">
        <w:t>i</w:t>
      </w:r>
      <w:r>
        <w:t>n an effort to encourage participation by organizations and individuals, we find a brief extension of time is warranted</w:t>
      </w:r>
      <w:r w:rsidR="004724E2">
        <w:t xml:space="preserve"> in this case</w:t>
      </w:r>
      <w:r>
        <w:t>.</w:t>
      </w:r>
      <w:r w:rsidR="002F2009">
        <w:rPr>
          <w:rStyle w:val="FootnoteReference"/>
          <w:szCs w:val="22"/>
        </w:rPr>
        <w:footnoteReference w:id="7"/>
      </w:r>
      <w:r>
        <w:t xml:space="preserve">  </w:t>
      </w:r>
      <w:r w:rsidR="00C3558C" w:rsidRPr="00C3558C">
        <w:t>Given the importance of the issues in this proceeding and in the interest of encouraging thoughtful consideration of these issues, we believe that granting NHMC’s request</w:t>
      </w:r>
      <w:r w:rsidR="000C7B7D">
        <w:t>,</w:t>
      </w:r>
      <w:r w:rsidR="00C3558C" w:rsidRPr="00C3558C">
        <w:t xml:space="preserve"> </w:t>
      </w:r>
      <w:r w:rsidR="000C7B7D" w:rsidRPr="00C3558C">
        <w:t>in part</w:t>
      </w:r>
      <w:r w:rsidR="000C7B7D">
        <w:t>,</w:t>
      </w:r>
      <w:r w:rsidR="000C7B7D" w:rsidRPr="00C3558C">
        <w:t xml:space="preserve"> </w:t>
      </w:r>
      <w:r w:rsidR="004724E2">
        <w:t>will help</w:t>
      </w:r>
      <w:r w:rsidR="00C3558C" w:rsidRPr="00C3558C">
        <w:t xml:space="preserve"> facilitate the development of a </w:t>
      </w:r>
      <w:r w:rsidR="000C7B7D">
        <w:t>robust</w:t>
      </w:r>
      <w:r w:rsidR="00C3558C" w:rsidRPr="00C3558C">
        <w:t xml:space="preserve"> record.</w:t>
      </w:r>
      <w:r w:rsidR="00C3558C">
        <w:t xml:space="preserve">  </w:t>
      </w:r>
      <w:r>
        <w:t xml:space="preserve">Thus, the deadline for filing comments is </w:t>
      </w:r>
      <w:r w:rsidR="004724E2">
        <w:t xml:space="preserve">extended to </w:t>
      </w:r>
      <w:r>
        <w:t xml:space="preserve">June 2, 2016, and the deadline for filing reply comments is </w:t>
      </w:r>
      <w:r w:rsidR="004724E2">
        <w:t xml:space="preserve">extended to </w:t>
      </w:r>
      <w:r>
        <w:t xml:space="preserve">June 9, 2016.    </w:t>
      </w:r>
    </w:p>
    <w:p w:rsidR="008A1800" w:rsidRDefault="00B3046D" w:rsidP="008A1800">
      <w:pPr>
        <w:pStyle w:val="ParaNum"/>
      </w:pPr>
      <w:r>
        <w:t xml:space="preserve">Accordingly, </w:t>
      </w:r>
      <w:r w:rsidRPr="003745B5">
        <w:rPr>
          <w:b/>
        </w:rPr>
        <w:t>IT IS ORDERED</w:t>
      </w:r>
      <w:r>
        <w:t xml:space="preserve"> that, pursuant to Section 4(i) of the Communications Act of 1934, as amended, 47 U.S.C. § 154(i), and Sections 0.61, 0.283, and 1.46 of the Commission’s rules, 47 C.F.R. §§ 0.61, 0.283, and 1.46, the motion for extension of time filed by the National Hispanic Media Coalition </w:t>
      </w:r>
      <w:r w:rsidRPr="006F2329">
        <w:rPr>
          <w:rFonts w:ascii="Times New Roman Bold" w:hAnsi="Times New Roman Bold"/>
          <w:b/>
          <w:caps/>
        </w:rPr>
        <w:t>is granted in part</w:t>
      </w:r>
      <w:r>
        <w:t>, and the deadlines for submission of comment and reply comments are accordingly extended to June 2, 2016, and June 9, 2016, respectively.</w:t>
      </w:r>
    </w:p>
    <w:p w:rsidR="005A6B05" w:rsidRDefault="008A1800" w:rsidP="008A1800">
      <w:pPr>
        <w:pStyle w:val="ParaNum"/>
        <w:numPr>
          <w:ilvl w:val="0"/>
          <w:numId w:val="0"/>
        </w:numPr>
        <w:ind w:firstLine="720"/>
      </w:pPr>
      <w:r>
        <w:t xml:space="preserve"> </w:t>
      </w:r>
    </w:p>
    <w:p w:rsidR="005A6B05" w:rsidRDefault="005A6B05" w:rsidP="005A6B05">
      <w:pPr>
        <w:pStyle w:val="ParaNum"/>
        <w:numPr>
          <w:ilvl w:val="0"/>
          <w:numId w:val="0"/>
        </w:numPr>
        <w:ind w:left="3600" w:firstLine="720"/>
      </w:pPr>
      <w:r>
        <w:t>FEDERAL COMMUNICATIONS COMMISSION</w:t>
      </w:r>
    </w:p>
    <w:p w:rsidR="005A6B05" w:rsidRDefault="005A6B05" w:rsidP="005A6B05">
      <w:pPr>
        <w:pStyle w:val="ParaNum"/>
        <w:numPr>
          <w:ilvl w:val="0"/>
          <w:numId w:val="0"/>
        </w:numPr>
        <w:ind w:left="3600" w:firstLine="720"/>
      </w:pPr>
    </w:p>
    <w:p w:rsidR="005A6B05" w:rsidRDefault="005A6B05" w:rsidP="005A6B05">
      <w:pPr>
        <w:pStyle w:val="ParaNum"/>
        <w:numPr>
          <w:ilvl w:val="0"/>
          <w:numId w:val="0"/>
        </w:numPr>
        <w:ind w:left="3600" w:firstLine="720"/>
      </w:pPr>
    </w:p>
    <w:p w:rsidR="005A6B05" w:rsidRDefault="005A6B05" w:rsidP="00450C8D">
      <w:pPr>
        <w:pStyle w:val="ParaNum"/>
        <w:numPr>
          <w:ilvl w:val="0"/>
          <w:numId w:val="0"/>
        </w:numPr>
        <w:spacing w:after="0"/>
        <w:ind w:left="3600" w:firstLine="720"/>
      </w:pPr>
      <w:r>
        <w:t>William T. Lake</w:t>
      </w:r>
    </w:p>
    <w:p w:rsidR="005A6B05" w:rsidRDefault="005A6B05" w:rsidP="00450C8D">
      <w:pPr>
        <w:pStyle w:val="ParaNum"/>
        <w:numPr>
          <w:ilvl w:val="0"/>
          <w:numId w:val="0"/>
        </w:numPr>
        <w:spacing w:after="0"/>
        <w:ind w:left="3600" w:firstLine="720"/>
      </w:pPr>
      <w:r>
        <w:t>Chief, Media Bureau</w:t>
      </w:r>
    </w:p>
    <w:p w:rsidR="005A6B05" w:rsidRDefault="005A6B05" w:rsidP="005A6B05">
      <w:pPr>
        <w:pStyle w:val="ParaNum"/>
        <w:numPr>
          <w:ilvl w:val="0"/>
          <w:numId w:val="0"/>
        </w:numPr>
        <w:ind w:firstLine="720"/>
      </w:pPr>
    </w:p>
    <w:p w:rsidR="004D0EC8" w:rsidRPr="004D0EC8" w:rsidRDefault="00C15CAE" w:rsidP="005A6B05">
      <w:pPr>
        <w:pStyle w:val="ParaNum"/>
        <w:numPr>
          <w:ilvl w:val="0"/>
          <w:numId w:val="0"/>
        </w:numPr>
        <w:ind w:firstLine="720"/>
      </w:pPr>
      <w:r>
        <w:t xml:space="preserve">  </w:t>
      </w:r>
      <w:r w:rsidR="005747D5">
        <w:t xml:space="preserve">  </w:t>
      </w:r>
    </w:p>
    <w:sectPr w:rsidR="004D0EC8" w:rsidRPr="004D0EC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C4" w:rsidRDefault="005A5DC4">
      <w:pPr>
        <w:spacing w:line="20" w:lineRule="exact"/>
      </w:pPr>
    </w:p>
  </w:endnote>
  <w:endnote w:type="continuationSeparator" w:id="0">
    <w:p w:rsidR="005A5DC4" w:rsidRDefault="005A5DC4">
      <w:r>
        <w:t xml:space="preserve"> </w:t>
      </w:r>
    </w:p>
  </w:endnote>
  <w:endnote w:type="continuationNotice" w:id="1">
    <w:p w:rsidR="005A5DC4" w:rsidRDefault="005A5D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023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C4" w:rsidRDefault="005A5DC4">
      <w:r>
        <w:separator/>
      </w:r>
    </w:p>
  </w:footnote>
  <w:footnote w:type="continuationSeparator" w:id="0">
    <w:p w:rsidR="005A5DC4" w:rsidRDefault="005A5DC4" w:rsidP="00C721AC">
      <w:pPr>
        <w:spacing w:before="120"/>
        <w:rPr>
          <w:sz w:val="20"/>
        </w:rPr>
      </w:pPr>
      <w:r>
        <w:rPr>
          <w:sz w:val="20"/>
        </w:rPr>
        <w:t xml:space="preserve">(Continued from previous page)  </w:t>
      </w:r>
      <w:r>
        <w:rPr>
          <w:sz w:val="20"/>
        </w:rPr>
        <w:separator/>
      </w:r>
    </w:p>
  </w:footnote>
  <w:footnote w:type="continuationNotice" w:id="1">
    <w:p w:rsidR="005A5DC4" w:rsidRDefault="005A5DC4" w:rsidP="00C721AC">
      <w:pPr>
        <w:jc w:val="right"/>
        <w:rPr>
          <w:sz w:val="20"/>
        </w:rPr>
      </w:pPr>
      <w:r>
        <w:rPr>
          <w:sz w:val="20"/>
        </w:rPr>
        <w:t>(continued….)</w:t>
      </w:r>
    </w:p>
  </w:footnote>
  <w:footnote w:id="2">
    <w:p w:rsidR="004B664D" w:rsidRDefault="004B664D" w:rsidP="00374125">
      <w:pPr>
        <w:pStyle w:val="FootnoteText"/>
      </w:pPr>
      <w:r>
        <w:rPr>
          <w:rStyle w:val="FootnoteReference"/>
        </w:rPr>
        <w:footnoteRef/>
      </w:r>
      <w:r>
        <w:t xml:space="preserve"> </w:t>
      </w:r>
      <w:r w:rsidR="00BE50C7" w:rsidRPr="006E5472">
        <w:rPr>
          <w:i/>
        </w:rPr>
        <w:t>Media Bureau Seeks Comment on Hispanic Television Study as Part of Quadrennial Review of Media Ownership Rules and Diversity of Ownership of Broadcast Media</w:t>
      </w:r>
      <w:r w:rsidR="00BE50C7">
        <w:t>, MB Docket Nos. 14-50, 09-182, 07-294</w:t>
      </w:r>
      <w:r w:rsidR="001F141B">
        <w:t>, Public Notice, DA 16-534</w:t>
      </w:r>
      <w:r w:rsidR="00BE50C7">
        <w:t xml:space="preserve"> </w:t>
      </w:r>
      <w:r w:rsidR="001F141B">
        <w:t xml:space="preserve">(MB/OSP, </w:t>
      </w:r>
      <w:r w:rsidR="00BE50C7">
        <w:t>rel. May 12, 2016).</w:t>
      </w:r>
    </w:p>
  </w:footnote>
  <w:footnote w:id="3">
    <w:p w:rsidR="006E5472" w:rsidRPr="00850D77" w:rsidRDefault="006E5472" w:rsidP="006E5472">
      <w:pPr>
        <w:pStyle w:val="FootnoteText"/>
      </w:pPr>
      <w:r w:rsidRPr="00850D77">
        <w:rPr>
          <w:rStyle w:val="FootnoteReference"/>
        </w:rPr>
        <w:footnoteRef/>
      </w:r>
      <w:r w:rsidRPr="00850D77">
        <w:t xml:space="preserve"> </w:t>
      </w:r>
      <w:r>
        <w:t xml:space="preserve">National Hispanic Media Coalition, Motion for Extension of Time, </w:t>
      </w:r>
      <w:r w:rsidRPr="006E5472">
        <w:rPr>
          <w:i/>
        </w:rPr>
        <w:t>Hispanic TV Study Comment Public</w:t>
      </w:r>
      <w:r>
        <w:t xml:space="preserve"> </w:t>
      </w:r>
      <w:r w:rsidRPr="00881396">
        <w:rPr>
          <w:i/>
        </w:rPr>
        <w:t>Notice</w:t>
      </w:r>
      <w:r>
        <w:t>, MB Docket Nos. 14-50, 09-182, 07-294 (filed May 24, 2016)</w:t>
      </w:r>
      <w:r w:rsidR="00C3558C">
        <w:t xml:space="preserve"> (NHMC Motion)</w:t>
      </w:r>
      <w:r>
        <w:t xml:space="preserve">.  </w:t>
      </w:r>
    </w:p>
  </w:footnote>
  <w:footnote w:id="4">
    <w:p w:rsidR="00F171A4" w:rsidRPr="00850D77" w:rsidRDefault="00F171A4" w:rsidP="00F171A4">
      <w:pPr>
        <w:pStyle w:val="FootnoteText"/>
      </w:pPr>
      <w:r w:rsidRPr="00850D77">
        <w:rPr>
          <w:rStyle w:val="FootnoteReference"/>
        </w:rPr>
        <w:footnoteRef/>
      </w:r>
      <w:r w:rsidRPr="00850D77">
        <w:t xml:space="preserve"> </w:t>
      </w:r>
      <w:r>
        <w:t xml:space="preserve">NHMC Motion at 2.  </w:t>
      </w:r>
      <w:r w:rsidRPr="00850D77">
        <w:t xml:space="preserve">  </w:t>
      </w:r>
    </w:p>
  </w:footnote>
  <w:footnote w:id="5">
    <w:p w:rsidR="00F171A4" w:rsidRPr="00850D77" w:rsidRDefault="00F171A4" w:rsidP="00F171A4">
      <w:pPr>
        <w:pStyle w:val="FootnoteText"/>
      </w:pPr>
      <w:r w:rsidRPr="00850D77">
        <w:rPr>
          <w:rStyle w:val="FootnoteReference"/>
        </w:rPr>
        <w:footnoteRef/>
      </w:r>
      <w:r w:rsidRPr="00850D77">
        <w:t xml:space="preserve"> </w:t>
      </w:r>
      <w:r>
        <w:t xml:space="preserve">NHMC Motion at 3.  </w:t>
      </w:r>
      <w:r w:rsidRPr="00850D77">
        <w:t xml:space="preserve">  </w:t>
      </w:r>
    </w:p>
  </w:footnote>
  <w:footnote w:id="6">
    <w:p w:rsidR="00C3558C" w:rsidRPr="00850D77" w:rsidRDefault="00C3558C" w:rsidP="00C3558C">
      <w:pPr>
        <w:pStyle w:val="FootnoteText"/>
      </w:pPr>
      <w:r w:rsidRPr="00850D77">
        <w:rPr>
          <w:rStyle w:val="FootnoteReference"/>
        </w:rPr>
        <w:footnoteRef/>
      </w:r>
      <w:r w:rsidRPr="00850D77">
        <w:t xml:space="preserve"> </w:t>
      </w:r>
      <w:r>
        <w:t>NHMC Motion at 3.</w:t>
      </w:r>
    </w:p>
  </w:footnote>
  <w:footnote w:id="7">
    <w:p w:rsidR="002F2009" w:rsidRPr="00850D77" w:rsidRDefault="002F2009" w:rsidP="002F2009">
      <w:pPr>
        <w:pStyle w:val="FootnoteText"/>
      </w:pPr>
      <w:r w:rsidRPr="00850D77">
        <w:rPr>
          <w:rStyle w:val="FootnoteReference"/>
        </w:rPr>
        <w:footnoteRef/>
      </w:r>
      <w:r w:rsidRPr="00850D77">
        <w:t xml:space="preserve"> </w:t>
      </w:r>
      <w:r w:rsidRPr="005747D5">
        <w:rPr>
          <w:i/>
        </w:rPr>
        <w:t>See</w:t>
      </w:r>
      <w:r>
        <w:t xml:space="preserve"> 47 C.F.R. § 1.46(a).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30" w:rsidRDefault="00350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9E77FB">
      <w:t>DA 1</w:t>
    </w:r>
    <w:r w:rsidR="00003640">
      <w:t>6</w:t>
    </w:r>
    <w:r w:rsidR="008B1401">
      <w:t>-</w:t>
    </w:r>
    <w:r w:rsidR="002C6453">
      <w:t>586</w:t>
    </w:r>
  </w:p>
  <w:p w:rsidR="00D25FB5" w:rsidRDefault="006455B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F1EB839" wp14:editId="488E1CD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F62B1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455B5"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AB0B8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9E77FB">
      <w:t>DA 1</w:t>
    </w:r>
    <w:r w:rsidR="00003640">
      <w:t>6</w:t>
    </w:r>
    <w:r w:rsidR="0053259C">
      <w:t>-</w:t>
    </w:r>
    <w:r w:rsidR="002C6453">
      <w:t>586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C8"/>
    <w:rsid w:val="00003640"/>
    <w:rsid w:val="0001714A"/>
    <w:rsid w:val="00036039"/>
    <w:rsid w:val="00037F90"/>
    <w:rsid w:val="00040AC9"/>
    <w:rsid w:val="000875BF"/>
    <w:rsid w:val="000950E3"/>
    <w:rsid w:val="00096D8C"/>
    <w:rsid w:val="000C0B65"/>
    <w:rsid w:val="000C7B7D"/>
    <w:rsid w:val="000E05FE"/>
    <w:rsid w:val="000E3D42"/>
    <w:rsid w:val="000F187F"/>
    <w:rsid w:val="00122BD5"/>
    <w:rsid w:val="00133F79"/>
    <w:rsid w:val="00147D69"/>
    <w:rsid w:val="001538B3"/>
    <w:rsid w:val="00160EB7"/>
    <w:rsid w:val="00194A66"/>
    <w:rsid w:val="001D6BCF"/>
    <w:rsid w:val="001E01CA"/>
    <w:rsid w:val="001F141B"/>
    <w:rsid w:val="00203A7F"/>
    <w:rsid w:val="00204606"/>
    <w:rsid w:val="00230DFA"/>
    <w:rsid w:val="00245BC2"/>
    <w:rsid w:val="00263E4D"/>
    <w:rsid w:val="00275405"/>
    <w:rsid w:val="00275CF5"/>
    <w:rsid w:val="0028301F"/>
    <w:rsid w:val="00285017"/>
    <w:rsid w:val="002A2D2E"/>
    <w:rsid w:val="002C00E8"/>
    <w:rsid w:val="002C5B81"/>
    <w:rsid w:val="002C6453"/>
    <w:rsid w:val="002F2009"/>
    <w:rsid w:val="002F7766"/>
    <w:rsid w:val="003072A2"/>
    <w:rsid w:val="003118E6"/>
    <w:rsid w:val="00315792"/>
    <w:rsid w:val="003312A7"/>
    <w:rsid w:val="003327AD"/>
    <w:rsid w:val="00335CD0"/>
    <w:rsid w:val="00343749"/>
    <w:rsid w:val="00350230"/>
    <w:rsid w:val="00350864"/>
    <w:rsid w:val="00362BAA"/>
    <w:rsid w:val="003660ED"/>
    <w:rsid w:val="003665B4"/>
    <w:rsid w:val="00374125"/>
    <w:rsid w:val="003745B5"/>
    <w:rsid w:val="003B0550"/>
    <w:rsid w:val="003B694F"/>
    <w:rsid w:val="003B78BF"/>
    <w:rsid w:val="003F171C"/>
    <w:rsid w:val="00412FC5"/>
    <w:rsid w:val="00422276"/>
    <w:rsid w:val="004242F1"/>
    <w:rsid w:val="004310AA"/>
    <w:rsid w:val="00445A00"/>
    <w:rsid w:val="00450C8D"/>
    <w:rsid w:val="00451B0F"/>
    <w:rsid w:val="004724E2"/>
    <w:rsid w:val="0049507E"/>
    <w:rsid w:val="004A141E"/>
    <w:rsid w:val="004B664D"/>
    <w:rsid w:val="004B70E2"/>
    <w:rsid w:val="004C2EE3"/>
    <w:rsid w:val="004D0EC8"/>
    <w:rsid w:val="004E4A22"/>
    <w:rsid w:val="00511968"/>
    <w:rsid w:val="005133E8"/>
    <w:rsid w:val="0053259C"/>
    <w:rsid w:val="0055614C"/>
    <w:rsid w:val="005747D5"/>
    <w:rsid w:val="00582F53"/>
    <w:rsid w:val="005A2783"/>
    <w:rsid w:val="005A5DC4"/>
    <w:rsid w:val="005A6517"/>
    <w:rsid w:val="005A6B05"/>
    <w:rsid w:val="005B3E1F"/>
    <w:rsid w:val="005D784D"/>
    <w:rsid w:val="005E14C2"/>
    <w:rsid w:val="006006E3"/>
    <w:rsid w:val="00605F66"/>
    <w:rsid w:val="00607BA5"/>
    <w:rsid w:val="006114C0"/>
    <w:rsid w:val="0061180A"/>
    <w:rsid w:val="00621B0A"/>
    <w:rsid w:val="00626EB6"/>
    <w:rsid w:val="006455B5"/>
    <w:rsid w:val="00655D03"/>
    <w:rsid w:val="00683388"/>
    <w:rsid w:val="00683CC4"/>
    <w:rsid w:val="00683F84"/>
    <w:rsid w:val="00690347"/>
    <w:rsid w:val="006A023E"/>
    <w:rsid w:val="006A4B16"/>
    <w:rsid w:val="006A6A81"/>
    <w:rsid w:val="006E05E2"/>
    <w:rsid w:val="006E5472"/>
    <w:rsid w:val="006F1934"/>
    <w:rsid w:val="006F2329"/>
    <w:rsid w:val="006F7393"/>
    <w:rsid w:val="0070224F"/>
    <w:rsid w:val="007115F7"/>
    <w:rsid w:val="00715EB4"/>
    <w:rsid w:val="00716671"/>
    <w:rsid w:val="007201E5"/>
    <w:rsid w:val="00740CF6"/>
    <w:rsid w:val="00775D50"/>
    <w:rsid w:val="00785689"/>
    <w:rsid w:val="0079754B"/>
    <w:rsid w:val="007A1E6D"/>
    <w:rsid w:val="007B0EB2"/>
    <w:rsid w:val="007F51FD"/>
    <w:rsid w:val="008023A9"/>
    <w:rsid w:val="00810B6F"/>
    <w:rsid w:val="00822CE0"/>
    <w:rsid w:val="00841AB1"/>
    <w:rsid w:val="00881396"/>
    <w:rsid w:val="008A1800"/>
    <w:rsid w:val="008B1401"/>
    <w:rsid w:val="008B5E06"/>
    <w:rsid w:val="008B6859"/>
    <w:rsid w:val="008C68F1"/>
    <w:rsid w:val="008E3CDB"/>
    <w:rsid w:val="009072BC"/>
    <w:rsid w:val="00907CAA"/>
    <w:rsid w:val="009158F0"/>
    <w:rsid w:val="00921803"/>
    <w:rsid w:val="00926503"/>
    <w:rsid w:val="00961244"/>
    <w:rsid w:val="009726D8"/>
    <w:rsid w:val="009C535D"/>
    <w:rsid w:val="009C5621"/>
    <w:rsid w:val="009E77FB"/>
    <w:rsid w:val="009F76DB"/>
    <w:rsid w:val="00A20C1A"/>
    <w:rsid w:val="00A32C3B"/>
    <w:rsid w:val="00A45F4F"/>
    <w:rsid w:val="00A600A9"/>
    <w:rsid w:val="00A62AA8"/>
    <w:rsid w:val="00A74EC6"/>
    <w:rsid w:val="00A947A2"/>
    <w:rsid w:val="00AA1C3F"/>
    <w:rsid w:val="00AA55B7"/>
    <w:rsid w:val="00AA5B9E"/>
    <w:rsid w:val="00AB2407"/>
    <w:rsid w:val="00AB53DF"/>
    <w:rsid w:val="00AD1440"/>
    <w:rsid w:val="00AD1A77"/>
    <w:rsid w:val="00B06E2E"/>
    <w:rsid w:val="00B07E5C"/>
    <w:rsid w:val="00B3046D"/>
    <w:rsid w:val="00B5522F"/>
    <w:rsid w:val="00B67361"/>
    <w:rsid w:val="00B811F7"/>
    <w:rsid w:val="00B83401"/>
    <w:rsid w:val="00BA5DC6"/>
    <w:rsid w:val="00BA6196"/>
    <w:rsid w:val="00BC6D8C"/>
    <w:rsid w:val="00BE36DF"/>
    <w:rsid w:val="00BE50C7"/>
    <w:rsid w:val="00C15CAE"/>
    <w:rsid w:val="00C257AA"/>
    <w:rsid w:val="00C34006"/>
    <w:rsid w:val="00C3558C"/>
    <w:rsid w:val="00C426B1"/>
    <w:rsid w:val="00C54BDD"/>
    <w:rsid w:val="00C62746"/>
    <w:rsid w:val="00C66160"/>
    <w:rsid w:val="00C721AC"/>
    <w:rsid w:val="00C72C2E"/>
    <w:rsid w:val="00C80C28"/>
    <w:rsid w:val="00C90D6A"/>
    <w:rsid w:val="00C937BA"/>
    <w:rsid w:val="00C97B6F"/>
    <w:rsid w:val="00CA247E"/>
    <w:rsid w:val="00CC72B6"/>
    <w:rsid w:val="00D0218D"/>
    <w:rsid w:val="00D25FB5"/>
    <w:rsid w:val="00D44223"/>
    <w:rsid w:val="00DA2529"/>
    <w:rsid w:val="00DB130A"/>
    <w:rsid w:val="00DB2EBB"/>
    <w:rsid w:val="00DC0BD4"/>
    <w:rsid w:val="00DC10A1"/>
    <w:rsid w:val="00DC655F"/>
    <w:rsid w:val="00DD0B59"/>
    <w:rsid w:val="00DD556E"/>
    <w:rsid w:val="00DD70C5"/>
    <w:rsid w:val="00DD7EBD"/>
    <w:rsid w:val="00DF47CE"/>
    <w:rsid w:val="00DF62B6"/>
    <w:rsid w:val="00E07225"/>
    <w:rsid w:val="00E20DF3"/>
    <w:rsid w:val="00E5409F"/>
    <w:rsid w:val="00EA2A3A"/>
    <w:rsid w:val="00EB6288"/>
    <w:rsid w:val="00EE6488"/>
    <w:rsid w:val="00EF5E5E"/>
    <w:rsid w:val="00F021FA"/>
    <w:rsid w:val="00F171A4"/>
    <w:rsid w:val="00F62E97"/>
    <w:rsid w:val="00F64209"/>
    <w:rsid w:val="00F679B7"/>
    <w:rsid w:val="00F72259"/>
    <w:rsid w:val="00F76C2B"/>
    <w:rsid w:val="00F904F6"/>
    <w:rsid w:val="00F93BF5"/>
    <w:rsid w:val="00FC3F3E"/>
    <w:rsid w:val="00FD6FED"/>
    <w:rsid w:val="00FF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3E"/>
    <w:pPr>
      <w:widowControl w:val="0"/>
    </w:pPr>
    <w:rPr>
      <w:snapToGrid w:val="0"/>
      <w:kern w:val="28"/>
      <w:sz w:val="22"/>
    </w:rPr>
  </w:style>
  <w:style w:type="paragraph" w:styleId="Heading1">
    <w:name w:val="heading 1"/>
    <w:basedOn w:val="Normal"/>
    <w:next w:val="ParaNum"/>
    <w:qFormat/>
    <w:rsid w:val="006A023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A023E"/>
    <w:pPr>
      <w:keepNext/>
      <w:numPr>
        <w:ilvl w:val="1"/>
        <w:numId w:val="3"/>
      </w:numPr>
      <w:spacing w:after="120"/>
      <w:outlineLvl w:val="1"/>
    </w:pPr>
    <w:rPr>
      <w:b/>
    </w:rPr>
  </w:style>
  <w:style w:type="paragraph" w:styleId="Heading3">
    <w:name w:val="heading 3"/>
    <w:basedOn w:val="Normal"/>
    <w:next w:val="ParaNum"/>
    <w:qFormat/>
    <w:rsid w:val="006A023E"/>
    <w:pPr>
      <w:keepNext/>
      <w:numPr>
        <w:ilvl w:val="2"/>
        <w:numId w:val="3"/>
      </w:numPr>
      <w:tabs>
        <w:tab w:val="left" w:pos="2160"/>
      </w:tabs>
      <w:spacing w:after="120"/>
      <w:outlineLvl w:val="2"/>
    </w:pPr>
    <w:rPr>
      <w:b/>
    </w:rPr>
  </w:style>
  <w:style w:type="paragraph" w:styleId="Heading4">
    <w:name w:val="heading 4"/>
    <w:basedOn w:val="Normal"/>
    <w:next w:val="ParaNum"/>
    <w:qFormat/>
    <w:rsid w:val="006A023E"/>
    <w:pPr>
      <w:keepNext/>
      <w:numPr>
        <w:ilvl w:val="3"/>
        <w:numId w:val="3"/>
      </w:numPr>
      <w:tabs>
        <w:tab w:val="left" w:pos="2880"/>
      </w:tabs>
      <w:spacing w:after="120"/>
      <w:outlineLvl w:val="3"/>
    </w:pPr>
    <w:rPr>
      <w:b/>
    </w:rPr>
  </w:style>
  <w:style w:type="paragraph" w:styleId="Heading5">
    <w:name w:val="heading 5"/>
    <w:basedOn w:val="Normal"/>
    <w:next w:val="ParaNum"/>
    <w:qFormat/>
    <w:rsid w:val="006A023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A023E"/>
    <w:pPr>
      <w:numPr>
        <w:ilvl w:val="5"/>
        <w:numId w:val="3"/>
      </w:numPr>
      <w:tabs>
        <w:tab w:val="left" w:pos="4320"/>
      </w:tabs>
      <w:spacing w:after="120"/>
      <w:outlineLvl w:val="5"/>
    </w:pPr>
    <w:rPr>
      <w:b/>
    </w:rPr>
  </w:style>
  <w:style w:type="paragraph" w:styleId="Heading7">
    <w:name w:val="heading 7"/>
    <w:basedOn w:val="Normal"/>
    <w:next w:val="ParaNum"/>
    <w:qFormat/>
    <w:rsid w:val="006A023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A023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A023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A02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023E"/>
  </w:style>
  <w:style w:type="paragraph" w:customStyle="1" w:styleId="ParaNum">
    <w:name w:val="ParaNum"/>
    <w:basedOn w:val="Normal"/>
    <w:rsid w:val="006A023E"/>
    <w:pPr>
      <w:numPr>
        <w:numId w:val="2"/>
      </w:numPr>
      <w:tabs>
        <w:tab w:val="clear" w:pos="1080"/>
        <w:tab w:val="num" w:pos="1440"/>
      </w:tabs>
      <w:spacing w:after="120"/>
    </w:pPr>
  </w:style>
  <w:style w:type="paragraph" w:styleId="EndnoteText">
    <w:name w:val="endnote text"/>
    <w:basedOn w:val="Normal"/>
    <w:semiHidden/>
    <w:rsid w:val="006A023E"/>
    <w:rPr>
      <w:sz w:val="20"/>
    </w:rPr>
  </w:style>
  <w:style w:type="character" w:styleId="EndnoteReference">
    <w:name w:val="endnote reference"/>
    <w:semiHidden/>
    <w:rsid w:val="006A023E"/>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3"/>
    <w:link w:val="FootnoteTextChar"/>
    <w:rsid w:val="006A023E"/>
    <w:pPr>
      <w:spacing w:after="120"/>
    </w:pPr>
  </w:style>
  <w:style w:type="character" w:styleId="FootnoteReference">
    <w:name w:val="footnote reference"/>
    <w:aliases w:val="Style 12,(NECG) Footnote Reference,Appel note de bas de p,Style 124,o,fr,Style 3,Style 13,FR,Style 17,Style 6,Footnote Reference/"/>
    <w:rsid w:val="006A023E"/>
    <w:rPr>
      <w:rFonts w:ascii="Times New Roman" w:hAnsi="Times New Roman"/>
      <w:dstrike w:val="0"/>
      <w:color w:val="auto"/>
      <w:sz w:val="20"/>
      <w:vertAlign w:val="superscript"/>
    </w:rPr>
  </w:style>
  <w:style w:type="paragraph" w:styleId="TOC1">
    <w:name w:val="toc 1"/>
    <w:basedOn w:val="Normal"/>
    <w:next w:val="Normal"/>
    <w:semiHidden/>
    <w:rsid w:val="006A023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A023E"/>
    <w:pPr>
      <w:tabs>
        <w:tab w:val="left" w:pos="720"/>
        <w:tab w:val="right" w:leader="dot" w:pos="9360"/>
      </w:tabs>
      <w:suppressAutoHyphens/>
      <w:ind w:left="720" w:right="720" w:hanging="360"/>
    </w:pPr>
    <w:rPr>
      <w:noProof/>
    </w:rPr>
  </w:style>
  <w:style w:type="paragraph" w:styleId="TOC3">
    <w:name w:val="toc 3"/>
    <w:basedOn w:val="Normal"/>
    <w:next w:val="Normal"/>
    <w:semiHidden/>
    <w:rsid w:val="006A023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A023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A023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A023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A023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A023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A023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A023E"/>
    <w:pPr>
      <w:tabs>
        <w:tab w:val="right" w:pos="9360"/>
      </w:tabs>
      <w:suppressAutoHyphens/>
    </w:pPr>
  </w:style>
  <w:style w:type="character" w:customStyle="1" w:styleId="EquationCaption">
    <w:name w:val="_Equation Caption"/>
    <w:rsid w:val="006A023E"/>
  </w:style>
  <w:style w:type="paragraph" w:styleId="Header">
    <w:name w:val="header"/>
    <w:basedOn w:val="Normal"/>
    <w:autoRedefine/>
    <w:rsid w:val="006A023E"/>
    <w:pPr>
      <w:tabs>
        <w:tab w:val="center" w:pos="4680"/>
        <w:tab w:val="right" w:pos="9360"/>
      </w:tabs>
    </w:pPr>
    <w:rPr>
      <w:b/>
    </w:rPr>
  </w:style>
  <w:style w:type="paragraph" w:styleId="Footer">
    <w:name w:val="footer"/>
    <w:basedOn w:val="Normal"/>
    <w:rsid w:val="006A023E"/>
    <w:pPr>
      <w:tabs>
        <w:tab w:val="center" w:pos="4320"/>
        <w:tab w:val="right" w:pos="8640"/>
      </w:tabs>
    </w:pPr>
  </w:style>
  <w:style w:type="character" w:styleId="PageNumber">
    <w:name w:val="page number"/>
    <w:basedOn w:val="DefaultParagraphFont"/>
    <w:rsid w:val="006A023E"/>
  </w:style>
  <w:style w:type="paragraph" w:styleId="BlockText">
    <w:name w:val="Block Text"/>
    <w:basedOn w:val="Normal"/>
    <w:rsid w:val="006A023E"/>
    <w:pPr>
      <w:spacing w:after="240"/>
      <w:ind w:left="1440" w:right="1440"/>
    </w:pPr>
  </w:style>
  <w:style w:type="paragraph" w:customStyle="1" w:styleId="Paratitle">
    <w:name w:val="Para title"/>
    <w:basedOn w:val="Normal"/>
    <w:rsid w:val="006A023E"/>
    <w:pPr>
      <w:tabs>
        <w:tab w:val="center" w:pos="9270"/>
      </w:tabs>
      <w:spacing w:after="240"/>
    </w:pPr>
    <w:rPr>
      <w:spacing w:val="-2"/>
    </w:rPr>
  </w:style>
  <w:style w:type="paragraph" w:customStyle="1" w:styleId="Bullet">
    <w:name w:val="Bullet"/>
    <w:basedOn w:val="Normal"/>
    <w:rsid w:val="006A023E"/>
    <w:pPr>
      <w:tabs>
        <w:tab w:val="left" w:pos="2160"/>
      </w:tabs>
      <w:spacing w:after="220"/>
      <w:ind w:left="2160" w:hanging="720"/>
    </w:pPr>
  </w:style>
  <w:style w:type="paragraph" w:customStyle="1" w:styleId="TableFormat">
    <w:name w:val="TableFormat"/>
    <w:basedOn w:val="Bullet"/>
    <w:rsid w:val="006A023E"/>
    <w:pPr>
      <w:tabs>
        <w:tab w:val="clear" w:pos="2160"/>
        <w:tab w:val="left" w:pos="5040"/>
      </w:tabs>
      <w:ind w:left="5040" w:hanging="3600"/>
    </w:pPr>
  </w:style>
  <w:style w:type="paragraph" w:customStyle="1" w:styleId="TOCTitle">
    <w:name w:val="TOC Title"/>
    <w:basedOn w:val="Normal"/>
    <w:rsid w:val="006A023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A023E"/>
    <w:pPr>
      <w:jc w:val="center"/>
    </w:pPr>
    <w:rPr>
      <w:rFonts w:ascii="Times New Roman Bold" w:hAnsi="Times New Roman Bold"/>
      <w:b/>
      <w:bCs/>
      <w:caps/>
      <w:szCs w:val="22"/>
    </w:rPr>
  </w:style>
  <w:style w:type="character" w:styleId="Hyperlink">
    <w:name w:val="Hyperlink"/>
    <w:rsid w:val="006A023E"/>
    <w:rPr>
      <w:color w:val="0000FF"/>
      <w:u w:val="single"/>
    </w:rPr>
  </w:style>
  <w:style w:type="paragraph" w:styleId="BalloonText">
    <w:name w:val="Balloon Text"/>
    <w:basedOn w:val="Normal"/>
    <w:link w:val="BalloonTextChar"/>
    <w:rsid w:val="0049507E"/>
    <w:rPr>
      <w:rFonts w:ascii="Tahoma" w:hAnsi="Tahoma" w:cs="Tahoma"/>
      <w:sz w:val="16"/>
      <w:szCs w:val="16"/>
    </w:rPr>
  </w:style>
  <w:style w:type="character" w:customStyle="1" w:styleId="BalloonTextChar">
    <w:name w:val="Balloon Text Char"/>
    <w:basedOn w:val="DefaultParagraphFont"/>
    <w:link w:val="BalloonText"/>
    <w:rsid w:val="0049507E"/>
    <w:rPr>
      <w:rFonts w:ascii="Tahoma" w:hAnsi="Tahoma" w:cs="Tahoma"/>
      <w:snapToGrid w:val="0"/>
      <w:kern w:val="28"/>
      <w:sz w:val="16"/>
      <w:szCs w:val="16"/>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locked/>
    <w:rsid w:val="00F76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3E"/>
    <w:pPr>
      <w:widowControl w:val="0"/>
    </w:pPr>
    <w:rPr>
      <w:snapToGrid w:val="0"/>
      <w:kern w:val="28"/>
      <w:sz w:val="22"/>
    </w:rPr>
  </w:style>
  <w:style w:type="paragraph" w:styleId="Heading1">
    <w:name w:val="heading 1"/>
    <w:basedOn w:val="Normal"/>
    <w:next w:val="ParaNum"/>
    <w:qFormat/>
    <w:rsid w:val="006A023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A023E"/>
    <w:pPr>
      <w:keepNext/>
      <w:numPr>
        <w:ilvl w:val="1"/>
        <w:numId w:val="3"/>
      </w:numPr>
      <w:spacing w:after="120"/>
      <w:outlineLvl w:val="1"/>
    </w:pPr>
    <w:rPr>
      <w:b/>
    </w:rPr>
  </w:style>
  <w:style w:type="paragraph" w:styleId="Heading3">
    <w:name w:val="heading 3"/>
    <w:basedOn w:val="Normal"/>
    <w:next w:val="ParaNum"/>
    <w:qFormat/>
    <w:rsid w:val="006A023E"/>
    <w:pPr>
      <w:keepNext/>
      <w:numPr>
        <w:ilvl w:val="2"/>
        <w:numId w:val="3"/>
      </w:numPr>
      <w:tabs>
        <w:tab w:val="left" w:pos="2160"/>
      </w:tabs>
      <w:spacing w:after="120"/>
      <w:outlineLvl w:val="2"/>
    </w:pPr>
    <w:rPr>
      <w:b/>
    </w:rPr>
  </w:style>
  <w:style w:type="paragraph" w:styleId="Heading4">
    <w:name w:val="heading 4"/>
    <w:basedOn w:val="Normal"/>
    <w:next w:val="ParaNum"/>
    <w:qFormat/>
    <w:rsid w:val="006A023E"/>
    <w:pPr>
      <w:keepNext/>
      <w:numPr>
        <w:ilvl w:val="3"/>
        <w:numId w:val="3"/>
      </w:numPr>
      <w:tabs>
        <w:tab w:val="left" w:pos="2880"/>
      </w:tabs>
      <w:spacing w:after="120"/>
      <w:outlineLvl w:val="3"/>
    </w:pPr>
    <w:rPr>
      <w:b/>
    </w:rPr>
  </w:style>
  <w:style w:type="paragraph" w:styleId="Heading5">
    <w:name w:val="heading 5"/>
    <w:basedOn w:val="Normal"/>
    <w:next w:val="ParaNum"/>
    <w:qFormat/>
    <w:rsid w:val="006A023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A023E"/>
    <w:pPr>
      <w:numPr>
        <w:ilvl w:val="5"/>
        <w:numId w:val="3"/>
      </w:numPr>
      <w:tabs>
        <w:tab w:val="left" w:pos="4320"/>
      </w:tabs>
      <w:spacing w:after="120"/>
      <w:outlineLvl w:val="5"/>
    </w:pPr>
    <w:rPr>
      <w:b/>
    </w:rPr>
  </w:style>
  <w:style w:type="paragraph" w:styleId="Heading7">
    <w:name w:val="heading 7"/>
    <w:basedOn w:val="Normal"/>
    <w:next w:val="ParaNum"/>
    <w:qFormat/>
    <w:rsid w:val="006A023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A023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A023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A02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023E"/>
  </w:style>
  <w:style w:type="paragraph" w:customStyle="1" w:styleId="ParaNum">
    <w:name w:val="ParaNum"/>
    <w:basedOn w:val="Normal"/>
    <w:rsid w:val="006A023E"/>
    <w:pPr>
      <w:numPr>
        <w:numId w:val="2"/>
      </w:numPr>
      <w:tabs>
        <w:tab w:val="clear" w:pos="1080"/>
        <w:tab w:val="num" w:pos="1440"/>
      </w:tabs>
      <w:spacing w:after="120"/>
    </w:pPr>
  </w:style>
  <w:style w:type="paragraph" w:styleId="EndnoteText">
    <w:name w:val="endnote text"/>
    <w:basedOn w:val="Normal"/>
    <w:semiHidden/>
    <w:rsid w:val="006A023E"/>
    <w:rPr>
      <w:sz w:val="20"/>
    </w:rPr>
  </w:style>
  <w:style w:type="character" w:styleId="EndnoteReference">
    <w:name w:val="endnote reference"/>
    <w:semiHidden/>
    <w:rsid w:val="006A023E"/>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3"/>
    <w:link w:val="FootnoteTextChar"/>
    <w:rsid w:val="006A023E"/>
    <w:pPr>
      <w:spacing w:after="120"/>
    </w:pPr>
  </w:style>
  <w:style w:type="character" w:styleId="FootnoteReference">
    <w:name w:val="footnote reference"/>
    <w:aliases w:val="Style 12,(NECG) Footnote Reference,Appel note de bas de p,Style 124,o,fr,Style 3,Style 13,FR,Style 17,Style 6,Footnote Reference/"/>
    <w:rsid w:val="006A023E"/>
    <w:rPr>
      <w:rFonts w:ascii="Times New Roman" w:hAnsi="Times New Roman"/>
      <w:dstrike w:val="0"/>
      <w:color w:val="auto"/>
      <w:sz w:val="20"/>
      <w:vertAlign w:val="superscript"/>
    </w:rPr>
  </w:style>
  <w:style w:type="paragraph" w:styleId="TOC1">
    <w:name w:val="toc 1"/>
    <w:basedOn w:val="Normal"/>
    <w:next w:val="Normal"/>
    <w:semiHidden/>
    <w:rsid w:val="006A023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A023E"/>
    <w:pPr>
      <w:tabs>
        <w:tab w:val="left" w:pos="720"/>
        <w:tab w:val="right" w:leader="dot" w:pos="9360"/>
      </w:tabs>
      <w:suppressAutoHyphens/>
      <w:ind w:left="720" w:right="720" w:hanging="360"/>
    </w:pPr>
    <w:rPr>
      <w:noProof/>
    </w:rPr>
  </w:style>
  <w:style w:type="paragraph" w:styleId="TOC3">
    <w:name w:val="toc 3"/>
    <w:basedOn w:val="Normal"/>
    <w:next w:val="Normal"/>
    <w:semiHidden/>
    <w:rsid w:val="006A023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A023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A023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A023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A023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A023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A023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A023E"/>
    <w:pPr>
      <w:tabs>
        <w:tab w:val="right" w:pos="9360"/>
      </w:tabs>
      <w:suppressAutoHyphens/>
    </w:pPr>
  </w:style>
  <w:style w:type="character" w:customStyle="1" w:styleId="EquationCaption">
    <w:name w:val="_Equation Caption"/>
    <w:rsid w:val="006A023E"/>
  </w:style>
  <w:style w:type="paragraph" w:styleId="Header">
    <w:name w:val="header"/>
    <w:basedOn w:val="Normal"/>
    <w:autoRedefine/>
    <w:rsid w:val="006A023E"/>
    <w:pPr>
      <w:tabs>
        <w:tab w:val="center" w:pos="4680"/>
        <w:tab w:val="right" w:pos="9360"/>
      </w:tabs>
    </w:pPr>
    <w:rPr>
      <w:b/>
    </w:rPr>
  </w:style>
  <w:style w:type="paragraph" w:styleId="Footer">
    <w:name w:val="footer"/>
    <w:basedOn w:val="Normal"/>
    <w:rsid w:val="006A023E"/>
    <w:pPr>
      <w:tabs>
        <w:tab w:val="center" w:pos="4320"/>
        <w:tab w:val="right" w:pos="8640"/>
      </w:tabs>
    </w:pPr>
  </w:style>
  <w:style w:type="character" w:styleId="PageNumber">
    <w:name w:val="page number"/>
    <w:basedOn w:val="DefaultParagraphFont"/>
    <w:rsid w:val="006A023E"/>
  </w:style>
  <w:style w:type="paragraph" w:styleId="BlockText">
    <w:name w:val="Block Text"/>
    <w:basedOn w:val="Normal"/>
    <w:rsid w:val="006A023E"/>
    <w:pPr>
      <w:spacing w:after="240"/>
      <w:ind w:left="1440" w:right="1440"/>
    </w:pPr>
  </w:style>
  <w:style w:type="paragraph" w:customStyle="1" w:styleId="Paratitle">
    <w:name w:val="Para title"/>
    <w:basedOn w:val="Normal"/>
    <w:rsid w:val="006A023E"/>
    <w:pPr>
      <w:tabs>
        <w:tab w:val="center" w:pos="9270"/>
      </w:tabs>
      <w:spacing w:after="240"/>
    </w:pPr>
    <w:rPr>
      <w:spacing w:val="-2"/>
    </w:rPr>
  </w:style>
  <w:style w:type="paragraph" w:customStyle="1" w:styleId="Bullet">
    <w:name w:val="Bullet"/>
    <w:basedOn w:val="Normal"/>
    <w:rsid w:val="006A023E"/>
    <w:pPr>
      <w:tabs>
        <w:tab w:val="left" w:pos="2160"/>
      </w:tabs>
      <w:spacing w:after="220"/>
      <w:ind w:left="2160" w:hanging="720"/>
    </w:pPr>
  </w:style>
  <w:style w:type="paragraph" w:customStyle="1" w:styleId="TableFormat">
    <w:name w:val="TableFormat"/>
    <w:basedOn w:val="Bullet"/>
    <w:rsid w:val="006A023E"/>
    <w:pPr>
      <w:tabs>
        <w:tab w:val="clear" w:pos="2160"/>
        <w:tab w:val="left" w:pos="5040"/>
      </w:tabs>
      <w:ind w:left="5040" w:hanging="3600"/>
    </w:pPr>
  </w:style>
  <w:style w:type="paragraph" w:customStyle="1" w:styleId="TOCTitle">
    <w:name w:val="TOC Title"/>
    <w:basedOn w:val="Normal"/>
    <w:rsid w:val="006A023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A023E"/>
    <w:pPr>
      <w:jc w:val="center"/>
    </w:pPr>
    <w:rPr>
      <w:rFonts w:ascii="Times New Roman Bold" w:hAnsi="Times New Roman Bold"/>
      <w:b/>
      <w:bCs/>
      <w:caps/>
      <w:szCs w:val="22"/>
    </w:rPr>
  </w:style>
  <w:style w:type="character" w:styleId="Hyperlink">
    <w:name w:val="Hyperlink"/>
    <w:rsid w:val="006A023E"/>
    <w:rPr>
      <w:color w:val="0000FF"/>
      <w:u w:val="single"/>
    </w:rPr>
  </w:style>
  <w:style w:type="paragraph" w:styleId="BalloonText">
    <w:name w:val="Balloon Text"/>
    <w:basedOn w:val="Normal"/>
    <w:link w:val="BalloonTextChar"/>
    <w:rsid w:val="0049507E"/>
    <w:rPr>
      <w:rFonts w:ascii="Tahoma" w:hAnsi="Tahoma" w:cs="Tahoma"/>
      <w:sz w:val="16"/>
      <w:szCs w:val="16"/>
    </w:rPr>
  </w:style>
  <w:style w:type="character" w:customStyle="1" w:styleId="BalloonTextChar">
    <w:name w:val="Balloon Text Char"/>
    <w:basedOn w:val="DefaultParagraphFont"/>
    <w:link w:val="BalloonText"/>
    <w:rsid w:val="0049507E"/>
    <w:rPr>
      <w:rFonts w:ascii="Tahoma" w:hAnsi="Tahoma" w:cs="Tahoma"/>
      <w:snapToGrid w:val="0"/>
      <w:kern w:val="28"/>
      <w:sz w:val="16"/>
      <w:szCs w:val="16"/>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locked/>
    <w:rsid w:val="00F76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536</Words>
  <Characters>2709</Characters>
  <Application>Microsoft Office Word</Application>
  <DocSecurity>0</DocSecurity>
  <Lines>91</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2014-06-26T18:42:00Z</cp:lastPrinted>
  <dcterms:created xsi:type="dcterms:W3CDTF">2016-05-26T15:30:00Z</dcterms:created>
  <dcterms:modified xsi:type="dcterms:W3CDTF">2016-05-26T15:30:00Z</dcterms:modified>
  <cp:category> </cp:category>
  <cp:contentStatus> </cp:contentStatus>
</cp:coreProperties>
</file>